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0" w:line="283" w:lineRule="auto"/>
      </w:pPr>
    </w:p>
    <w:p>
      <w:pPr>
        <w:spacing w:before="0" w:after="280" w:line="240" w:lineRule="auto"/>
      </w:pPr>
      <w:r>
        <w:rPr>
          <w:rFonts w:ascii="Arial" w:hAnsi="Arial" w:eastAsia="Arial"/>
          <w:b/>
          <w:i w:val="0"/>
          <w:color w:val="4A6CF7"/>
          <w:sz w:val="24"/>
        </w:rPr>
        <w:t>PETCARE  /  宠伴</w:t>
      </w:r>
    </w:p>
    <w:p>
      <w:pPr>
        <w:spacing w:before="0" w:after="200" w:line="240" w:lineRule="auto"/>
      </w:pPr>
      <w:r>
        <w:rPr>
          <w:rFonts w:ascii="Arial" w:hAnsi="Arial" w:eastAsia="Arial"/>
          <w:b/>
          <w:i w:val="0"/>
          <w:color w:val="0D275D"/>
          <w:sz w:val="68"/>
        </w:rPr>
        <w:t>PetCare Brand Book</w:t>
      </w:r>
    </w:p>
    <w:p>
      <w:pPr>
        <w:spacing w:before="0" w:after="360" w:line="288" w:lineRule="auto"/>
      </w:pPr>
      <w:r>
        <w:rPr>
          <w:rFonts w:ascii="Microsoft YaHei" w:hAnsi="Microsoft YaHei" w:eastAsia="Microsoft YaHei"/>
          <w:b/>
          <w:i w:val="0"/>
          <w:color w:val="667085"/>
          <w:sz w:val="28"/>
        </w:rPr>
        <w:t>宠伴品牌设计系统 · Version 1.0 · 2026</w:t>
      </w:r>
    </w:p>
    <w:p>
      <w:pPr>
        <w:spacing w:before="0" w:after="360" w:line="240" w:lineRule="auto"/>
      </w:pPr>
      <w:r>
        <w:rPr>
          <w:rFonts w:ascii="Microsoft YaHei" w:hAnsi="Microsoft YaHei" w:eastAsia="Microsoft YaHei"/>
          <w:b/>
          <w:i w:val="0"/>
          <w:color w:val="5BC8AF"/>
          <w:sz w:val="16"/>
        </w:rPr>
        <w:t>━━━━━━━━━━━━━━━━━━━━━━━━</w:t>
      </w:r>
    </w:p>
    <w:p>
      <w:pPr>
        <w:spacing w:before="0" w:after="520" w:line="288" w:lineRule="auto"/>
      </w:pPr>
      <w:r>
        <w:rPr>
          <w:rFonts w:ascii="Arial" w:hAnsi="Arial" w:eastAsia="Arial"/>
          <w:b/>
          <w:i w:val="0"/>
          <w:color w:val="0D275D"/>
          <w:sz w:val="22"/>
        </w:rPr>
        <w:t>TRUST  ·  CARE  ·  CONNECTION  ·  COMPANION</w:t>
      </w:r>
    </w:p>
    <w:p>
      <w:pPr>
        <w:spacing w:before="100" w:after="100" w:line="276" w:lineRule="auto"/>
        <w:ind w:left="173" w:right="173"/>
        <w:shd w:fill="EEF2FF"/>
      </w:pPr>
      <w:r>
        <w:rPr>
          <w:rFonts w:ascii="Arial" w:hAnsi="Arial" w:eastAsia="Arial"/>
          <w:b/>
          <w:i w:val="0"/>
          <w:color w:val="3552C8"/>
          <w:sz w:val="17"/>
        </w:rPr>
        <w:t xml:space="preserve">BRAND NOTE  </w:t>
      </w:r>
      <w:r>
        <w:rPr>
          <w:rFonts w:ascii="Microsoft YaHei" w:hAnsi="Microsoft YaHei" w:eastAsia="Microsoft YaHei"/>
          <w:b/>
          <w:i w:val="0"/>
          <w:color w:val="0D275D"/>
          <w:sz w:val="19"/>
        </w:rPr>
        <w:t>以信任为起点，以陪伴为过程，以安心为结果。</w:t>
      </w:r>
    </w:p>
    <w:p>
      <w:pPr>
        <w:spacing w:before="1440" w:after="0" w:line="288" w:lineRule="auto"/>
      </w:pPr>
      <w:r>
        <w:rPr>
          <w:rFonts w:ascii="Arial" w:hAnsi="Arial" w:eastAsia="Arial"/>
          <w:b w:val="0"/>
          <w:i w:val="0"/>
          <w:color w:val="667085"/>
          <w:sz w:val="20"/>
        </w:rPr>
        <w:t>Enterprise Brand Design System</w:t>
        <w:br/>
        <w:t>Strategy · Identity · UX · Tokens · Governance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002  /  导读</w:t>
      </w:r>
    </w:p>
    <w:p>
      <w:pPr>
        <w:pStyle w:val="Heading1"/>
      </w:pPr>
      <w:r>
        <w:t>品牌北极星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每一个决策，都应该让宠物主人更安心地托付他们最重要的家人。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Every decision should make pet owners feel more confident to entrust their beloved companions.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当效率、增长与信任发生冲突时，优先选择可验证、可解释、可追溯的方案。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这条原则同时约束产品、设计、内容、运营、客服、审核与服务履约。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003  /  导读</w:t>
      </w:r>
    </w:p>
    <w:p>
      <w:pPr>
        <w:pStyle w:val="Heading1"/>
      </w:pPr>
      <w:r>
        <w:t>文档身份与适用范围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本手册是 PetCare 品牌、产品体验与开发实现的共同规范。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rPr>
          <w:tblHeader w:val="true"/>
        </w:trPr>
        <w:tc>
          <w:tcPr>
            <w:tcW w:type="dxa" w:w="1944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416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定义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版本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v1.0 / 2026-08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品牌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PetCare（宠伴）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适用端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微信小程序、Admin、官网、运营物料、服务现场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所有者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品牌负责人；产品、设计、研发共同维护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基准资产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用户提供的品牌定位图与 Logo 合成稿（位图）</w:t>
            </w:r>
          </w:p>
        </w:tc>
      </w:tr>
    </w:tbl>
    <w:p>
      <w:pPr>
        <w:spacing w:before="0" w:after="20" w:line="240" w:lineRule="auto"/>
      </w:pPr>
    </w:p>
    <w:p>
      <w:pPr>
        <w:spacing w:before="100" w:after="100" w:line="276" w:lineRule="auto"/>
        <w:ind w:left="173" w:right="173"/>
        <w:shd w:fill="EEF2FF"/>
      </w:pPr>
      <w:r>
        <w:rPr>
          <w:rFonts w:ascii="Arial" w:hAnsi="Arial" w:eastAsia="Arial"/>
          <w:b/>
          <w:i w:val="0"/>
          <w:color w:val="3552C8"/>
          <w:sz w:val="17"/>
        </w:rPr>
        <w:t xml:space="preserve">BRAND NOTE  </w:t>
      </w:r>
      <w:r>
        <w:rPr>
          <w:rFonts w:ascii="Microsoft YaHei" w:hAnsi="Microsoft YaHei" w:eastAsia="Microsoft YaHei"/>
          <w:b/>
          <w:i w:val="0"/>
          <w:color w:val="0D275D"/>
          <w:sz w:val="19"/>
        </w:rPr>
        <w:t>位图仅作为视觉基准，不替代可交付的 SVG、PNG 多尺寸与图标母版。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004  /  导读</w:t>
      </w:r>
    </w:p>
    <w:p>
      <w:pPr>
        <w:pStyle w:val="Heading1"/>
      </w:pPr>
      <w:r>
        <w:t>如何使用这本手册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按角色阅读，而不是从第一页机械读到最后一页。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168"/>
        <w:gridCol w:w="4392"/>
      </w:tblGrid>
      <w:tr>
        <w:trPr>
          <w:tblHeader w:val="true"/>
        </w:trPr>
        <w:tc>
          <w:tcPr>
            <w:tcW w:type="dxa" w:w="1800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角色</w:t>
            </w:r>
          </w:p>
        </w:tc>
        <w:tc>
          <w:tcPr>
            <w:tcW w:type="dxa" w:w="3168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优先章节</w:t>
            </w:r>
          </w:p>
        </w:tc>
        <w:tc>
          <w:tcPr>
            <w:tcW w:type="dxa" w:w="4392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主要产出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管理层/品牌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战略、治理、指标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定位决策与审批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产品/UX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体验原则、文案、状态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流程、原型、验收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视觉/UI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Logo、色彩、字体、图像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设计系统与页面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研发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Token、资产、组件映射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React/Taro 实现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运营/客服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语气、应用、模板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内容与服务沟通</w:t>
            </w:r>
          </w:p>
        </w:tc>
      </w:tr>
    </w:tbl>
    <w:p>
      <w:pPr>
        <w:spacing w:before="0" w:after="20" w:line="240" w:lineRule="auto"/>
      </w:pP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005  /  导读</w:t>
      </w:r>
    </w:p>
    <w:p>
      <w:pPr>
        <w:pStyle w:val="Heading1"/>
      </w:pPr>
      <w:r>
        <w:t>内容地图 01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从品牌为何存在，走向品牌如何表达。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01–07 导读与使用方式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08–30 品牌战略：定位、价值、人格、品牌架构与信任证据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31–44 语言系统：品牌声音、产品文案、通知、社区与本地化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45–58 标识系统：Logo 概念、版本、尺寸、响应式与资产管理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006  /  导读</w:t>
      </w:r>
    </w:p>
    <w:p>
      <w:pPr>
        <w:pStyle w:val="Heading1"/>
      </w:pPr>
      <w:r>
        <w:t>内容地图 02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从视觉语言，走向产品体验与工程治理。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59–76 视觉系统：色彩、字体、栅格、图标、摄影、插画与数据可视化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77–85 UX 系统：信任旅程、双模式、SOP、状态、安全、无障碍与动效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86–92 品牌应用：小程序、订单证据、Admin、官网、通知与线下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93–108 实施与治理：Token、代码映射、资产、QA、版本、AI 规则与术语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007  /  导读</w:t>
      </w:r>
    </w:p>
    <w:p>
      <w:pPr>
        <w:pStyle w:val="Heading1"/>
      </w:pPr>
      <w:r>
        <w:t>PetCare 一页总览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Trusted Pet Companion Platform · 值得信赖的宠物生活服务平台。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7272"/>
      </w:tblGrid>
      <w:tr>
        <w:trPr>
          <w:tblHeader w:val="true"/>
        </w:trPr>
        <w:tc>
          <w:tcPr>
            <w:tcW w:type="dxa" w:w="2088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维度</w:t>
            </w:r>
          </w:p>
        </w:tc>
        <w:tc>
          <w:tcPr>
            <w:tcW w:type="dxa" w:w="7272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PetCare 定义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品牌核心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Trusted Companion / 值得信赖的陪伴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品牌主张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每一次托付，都值得信赖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主口号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陪伴每一次托付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品牌人格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守护者 × 引导者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业务模式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C2C 悬赏大厅 + B2C 平台定价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体验抓手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认证、SOP、过程证明、评价、申诉与社区</w:t>
            </w:r>
          </w:p>
        </w:tc>
      </w:tr>
    </w:tbl>
    <w:p>
      <w:pPr>
        <w:spacing w:before="0" w:after="20" w:line="240" w:lineRule="auto"/>
      </w:pP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008  /  品牌战略</w:t>
      </w:r>
    </w:p>
    <w:p/>
    <w:p>
      <w:pPr>
        <w:spacing w:before="1400" w:after="80" w:line="240" w:lineRule="auto"/>
      </w:pPr>
      <w:r>
        <w:rPr>
          <w:rFonts w:ascii="Arial" w:hAnsi="Arial" w:eastAsia="Arial"/>
          <w:b/>
          <w:i w:val="0"/>
          <w:color w:val="DCE5FF"/>
          <w:sz w:val="144"/>
        </w:rPr>
        <w:t>01</w:t>
      </w:r>
    </w:p>
    <w:p>
      <w:pPr>
        <w:spacing w:before="0" w:after="240" w:line="240" w:lineRule="auto"/>
      </w:pPr>
      <w:r>
        <w:rPr>
          <w:rFonts w:ascii="Arial" w:hAnsi="Arial" w:eastAsia="Arial"/>
          <w:b/>
          <w:i w:val="0"/>
          <w:color w:val="0D275D"/>
          <w:sz w:val="54"/>
        </w:rPr>
        <w:t>Brand Strategy</w:t>
      </w:r>
    </w:p>
    <w:p>
      <w:pPr>
        <w:spacing w:before="0" w:after="480" w:line="288" w:lineRule="auto"/>
      </w:pPr>
      <w:r>
        <w:rPr>
          <w:rFonts w:ascii="Microsoft YaHei" w:hAnsi="Microsoft YaHei" w:eastAsia="Microsoft YaHei"/>
          <w:b/>
          <w:i w:val="0"/>
          <w:color w:val="3552C8"/>
          <w:sz w:val="36"/>
        </w:rPr>
        <w:t>品牌战略</w:t>
      </w:r>
    </w:p>
    <w:p>
      <w:pPr>
        <w:spacing w:before="100" w:after="100" w:line="276" w:lineRule="auto"/>
        <w:ind w:left="173" w:right="173"/>
        <w:shd w:fill="EEF2FF"/>
      </w:pPr>
      <w:r>
        <w:rPr>
          <w:rFonts w:ascii="Arial" w:hAnsi="Arial" w:eastAsia="Arial"/>
          <w:b/>
          <w:i w:val="0"/>
          <w:color w:val="3552C8"/>
          <w:sz w:val="17"/>
        </w:rPr>
        <w:t xml:space="preserve">BRAND NOTE  </w:t>
      </w:r>
      <w:r>
        <w:rPr>
          <w:rFonts w:ascii="Microsoft YaHei" w:hAnsi="Microsoft YaHei" w:eastAsia="Microsoft YaHei"/>
          <w:b/>
          <w:i w:val="0"/>
          <w:color w:val="0D275D"/>
          <w:sz w:val="19"/>
        </w:rPr>
        <w:t>PetCare 不售卖一次服务；PetCare 建立一套让托付持续可信的关系。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009  /  品牌战略</w:t>
      </w:r>
    </w:p>
    <w:p>
      <w:pPr>
        <w:pStyle w:val="Heading1"/>
      </w:pPr>
      <w:r>
        <w:t>业务背景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PetCare 连接宠物主人与服务提供者，提供上门喂养、遛狗、陪玩等 O2O 服务。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C2C：宠物主人发布悬赏，市场撮合与自主定价。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B2C：平台提供标准价格、服务承诺与更强履约控制。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社区：用真实经验、内容与关系提升长期留存。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SOP：用可执行步骤、图片视频与定位记录建立信任证据。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010  /  品牌战略</w:t>
      </w:r>
    </w:p>
    <w:p>
      <w:pPr>
        <w:pStyle w:val="Heading1"/>
      </w:pPr>
      <w:r>
        <w:t>品类张力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用户真正购买的不是“有人上门”，而是“我不在时，它仍被认真照顾”。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68"/>
        <w:gridCol w:w="6192"/>
      </w:tblGrid>
      <w:tr>
        <w:trPr>
          <w:tblHeader w:val="true"/>
        </w:trPr>
        <w:tc>
          <w:tcPr>
            <w:tcW w:type="dxa" w:w="3168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用户担忧</w:t>
            </w:r>
          </w:p>
        </w:tc>
        <w:tc>
          <w:tcPr>
            <w:tcW w:type="dxa" w:w="6192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品牌回应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陌生人进入家中</w:t>
            </w:r>
          </w:p>
        </w:tc>
        <w:tc>
          <w:tcPr>
            <w:tcW w:type="dxa" w:w="6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认证、授权、轨迹与审计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服务是否真的完成</w:t>
            </w:r>
          </w:p>
        </w:tc>
        <w:tc>
          <w:tcPr>
            <w:tcW w:type="dxa" w:w="6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SOP、时间、定位、图片与视频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价格是否合理</w:t>
            </w:r>
          </w:p>
        </w:tc>
        <w:tc>
          <w:tcPr>
            <w:tcW w:type="dxa" w:w="6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模式标签、价格构成与规则透明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发生异常怎么办</w:t>
            </w:r>
          </w:p>
        </w:tc>
        <w:tc>
          <w:tcPr>
            <w:tcW w:type="dxa" w:w="6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实时反馈、客服、申诉与证据链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下次还能否放心</w:t>
            </w:r>
          </w:p>
        </w:tc>
        <w:tc>
          <w:tcPr>
            <w:tcW w:type="dxa" w:w="6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评价、复购、熟悉宠托师与长期档案</w:t>
            </w:r>
          </w:p>
        </w:tc>
      </w:tr>
    </w:tbl>
    <w:p>
      <w:pPr>
        <w:spacing w:before="0" w:after="20" w:line="240" w:lineRule="auto"/>
      </w:pP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011  /  品牌战略</w:t>
      </w:r>
    </w:p>
    <w:p>
      <w:pPr>
        <w:pStyle w:val="Heading1"/>
      </w:pPr>
      <w:r>
        <w:t>核心受众 · 宠物主人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把宠物视为家人，同时需要在工作、出差或旅行时获得可信照护。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目标：快速找到合适服务者，明确知道价格、时间与服务内容。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情绪：离家前焦虑，服务中需要确定性，完成后需要安心和复盘。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成功信号：愿意首次下单、查看证据、再次预约并推荐给朋友。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设计重点：默认展示安全信息、过程状态和下一步，而非堆叠促销。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012  /  品牌战略</w:t>
      </w:r>
    </w:p>
    <w:p>
      <w:pPr>
        <w:pStyle w:val="Heading1"/>
      </w:pPr>
      <w:r>
        <w:t>核心受众 · 宠托师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以经验与责任换取收入、认可和可持续成长的服务提供者。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目标：获得合适订单、清楚理解要求、低摩擦完成 SOP、按时结算。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痛点：规则不清、临时变更、证据标准不一、评价不公平。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品牌责任：尊重劳动，不把宠托师表现为随叫随到的廉价劳动力。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成长路径：认证 → 首单 → 稳定履约 → 优质标签 → 长期客户。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013  /  品牌战略</w:t>
      </w:r>
    </w:p>
    <w:p>
      <w:pPr>
        <w:pStyle w:val="Heading1"/>
      </w:pPr>
      <w:r>
        <w:t>关键受众 · 运营与审核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品牌信任最终由后台的审核、申诉、风控和服务响应兑现。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运营需要清晰、可比较、可追溯的数据，而不是装饰性界面。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审核需要证据上下文、操作理由、权限边界和审计记录。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客服需要一致话术、风险等级与升级路径。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品牌承诺必须能被后台流程支持，否则不得对外承诺。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014  /  品牌战略</w:t>
      </w:r>
    </w:p>
    <w:p>
      <w:pPr>
        <w:pStyle w:val="Heading1"/>
      </w:pPr>
      <w:r>
        <w:t>Jobs to Be Done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围绕用户需要完成的“任务”，组织品牌价值。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3960"/>
        <w:gridCol w:w="3456"/>
      </w:tblGrid>
      <w:tr>
        <w:trPr>
          <w:tblHeader w:val="true"/>
        </w:trPr>
        <w:tc>
          <w:tcPr>
            <w:tcW w:type="dxa" w:w="1944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情境</w:t>
            </w:r>
          </w:p>
        </w:tc>
        <w:tc>
          <w:tcPr>
            <w:tcW w:type="dxa" w:w="3960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用户任务</w:t>
            </w:r>
          </w:p>
        </w:tc>
        <w:tc>
          <w:tcPr>
            <w:tcW w:type="dxa" w:w="3456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品牌结果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临时离家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在有限时间内找到可信服务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快速而不草率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服务进行中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确认宠物状态与照护进度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持续可见、可追溯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发生异常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理解情况并获得处理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及时、诚实、有依据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再次需要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复用已验证的关系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减少重新判断成本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服务者成长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把专业积累转化为信誉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公平、透明、可持续</w:t>
            </w:r>
          </w:p>
        </w:tc>
      </w:tr>
    </w:tbl>
    <w:p>
      <w:pPr>
        <w:spacing w:before="0" w:after="20" w:line="240" w:lineRule="auto"/>
      </w:pP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015  /  品牌战略</w:t>
      </w:r>
    </w:p>
    <w:p>
      <w:pPr>
        <w:pStyle w:val="Heading1"/>
      </w:pPr>
      <w:r>
        <w:t>品牌定位图 · v1.0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当前定位：专业度较高、服务覆盖较全面；区别于单一服务者、宠物店/商城、医院和寄养机构。</w:t>
      </w:r>
    </w:p>
    <w:p>
      <w:pPr>
        <w:spacing w:before="6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4960" cy="5394960"/>
            <wp:docPr id="1" name="Picture 1" descr="PetCare 品牌定位图与 Logo v1.0 合成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tcare-brand-positioning-logo-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39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  <w:jc w:val="center"/>
      </w:pPr>
      <w:r>
        <w:rPr>
          <w:rFonts w:ascii="Microsoft YaHei" w:hAnsi="Microsoft YaHei" w:eastAsia="Microsoft YaHei"/>
          <w:b w:val="0"/>
          <w:i/>
          <w:color w:val="667085"/>
          <w:sz w:val="17"/>
        </w:rPr>
        <w:t>图 1 · PetCare 品牌定位与 Logo 视觉基准（v1.0）</w:t>
      </w:r>
    </w:p>
    <w:p>
      <w:pPr>
        <w:spacing w:before="100" w:after="100" w:line="276" w:lineRule="auto"/>
        <w:ind w:left="173" w:right="173"/>
        <w:shd w:fill="EEF2FF"/>
      </w:pPr>
      <w:r>
        <w:rPr>
          <w:rFonts w:ascii="Arial" w:hAnsi="Arial" w:eastAsia="Arial"/>
          <w:b/>
          <w:i w:val="0"/>
          <w:color w:val="3552C8"/>
          <w:sz w:val="17"/>
        </w:rPr>
        <w:t xml:space="preserve">BRAND NOTE  </w:t>
      </w:r>
      <w:r>
        <w:rPr>
          <w:rFonts w:ascii="Microsoft YaHei" w:hAnsi="Microsoft YaHei" w:eastAsia="Microsoft YaHei"/>
          <w:b/>
          <w:i w:val="0"/>
          <w:color w:val="0D275D"/>
          <w:sz w:val="19"/>
        </w:rPr>
        <w:t>本页采用用户确认的品牌定位与 Logo 合成稿。后续重绘不得改变“专业 × 全面”的目标象限。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016  /  品牌战略</w:t>
      </w:r>
    </w:p>
    <w:p>
      <w:pPr>
        <w:pStyle w:val="Heading1"/>
      </w:pPr>
      <w:r>
        <w:t>定位陈述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对于重视宠物安全与服务透明的现代宠物家庭，PetCare 是值得信赖的宠物生活服务平台。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它通过双模式供给，兼顾灵活撮合与标准化服务。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它通过认证、SOP、服务证据与申诉机制降低不确定性。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它通过社区与长期档案，把一次订单转化为持续关系。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它不是宠物医院、商城或简单的信息黄页。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017  /  品牌战略</w:t>
      </w:r>
    </w:p>
    <w:p>
      <w:pPr>
        <w:pStyle w:val="Heading1"/>
      </w:pPr>
      <w:r>
        <w:t>品牌承诺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每一次托付，都值得信赖。</w:t>
      </w:r>
    </w:p>
    <w:p>
      <w:pPr>
        <w:pStyle w:val="Heading2"/>
      </w:pPr>
      <w:r>
        <w:t>对宠物主人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服务前说清楚，服务中看得见，服务后有记录，异常时有回应。</w:t>
      </w:r>
    </w:p>
    <w:p>
      <w:pPr>
        <w:pStyle w:val="Heading2"/>
      </w:pPr>
      <w:r>
        <w:t>对宠托师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规则清楚、要求明确、证据标准统一、劳动价值被尊重。</w:t>
      </w:r>
    </w:p>
    <w:p>
      <w:pPr>
        <w:pStyle w:val="Heading2"/>
      </w:pPr>
      <w:r>
        <w:t>对平台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不隐瞒费用、不伪造评价、不以增长牺牲安全与公平。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018  /  品牌战略</w:t>
      </w:r>
    </w:p>
    <w:p>
      <w:pPr>
        <w:pStyle w:val="Heading1"/>
      </w:pPr>
      <w:r>
        <w:t>品牌本质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Trusted Companion · 值得信赖的陪伴。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Trust 是门槛：真实、透明、可验证、可追溯。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Companion 是关系：长期、温暖、有回应、不止于一次订单。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Technology 是手段：降低不确定性，而不是制造冰冷流程。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Care 是结果：宠物被认真照顾，主人能够安心离开。</w:t>
      </w:r>
    </w:p>
    <w:p>
      <w:pPr>
        <w:spacing w:before="100" w:after="100" w:line="276" w:lineRule="auto"/>
        <w:ind w:left="173" w:right="173"/>
        <w:shd w:fill="EEF2FF"/>
      </w:pPr>
      <w:r>
        <w:rPr>
          <w:rFonts w:ascii="Arial" w:hAnsi="Arial" w:eastAsia="Arial"/>
          <w:b/>
          <w:i w:val="0"/>
          <w:color w:val="3552C8"/>
          <w:sz w:val="17"/>
        </w:rPr>
        <w:t xml:space="preserve">BRAND NOTE  </w:t>
      </w:r>
      <w:r>
        <w:rPr>
          <w:rFonts w:ascii="Microsoft YaHei" w:hAnsi="Microsoft YaHei" w:eastAsia="Microsoft YaHei"/>
          <w:b/>
          <w:i w:val="0"/>
          <w:color w:val="0D275D"/>
          <w:sz w:val="19"/>
        </w:rPr>
        <w:t>品牌本质用于内部决策，不要求在所有外部页面重复出现。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019  /  品牌战略</w:t>
      </w:r>
    </w:p>
    <w:p>
      <w:pPr>
        <w:pStyle w:val="Heading1"/>
      </w:pPr>
      <w:r>
        <w:t>使命与愿景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使命解决今天，愿景指向长期。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4824"/>
        <w:gridCol w:w="2952"/>
      </w:tblGrid>
      <w:tr>
        <w:trPr>
          <w:tblHeader w:val="true"/>
        </w:trPr>
        <w:tc>
          <w:tcPr>
            <w:tcW w:type="dxa" w:w="1584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层级</w:t>
            </w:r>
          </w:p>
        </w:tc>
        <w:tc>
          <w:tcPr>
            <w:tcW w:type="dxa" w:w="4824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表述</w:t>
            </w:r>
          </w:p>
        </w:tc>
        <w:tc>
          <w:tcPr>
            <w:tcW w:type="dxa" w:w="2952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检验方式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使命</w:t>
            </w:r>
          </w:p>
        </w:tc>
        <w:tc>
          <w:tcPr>
            <w:tcW w:type="dxa" w:w="48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让每一次宠物照护都更加透明、专业、可信赖。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产品是否减少了托付的不确定性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愿景</w:t>
            </w:r>
          </w:p>
        </w:tc>
        <w:tc>
          <w:tcPr>
            <w:tcW w:type="dxa" w:w="48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成为全球值得信赖的宠物生活服务平台。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用户是否愿意长期使用并主动推荐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北极星</w:t>
            </w:r>
          </w:p>
        </w:tc>
        <w:tc>
          <w:tcPr>
            <w:tcW w:type="dxa" w:w="48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每个决策都让宠物主人更安心地托付。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发生取舍时是否优先保护信任</w:t>
            </w:r>
          </w:p>
        </w:tc>
      </w:tr>
    </w:tbl>
    <w:p>
      <w:pPr>
        <w:spacing w:before="0" w:after="20" w:line="240" w:lineRule="auto"/>
      </w:pP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020  /  品牌战略</w:t>
      </w:r>
    </w:p>
    <w:p>
      <w:pPr>
        <w:pStyle w:val="Heading1"/>
      </w:pPr>
      <w:r>
        <w:t>品牌故事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当宠物成为家庭成员，离开家不再只是行程安排，也是一份牵挂。</w:t>
      </w:r>
    </w:p>
    <w:p>
      <w:pPr>
        <w:pStyle w:val="Heading2"/>
      </w:pPr>
      <w:r>
        <w:t>起点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市场并不缺“能上门的人”，缺的是能被理解、比较、验证和长期信赖的服务关系。</w:t>
      </w:r>
    </w:p>
    <w:p>
      <w:pPr>
        <w:pStyle w:val="Heading2"/>
      </w:pPr>
      <w:r>
        <w:t>方法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PetCare 将服务者、流程、证据、支付、评价与社区连接为一个完整体验。</w:t>
      </w:r>
    </w:p>
    <w:p>
      <w:pPr>
        <w:pStyle w:val="Heading2"/>
      </w:pPr>
      <w:r>
        <w:t>未来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让宠物家庭在任何需要时，都能找到熟悉、可靠且被尊重的照护方式。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021  /  品牌战略</w:t>
      </w:r>
    </w:p>
    <w:p>
      <w:pPr>
        <w:pStyle w:val="Heading1"/>
      </w:pPr>
      <w:r>
        <w:t>品牌宣言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真正重要的，从来不是一次服务。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当你无法陪伴的时候，它依然被认真照顾。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每一次开门，都是一份信任；每一次记录，都是一份安心。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我们守护的不只是宠物，也是人与宠物之间最珍贵的情感连接。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PetCare，陪伴每一次托付。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022  /  品牌战略</w:t>
      </w:r>
    </w:p>
    <w:p>
      <w:pPr>
        <w:pStyle w:val="Heading1"/>
      </w:pPr>
      <w:r>
        <w:t>核心价值观 01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Trust · Care · Professional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3384"/>
        <w:gridCol w:w="3816"/>
      </w:tblGrid>
      <w:tr>
        <w:trPr>
          <w:tblHeader w:val="true"/>
        </w:trPr>
        <w:tc>
          <w:tcPr>
            <w:tcW w:type="dxa" w:w="2160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价值</w:t>
            </w:r>
          </w:p>
        </w:tc>
        <w:tc>
          <w:tcPr>
            <w:tcW w:type="dxa" w:w="3384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我们相信</w:t>
            </w:r>
          </w:p>
        </w:tc>
        <w:tc>
          <w:tcPr>
            <w:tcW w:type="dxa" w:w="3816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行为证据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Trust 信任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透明比包装更有力量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真实评价、证据链、费用说明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Care 关爱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关心宠物，也关心主人情绪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状态更新、异常说明、温暖文案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Professional 专业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标准使承诺可以复现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认证、培训、SOP、审计</w:t>
            </w:r>
          </w:p>
        </w:tc>
      </w:tr>
    </w:tbl>
    <w:p>
      <w:pPr>
        <w:spacing w:before="0" w:after="20" w:line="240" w:lineRule="auto"/>
      </w:pP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023  /  品牌战略</w:t>
      </w:r>
    </w:p>
    <w:p>
      <w:pPr>
        <w:pStyle w:val="Heading1"/>
      </w:pPr>
      <w:r>
        <w:t>核心价值观 02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Companion · Community · Growth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3384"/>
        <w:gridCol w:w="3816"/>
      </w:tblGrid>
      <w:tr>
        <w:trPr>
          <w:tblHeader w:val="true"/>
        </w:trPr>
        <w:tc>
          <w:tcPr>
            <w:tcW w:type="dxa" w:w="2160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价值</w:t>
            </w:r>
          </w:p>
        </w:tc>
        <w:tc>
          <w:tcPr>
            <w:tcW w:type="dxa" w:w="3384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我们相信</w:t>
            </w:r>
          </w:p>
        </w:tc>
        <w:tc>
          <w:tcPr>
            <w:tcW w:type="dxa" w:w="3816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行为证据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Companion 陪伴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一次服务是长期关系的开始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复购、熟悉宠托师、成长档案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Community 社区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真实经验能够帮助更多家庭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内容规范、知识分享、互助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Growth 成长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平台与服务双方共同进步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培训、评级、反馈与机会</w:t>
            </w:r>
          </w:p>
        </w:tc>
      </w:tr>
    </w:tbl>
    <w:p>
      <w:pPr>
        <w:spacing w:before="0" w:after="20" w:line="240" w:lineRule="auto"/>
      </w:pP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024  /  品牌战略</w:t>
      </w:r>
    </w:p>
    <w:p>
      <w:pPr>
        <w:pStyle w:val="Heading1"/>
      </w:pPr>
      <w:r>
        <w:t>品牌原型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主原型：The Caregiver 守护者；辅原型：The Guide 引导者。</w:t>
      </w:r>
    </w:p>
    <w:p>
      <w:pPr>
        <w:pStyle w:val="Heading2"/>
      </w:pPr>
      <w:r>
        <w:t>守护者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温暖、负责、耐心，优先保护宠物与家庭的安全。风险是过度承诺或替用户做决定。</w:t>
      </w:r>
    </w:p>
    <w:p>
      <w:pPr>
        <w:pStyle w:val="Heading2"/>
      </w:pPr>
      <w:r>
        <w:t>引导者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清晰、专业、可解释，帮助用户理解流程与下一步。风险是显得冷漠或说教。</w:t>
      </w:r>
    </w:p>
    <w:p>
      <w:pPr>
        <w:pStyle w:val="Heading2"/>
      </w:pPr>
      <w:r>
        <w:t>组合原则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先给予安全感，再提供清晰行动；先承认情绪，再解释事实。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025  /  品牌战略</w:t>
      </w:r>
    </w:p>
    <w:p>
      <w:pPr>
        <w:pStyle w:val="Heading1"/>
      </w:pPr>
      <w:r>
        <w:t>品牌人格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如果 PetCare 是一个人，它值得信赖、温暖、细心、现代且克制。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我们是</w:t>
            </w:r>
          </w:p>
        </w:tc>
        <w:tc>
          <w:tcPr>
            <w:tcW w:type="dxa" w:w="4680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但不是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专业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权威压迫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温暖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过度卖萌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清晰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机械生硬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积极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虚假乐观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克制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冷淡疏离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现代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追逐短期潮流</w:t>
            </w:r>
          </w:p>
        </w:tc>
      </w:tr>
    </w:tbl>
    <w:p>
      <w:pPr>
        <w:spacing w:before="0" w:after="20" w:line="240" w:lineRule="auto"/>
      </w:pP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026  /  品牌战略</w:t>
      </w:r>
    </w:p>
    <w:p>
      <w:pPr>
        <w:pStyle w:val="Heading1"/>
      </w:pPr>
      <w:r>
        <w:t>品牌情绪目标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品牌首先管理情绪，再帮助用户完成任务。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44"/>
        <w:gridCol w:w="3816"/>
      </w:tblGrid>
      <w:tr>
        <w:trPr>
          <w:tblHeader w:val="true"/>
        </w:trPr>
        <w:tc>
          <w:tcPr>
            <w:tcW w:type="dxa" w:w="1800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阶段</w:t>
            </w:r>
          </w:p>
        </w:tc>
        <w:tc>
          <w:tcPr>
            <w:tcW w:type="dxa" w:w="3744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进入时情绪</w:t>
            </w:r>
          </w:p>
        </w:tc>
        <w:tc>
          <w:tcPr>
            <w:tcW w:type="dxa" w:w="3816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离开时情绪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浏览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不确定、比较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理解、可选择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下单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担心遗漏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确认、可预期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服务中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牵挂、焦虑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可见、安心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异常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紧张、质疑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被重视、有方案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完成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等待验证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满意、愿意复购</w:t>
            </w:r>
          </w:p>
        </w:tc>
      </w:tr>
    </w:tbl>
    <w:p>
      <w:pPr>
        <w:spacing w:before="0" w:after="20" w:line="240" w:lineRule="auto"/>
      </w:pP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027  /  品牌战略</w:t>
      </w:r>
    </w:p>
    <w:p>
      <w:pPr>
        <w:pStyle w:val="Heading1"/>
      </w:pPr>
      <w:r>
        <w:t>品牌体验金字塔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专业是底座，品牌热爱是长期结果。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Professional：服务标准与能力真实存在。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Transparency：价格、过程、证据与规则可理解。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Trust：用户愿意把宠物与家庭空间交给平台。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Satisfaction：结果符合预期，异常得到处理。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Loyalty：优先复购、固定服务者、持续使用。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Love：主动推荐，愿意参与社区与共建。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028  /  品牌战略</w:t>
      </w:r>
    </w:p>
    <w:p>
      <w:pPr>
        <w:pStyle w:val="Heading1"/>
      </w:pPr>
      <w:r>
        <w:t>品牌架构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采用单一主品牌 + 清晰服务描述，避免过早创建多个子品牌。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3672"/>
        <w:gridCol w:w="3816"/>
      </w:tblGrid>
      <w:tr>
        <w:trPr>
          <w:tblHeader w:val="true"/>
        </w:trPr>
        <w:tc>
          <w:tcPr>
            <w:tcW w:type="dxa" w:w="1872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层级</w:t>
            </w:r>
          </w:p>
        </w:tc>
        <w:tc>
          <w:tcPr>
            <w:tcW w:type="dxa" w:w="3672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命名原则</w:t>
            </w:r>
          </w:p>
        </w:tc>
        <w:tc>
          <w:tcPr>
            <w:tcW w:type="dxa" w:w="3816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主品牌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统一使用 PetCare / 宠伴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PetCare 宠伴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交易模式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描述性命名，不独立做 Logo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悬赏服务 / 平台服务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功能模块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用户能直接理解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宠物角、照护记录、宠托师认证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运营计划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主品牌背书 + 活动名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PetCare 新手守护计划</w:t>
            </w:r>
          </w:p>
        </w:tc>
      </w:tr>
    </w:tbl>
    <w:p>
      <w:pPr>
        <w:spacing w:before="0" w:after="20" w:line="240" w:lineRule="auto"/>
      </w:pP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029  /  品牌战略</w:t>
      </w:r>
    </w:p>
    <w:p>
      <w:pPr>
        <w:pStyle w:val="Heading1"/>
      </w:pPr>
      <w:r>
        <w:t>服务命名原则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中文优先表达任务，英文仅用于品牌与专业语境。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统一用“宠托师”，不用“保姆”“阿姨”“接单人”。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统一用“照护”，按具体服务使用“上门喂养 / 遛狗 / 陪玩”。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C2C 对用户显示“悬赏服务”，B2C 显示“平台服务”。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证据集合统一称“照护记录”，过程步骤称“SOP 步骤”。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纠纷流程用“申诉与处理”，避免先入为主使用“投诉有罪”。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030  /  品牌战略</w:t>
      </w:r>
    </w:p>
    <w:p>
      <w:pPr>
        <w:pStyle w:val="Heading1"/>
      </w:pPr>
      <w:r>
        <w:t>信任证据体系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品牌承诺必须由产品证据支撑。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84"/>
        <w:gridCol w:w="4176"/>
      </w:tblGrid>
      <w:tr>
        <w:trPr>
          <w:tblHeader w:val="true"/>
        </w:trPr>
        <w:tc>
          <w:tcPr>
            <w:tcW w:type="dxa" w:w="1800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信任层</w:t>
            </w:r>
          </w:p>
        </w:tc>
        <w:tc>
          <w:tcPr>
            <w:tcW w:type="dxa" w:w="3384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证据</w:t>
            </w:r>
          </w:p>
        </w:tc>
        <w:tc>
          <w:tcPr>
            <w:tcW w:type="dxa" w:w="4176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用户可见方式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身份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实名、认证、培训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认证标识与有效期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过程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时间、GPS、SOP、媒体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时间轴与照护记录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交易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价格、支付、退款、结算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费用明细与状态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声誉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评价、完成率、复购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结构化评分与历史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治理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审核、申诉、审计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处理进度与结论依据</w:t>
            </w:r>
          </w:p>
        </w:tc>
      </w:tr>
    </w:tbl>
    <w:p>
      <w:pPr>
        <w:spacing w:before="0" w:after="20" w:line="240" w:lineRule="auto"/>
      </w:pP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031  /  语言系统</w:t>
      </w:r>
    </w:p>
    <w:p/>
    <w:p>
      <w:pPr>
        <w:spacing w:before="1400" w:after="80" w:line="240" w:lineRule="auto"/>
      </w:pPr>
      <w:r>
        <w:rPr>
          <w:rFonts w:ascii="Arial" w:hAnsi="Arial" w:eastAsia="Arial"/>
          <w:b/>
          <w:i w:val="0"/>
          <w:color w:val="DCE5FF"/>
          <w:sz w:val="144"/>
        </w:rPr>
        <w:t>02</w:t>
      </w:r>
    </w:p>
    <w:p>
      <w:pPr>
        <w:spacing w:before="0" w:after="240" w:line="240" w:lineRule="auto"/>
      </w:pPr>
      <w:r>
        <w:rPr>
          <w:rFonts w:ascii="Arial" w:hAnsi="Arial" w:eastAsia="Arial"/>
          <w:b/>
          <w:i w:val="0"/>
          <w:color w:val="0D275D"/>
          <w:sz w:val="54"/>
        </w:rPr>
        <w:t>Verbal Identity</w:t>
      </w:r>
    </w:p>
    <w:p>
      <w:pPr>
        <w:spacing w:before="0" w:after="480" w:line="288" w:lineRule="auto"/>
      </w:pPr>
      <w:r>
        <w:rPr>
          <w:rFonts w:ascii="Microsoft YaHei" w:hAnsi="Microsoft YaHei" w:eastAsia="Microsoft YaHei"/>
          <w:b/>
          <w:i w:val="0"/>
          <w:color w:val="3552C8"/>
          <w:sz w:val="36"/>
        </w:rPr>
        <w:t>品牌语言与文案系统</w:t>
      </w:r>
    </w:p>
    <w:p>
      <w:pPr>
        <w:spacing w:before="100" w:after="100" w:line="276" w:lineRule="auto"/>
        <w:ind w:left="173" w:right="173"/>
        <w:shd w:fill="EEF2FF"/>
      </w:pPr>
      <w:r>
        <w:rPr>
          <w:rFonts w:ascii="Arial" w:hAnsi="Arial" w:eastAsia="Arial"/>
          <w:b/>
          <w:i w:val="0"/>
          <w:color w:val="3552C8"/>
          <w:sz w:val="17"/>
        </w:rPr>
        <w:t xml:space="preserve">BRAND NOTE  </w:t>
      </w:r>
      <w:r>
        <w:rPr>
          <w:rFonts w:ascii="Microsoft YaHei" w:hAnsi="Microsoft YaHei" w:eastAsia="Microsoft YaHei"/>
          <w:b/>
          <w:i w:val="0"/>
          <w:color w:val="0D275D"/>
          <w:sz w:val="19"/>
        </w:rPr>
        <w:t>专业但不冷漠；温暖但不卖萌；清晰但不命令。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032  /  语言系统</w:t>
      </w:r>
    </w:p>
    <w:p>
      <w:pPr>
        <w:pStyle w:val="Heading1"/>
      </w:pPr>
      <w:r>
        <w:t>品牌声音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PetCare 的声音在不同场景变化，但人格保持一致。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Trustworthy：陈述事实，明确证据与边界。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Warm：承认用户的牵挂，使用自然的人类语言。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Clear：一句话一个重点，先结果后解释。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Professional：术语一致，时间、金额、责任表达准确。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Respectful：尊重宠物主人、服务者与社区参与者。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033  /  语言系统</w:t>
      </w:r>
    </w:p>
    <w:p>
      <w:pPr>
        <w:pStyle w:val="Heading1"/>
      </w:pPr>
      <w:r>
        <w:t>五条写作原则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所有文案都应通过这五个问题。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先说用户最需要知道的结果。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使用具体动作与时间，不用模糊承诺。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说明为什么需要信息或权限。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错误信息同时给出恢复路径。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避免夸张、羞辱、恐吓、诱导和行业黑话。</w:t>
      </w:r>
    </w:p>
    <w:p>
      <w:pPr>
        <w:spacing w:before="100" w:after="100" w:line="276" w:lineRule="auto"/>
        <w:ind w:left="173" w:right="173"/>
        <w:shd w:fill="EEF2FF"/>
      </w:pPr>
      <w:r>
        <w:rPr>
          <w:rFonts w:ascii="Arial" w:hAnsi="Arial" w:eastAsia="Arial"/>
          <w:b/>
          <w:i w:val="0"/>
          <w:color w:val="3552C8"/>
          <w:sz w:val="17"/>
        </w:rPr>
        <w:t xml:space="preserve">BRAND NOTE  </w:t>
      </w:r>
      <w:r>
        <w:rPr>
          <w:rFonts w:ascii="Microsoft YaHei" w:hAnsi="Microsoft YaHei" w:eastAsia="Microsoft YaHei"/>
          <w:b/>
          <w:i w:val="0"/>
          <w:color w:val="0D275D"/>
          <w:sz w:val="19"/>
        </w:rPr>
        <w:t>推荐句式：发生了什么 → 对你意味着什么 → 你可以怎么做。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034  /  语言系统</w:t>
      </w:r>
    </w:p>
    <w:p>
      <w:pPr>
        <w:pStyle w:val="Heading1"/>
      </w:pPr>
      <w:r>
        <w:t>情境语气矩阵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语气强度应跟随风险与情绪，而不是跟随营销目标。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28"/>
        <w:gridCol w:w="2232"/>
        <w:gridCol w:w="5400"/>
      </w:tblGrid>
      <w:tr>
        <w:trPr>
          <w:tblHeader w:val="true"/>
        </w:trPr>
        <w:tc>
          <w:tcPr>
            <w:tcW w:type="dxa" w:w="1728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场景</w:t>
            </w:r>
          </w:p>
        </w:tc>
        <w:tc>
          <w:tcPr>
            <w:tcW w:type="dxa" w:w="2232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语气</w:t>
            </w:r>
          </w:p>
        </w:tc>
        <w:tc>
          <w:tcPr>
            <w:tcW w:type="dxa" w:w="5400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发现/浏览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轻松、清晰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看看附近值得信赖的照护服务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支付/授权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准确、克制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确认后将支付 ¥80，费用明细如下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服务中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安心、具体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宠托师已到达，正在进行第 2 项照护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异常/申诉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同理、严谨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我们已记录异常，专员将在 30 分钟内联系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社区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友好、尊重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分享真实经验，也请保护他人隐私</w:t>
            </w:r>
          </w:p>
        </w:tc>
      </w:tr>
    </w:tbl>
    <w:p>
      <w:pPr>
        <w:spacing w:before="0" w:after="20" w:line="240" w:lineRule="auto"/>
      </w:pP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035  /  语言系统</w:t>
      </w:r>
    </w:p>
    <w:p>
      <w:pPr>
        <w:pStyle w:val="Heading1"/>
      </w:pPr>
      <w:r>
        <w:t>术语表 · 面向用户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统一术语可以减少误解与客服成本。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2232"/>
        <w:gridCol w:w="4896"/>
      </w:tblGrid>
      <w:tr>
        <w:trPr>
          <w:tblHeader w:val="true"/>
        </w:trPr>
        <w:tc>
          <w:tcPr>
            <w:tcW w:type="dxa" w:w="2232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推荐</w:t>
            </w:r>
          </w:p>
        </w:tc>
        <w:tc>
          <w:tcPr>
            <w:tcW w:type="dxa" w:w="2232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避免</w:t>
            </w:r>
          </w:p>
        </w:tc>
        <w:tc>
          <w:tcPr>
            <w:tcW w:type="dxa" w:w="4896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宠托师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保姆/阿姨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专业、无性别偏见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照护服务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代养/看一下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体现责任与标准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照护记录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证明材料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对用户更自然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悬赏服务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自由单/散单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突出自主定价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平台服务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官方单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避免暗示政府或绝对担保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申诉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闹纠纷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中性且可治理</w:t>
            </w:r>
          </w:p>
        </w:tc>
      </w:tr>
    </w:tbl>
    <w:p>
      <w:pPr>
        <w:spacing w:before="0" w:after="20" w:line="240" w:lineRule="auto"/>
      </w:pP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036  /  语言系统</w:t>
      </w:r>
    </w:p>
    <w:p>
      <w:pPr>
        <w:pStyle w:val="Heading1"/>
      </w:pPr>
      <w:r>
        <w:t>口号系统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主口号稳定使用；活动口号不替代品牌口号。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28"/>
        <w:gridCol w:w="4320"/>
        <w:gridCol w:w="3312"/>
      </w:tblGrid>
      <w:tr>
        <w:trPr>
          <w:tblHeader w:val="true"/>
        </w:trPr>
        <w:tc>
          <w:tcPr>
            <w:tcW w:type="dxa" w:w="1728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级别</w:t>
            </w:r>
          </w:p>
        </w:tc>
        <w:tc>
          <w:tcPr>
            <w:tcW w:type="dxa" w:w="4320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文案</w:t>
            </w:r>
          </w:p>
        </w:tc>
        <w:tc>
          <w:tcPr>
            <w:tcW w:type="dxa" w:w="3312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主口号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陪伴每一次托付</w:t>
            </w:r>
          </w:p>
        </w:tc>
        <w:tc>
          <w:tcPr>
            <w:tcW w:type="dxa" w:w="33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品牌首页、启动页、Brand Book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品牌承诺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每一次托付，都值得信赖</w:t>
            </w:r>
          </w:p>
        </w:tc>
        <w:tc>
          <w:tcPr>
            <w:tcW w:type="dxa" w:w="33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战略、信任场景、服务说明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英文主张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Trusted Pet Companion Platform</w:t>
            </w:r>
          </w:p>
        </w:tc>
        <w:tc>
          <w:tcPr>
            <w:tcW w:type="dxa" w:w="33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英文品牌介绍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体验句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安心托付，不止于服务</w:t>
            </w:r>
          </w:p>
        </w:tc>
        <w:tc>
          <w:tcPr>
            <w:tcW w:type="dxa" w:w="33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内容与活动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服务句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每一次照护，都有记录</w:t>
            </w:r>
          </w:p>
        </w:tc>
        <w:tc>
          <w:tcPr>
            <w:tcW w:type="dxa" w:w="33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SOP 与证据页</w:t>
            </w:r>
          </w:p>
        </w:tc>
      </w:tr>
    </w:tbl>
    <w:p>
      <w:pPr>
        <w:spacing w:before="0" w:after="20" w:line="240" w:lineRule="auto"/>
      </w:pP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037  /  语言系统</w:t>
      </w:r>
    </w:p>
    <w:p>
      <w:pPr>
        <w:pStyle w:val="Heading1"/>
      </w:pPr>
      <w:r>
        <w:t>首页关键文案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首页同时承载信任建立与双模式分流。</w:t>
      </w:r>
    </w:p>
    <w:p>
      <w:pPr>
        <w:pStyle w:val="Heading2"/>
      </w:pPr>
      <w:r>
        <w:t>Hero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放心出发，它会被认真照顾。</w:t>
      </w:r>
    </w:p>
    <w:p>
      <w:pPr>
        <w:pStyle w:val="Heading2"/>
      </w:pPr>
      <w:r>
        <w:t>副标题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上门喂养、遛狗与陪玩；服务过程可查看，费用与规则更透明。</w:t>
      </w:r>
    </w:p>
    <w:p>
      <w:pPr>
        <w:pStyle w:val="Heading2"/>
      </w:pPr>
      <w:r>
        <w:t>C2C 入口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发布悬赏 · 自主设置预算与时间</w:t>
      </w:r>
    </w:p>
    <w:p>
      <w:pPr>
        <w:pStyle w:val="Heading2"/>
      </w:pPr>
      <w:r>
        <w:t>B2C 入口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预约平台服务 · 标准价格与服务流程</w:t>
      </w:r>
    </w:p>
    <w:p>
      <w:pPr>
        <w:pStyle w:val="Heading2"/>
      </w:pPr>
      <w:r>
        <w:t>信任条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实名宠托师 · SOP 照护记录 · 平台申诉支持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038  /  语言系统</w:t>
      </w:r>
    </w:p>
    <w:p>
      <w:pPr>
        <w:pStyle w:val="Heading1"/>
      </w:pPr>
      <w:r>
        <w:t>订单生命周期文案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状态命名同时说明“现在发生什么”和“下一步是什么”。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3960"/>
        <w:gridCol w:w="3816"/>
      </w:tblGrid>
      <w:tr>
        <w:trPr>
          <w:tblHeader w:val="true"/>
        </w:trPr>
        <w:tc>
          <w:tcPr>
            <w:tcW w:type="dxa" w:w="1584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状态</w:t>
            </w:r>
          </w:p>
        </w:tc>
        <w:tc>
          <w:tcPr>
            <w:tcW w:type="dxa" w:w="3960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面向主人</w:t>
            </w:r>
          </w:p>
        </w:tc>
        <w:tc>
          <w:tcPr>
            <w:tcW w:type="dxa" w:w="3816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面向宠托师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待接单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正在为你匹配合适的宠托师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有一个符合你服务范围的新需求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待开始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宠托师已确认，将按约定时间到达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请提前查看宠物与入户说明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服务中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照护正在进行，可查看实时记录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按 SOP 完成并上传记录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待确认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照护已完成，请查看记录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已提交记录，等待确认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已完成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本次照护已完成，感谢信任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收入已进入结算流程</w:t>
            </w:r>
          </w:p>
        </w:tc>
      </w:tr>
    </w:tbl>
    <w:p>
      <w:pPr>
        <w:spacing w:before="0" w:after="20" w:line="240" w:lineRule="auto"/>
      </w:pP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039  /  语言系统</w:t>
      </w:r>
    </w:p>
    <w:p>
      <w:pPr>
        <w:pStyle w:val="Heading1"/>
      </w:pPr>
      <w:r>
        <w:t>SOP 与服务证明文案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证明不应让宠托师感到被怀疑，而应被解释为共同保护。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到达：已记录到达时间与位置。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环境确认：请确认门窗、饮水与宠物状态。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核心照护：按本次订单要求完成喂养、清洁或陪玩。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状态反馈：用图片、视频和简短文字说明宠物状态。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离开确认：检查水电门窗，并提交完整照护记录。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帮助文案：记录会同时保护宠物主人与宠托师的权益。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040  /  语言系统</w:t>
      </w:r>
    </w:p>
    <w:p>
      <w:pPr>
        <w:pStyle w:val="Heading1"/>
      </w:pPr>
      <w:r>
        <w:t>安全与申诉文案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在高风险场景中，少用安慰性套话，多用事实、时限与责任人。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744"/>
        <w:gridCol w:w="5616"/>
      </w:tblGrid>
      <w:tr>
        <w:trPr>
          <w:tblHeader w:val="true"/>
        </w:trPr>
        <w:tc>
          <w:tcPr>
            <w:tcW w:type="dxa" w:w="3744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不推荐</w:t>
            </w:r>
          </w:p>
        </w:tc>
        <w:tc>
          <w:tcPr>
            <w:tcW w:type="dxa" w:w="5616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推荐</w:t>
            </w:r>
          </w:p>
        </w:tc>
      </w:tr>
      <w:tr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别担心，我们会处理</w:t>
            </w:r>
          </w:p>
        </w:tc>
        <w:tc>
          <w:tcPr>
            <w:tcW w:type="dxa" w:w="56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我们已记录该情况，工单号 PC-2026-001；专员将在 30 分钟内联系你</w:t>
            </w:r>
          </w:p>
        </w:tc>
      </w:tr>
      <w:tr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上传证据</w:t>
            </w:r>
          </w:p>
        </w:tc>
        <w:tc>
          <w:tcPr>
            <w:tcW w:type="dxa" w:w="56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请上传与本次服务相关的照片、视频或沟通记录，用于核实</w:t>
            </w:r>
          </w:p>
        </w:tc>
      </w:tr>
      <w:tr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你的投诉失败</w:t>
            </w:r>
          </w:p>
        </w:tc>
        <w:tc>
          <w:tcPr>
            <w:tcW w:type="dxa" w:w="56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现有证据不足以支持退款；你可在 48 小时内补充材料</w:t>
            </w:r>
          </w:p>
        </w:tc>
      </w:tr>
      <w:tr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宠托师违规</w:t>
            </w:r>
          </w:p>
        </w:tc>
        <w:tc>
          <w:tcPr>
            <w:tcW w:type="dxa" w:w="56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经核实，本次服务未完成第 3 项 SOP，平台已按规则处理</w:t>
            </w:r>
          </w:p>
        </w:tc>
      </w:tr>
    </w:tbl>
    <w:p>
      <w:pPr>
        <w:spacing w:before="0" w:after="20" w:line="240" w:lineRule="auto"/>
      </w:pP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041  /  语言系统</w:t>
      </w:r>
    </w:p>
    <w:p>
      <w:pPr>
        <w:pStyle w:val="Heading1"/>
      </w:pPr>
      <w:r>
        <w:t>错误、空状态与加载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状态页也应该帮助用户继续前进。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28"/>
        <w:gridCol w:w="3096"/>
        <w:gridCol w:w="4536"/>
      </w:tblGrid>
      <w:tr>
        <w:trPr>
          <w:tblHeader w:val="true"/>
        </w:trPr>
        <w:tc>
          <w:tcPr>
            <w:tcW w:type="dxa" w:w="1728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3096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结构</w:t>
            </w:r>
          </w:p>
        </w:tc>
        <w:tc>
          <w:tcPr>
            <w:tcW w:type="dxa" w:w="4536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错误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原因 + 影响 + 恢复</w:t>
            </w:r>
          </w:p>
        </w:tc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定位未开启，暂时无法完成到达记录；请在系统设置中允许定位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空状态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现状 + 价值 + 行动</w:t>
            </w:r>
          </w:p>
        </w:tc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还没有照护记录。完成首次服务后，可在这里查看全过程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加载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当前动作 + 预期</w:t>
            </w:r>
          </w:p>
        </w:tc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正在上传视频，请保持页面开启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无权限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边界 + 申请路径</w:t>
            </w:r>
          </w:p>
        </w:tc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你暂无退款审核权限，可联系主管处理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网络失败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保留结果 + 重试</w:t>
            </w:r>
          </w:p>
        </w:tc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记录已保存在本机，网络恢复后可重新提交</w:t>
            </w:r>
          </w:p>
        </w:tc>
      </w:tr>
    </w:tbl>
    <w:p>
      <w:pPr>
        <w:spacing w:before="0" w:after="20" w:line="240" w:lineRule="auto"/>
      </w:pP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042  /  语言系统</w:t>
      </w:r>
    </w:p>
    <w:p>
      <w:pPr>
        <w:pStyle w:val="Heading1"/>
      </w:pPr>
      <w:r>
        <w:t>社区内容语气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社区可以轻松，但不能牺牲真实、隐私与尊重。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鼓励：分享真实养宠经验、服务体验与有依据的知识。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避免：以“萌”为唯一价值、过度拟人、攻击品种或服务者。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提醒：发布前遮挡门牌、电话、定位与他人面部信息。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审核：说明违反的具体规则，并提供申诉入口。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运营标题：具体、有帮助，不过度制造焦虑或使用绝对化结论。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043  /  语言系统</w:t>
      </w:r>
    </w:p>
    <w:p>
      <w:pPr>
        <w:pStyle w:val="Heading1"/>
      </w:pPr>
      <w:r>
        <w:t>Admin 与 B2B 语言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后台强调准确、责任和可审计性。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按钮使用明确动作：通过认证、驳回并说明、发起退款、冻结账号。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高风险动作必须写清影响范围与是否可恢复。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状态避免只用颜色；同时显示文字、时间、操作者与原因。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数据指标必须带口径、时间范围和更新时间。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内部术语可以专业，但禁止把技术错误直接暴露给普通用户。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044  /  语言系统</w:t>
      </w:r>
    </w:p>
    <w:p>
      <w:pPr>
        <w:pStyle w:val="Heading1"/>
      </w:pPr>
      <w:r>
        <w:t>无障碍与本地化文案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文案首先要能被理解，其次才是风格。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中文避免连续英文缩写；首次出现 SOP 时补充“标准服务流程”。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数字、日期、货币使用本地格式；金额同时说明计价单位。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屏幕阅读器标签描述动作结果，例如“播放第 2 条照护视频”。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不要仅用“这里、上方、红色”指代界面元素。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英文版不逐字翻译中文情绪句，优先保持意义与自然语序。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045  /  标识系统</w:t>
      </w:r>
    </w:p>
    <w:p/>
    <w:p>
      <w:pPr>
        <w:spacing w:before="1400" w:after="80" w:line="240" w:lineRule="auto"/>
      </w:pPr>
      <w:r>
        <w:rPr>
          <w:rFonts w:ascii="Arial" w:hAnsi="Arial" w:eastAsia="Arial"/>
          <w:b/>
          <w:i w:val="0"/>
          <w:color w:val="DCE5FF"/>
          <w:sz w:val="144"/>
        </w:rPr>
        <w:t>03</w:t>
      </w:r>
    </w:p>
    <w:p>
      <w:pPr>
        <w:spacing w:before="0" w:after="240" w:line="240" w:lineRule="auto"/>
      </w:pPr>
      <w:r>
        <w:rPr>
          <w:rFonts w:ascii="Arial" w:hAnsi="Arial" w:eastAsia="Arial"/>
          <w:b/>
          <w:i w:val="0"/>
          <w:color w:val="0D275D"/>
          <w:sz w:val="54"/>
        </w:rPr>
        <w:t>Identity System</w:t>
      </w:r>
    </w:p>
    <w:p>
      <w:pPr>
        <w:spacing w:before="0" w:after="480" w:line="288" w:lineRule="auto"/>
      </w:pPr>
      <w:r>
        <w:rPr>
          <w:rFonts w:ascii="Microsoft YaHei" w:hAnsi="Microsoft YaHei" w:eastAsia="Microsoft YaHei"/>
          <w:b/>
          <w:i w:val="0"/>
          <w:color w:val="3552C8"/>
          <w:sz w:val="36"/>
        </w:rPr>
        <w:t>品牌标识系统</w:t>
      </w:r>
    </w:p>
    <w:p>
      <w:pPr>
        <w:spacing w:before="100" w:after="100" w:line="276" w:lineRule="auto"/>
        <w:ind w:left="173" w:right="173"/>
        <w:shd w:fill="EEF2FF"/>
      </w:pPr>
      <w:r>
        <w:rPr>
          <w:rFonts w:ascii="Arial" w:hAnsi="Arial" w:eastAsia="Arial"/>
          <w:b/>
          <w:i w:val="0"/>
          <w:color w:val="3552C8"/>
          <w:sz w:val="17"/>
        </w:rPr>
        <w:t xml:space="preserve">BRAND NOTE  </w:t>
      </w:r>
      <w:r>
        <w:rPr>
          <w:rFonts w:ascii="Microsoft YaHei" w:hAnsi="Microsoft YaHei" w:eastAsia="Microsoft YaHei"/>
          <w:b/>
          <w:i w:val="0"/>
          <w:color w:val="0D275D"/>
          <w:sz w:val="19"/>
        </w:rPr>
        <w:t>Logo 是识别入口，不是页面主角。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046  /  标识系统</w:t>
      </w:r>
    </w:p>
    <w:p>
      <w:pPr>
        <w:pStyle w:val="Heading1"/>
      </w:pPr>
      <w:r>
        <w:t>当前品牌资产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用户确认的 v1.0 合成稿包含品牌定位、核心价值、Logo 含义与四色版本。</w:t>
      </w:r>
    </w:p>
    <w:p>
      <w:pPr>
        <w:spacing w:before="6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4960" cy="5394960"/>
            <wp:docPr id="2" name="Picture 2" descr="PetCare 品牌定位图与 Logo v1.0 合成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tcare-brand-positioning-logo-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39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  <w:jc w:val="center"/>
      </w:pPr>
      <w:r>
        <w:rPr>
          <w:rFonts w:ascii="Microsoft YaHei" w:hAnsi="Microsoft YaHei" w:eastAsia="Microsoft YaHei"/>
          <w:b w:val="0"/>
          <w:i/>
          <w:color w:val="667085"/>
          <w:sz w:val="17"/>
        </w:rPr>
        <w:t>图 1 · PetCare 品牌定位与 Logo 视觉基准（v1.0）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蓝色外轮廓表达家与安全边界。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绿色弧线表达关爱、连接与持续陪伴。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猫狗负空间建立品类识别。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当前稿为位图，不应直接用于生产环境缩放。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047  /  标识系统</w:t>
      </w:r>
    </w:p>
    <w:p>
      <w:pPr>
        <w:pStyle w:val="Heading1"/>
      </w:pPr>
      <w:r>
        <w:t>Logo 概念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Home × Care × Pet = Trusted Companion。</w:t>
      </w:r>
    </w:p>
    <w:p>
      <w:pPr>
        <w:pStyle w:val="Heading2"/>
      </w:pPr>
      <w:r>
        <w:t>家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外部几何轮廓形成安全空间与归属感。</w:t>
      </w:r>
    </w:p>
    <w:p>
      <w:pPr>
        <w:pStyle w:val="Heading2"/>
      </w:pPr>
      <w:r>
        <w:t>关爱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柔和的蓝绿连接关系，表达照护而非医疗。</w:t>
      </w:r>
    </w:p>
    <w:p>
      <w:pPr>
        <w:pStyle w:val="Heading2"/>
      </w:pPr>
      <w:r>
        <w:t>宠物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猫狗剪影建立快速识别，但整体保持符号化。</w:t>
      </w:r>
    </w:p>
    <w:p>
      <w:pPr>
        <w:pStyle w:val="Heading2"/>
      </w:pPr>
      <w:r>
        <w:t>信任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闭合结构与稳定重心传达可靠与长期。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048  /  标识系统</w:t>
      </w:r>
    </w:p>
    <w:p>
      <w:pPr>
        <w:pStyle w:val="Heading1"/>
      </w:pPr>
      <w:r>
        <w:t>几何与重绘要求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生产母版必须重新建立为矢量，不从位图自动描摹直接交付。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使用统一的 8px 构造网格与对称轴。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轮廓节点应为整数坐标，减少小尺寸渲染毛刺。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猫狗负空间需在 16px 和 20px 下做可辨识性测试。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蓝绿交接处避免过细、过尖或产生不必要空洞。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母版需包含彩色、深色、单色与反白四种 SVG。</w:t>
      </w:r>
    </w:p>
    <w:p>
      <w:pPr>
        <w:spacing w:before="100" w:after="100" w:line="276" w:lineRule="auto"/>
        <w:ind w:left="173" w:right="173"/>
        <w:shd w:fill="EEF2FF"/>
      </w:pPr>
      <w:r>
        <w:rPr>
          <w:rFonts w:ascii="Arial" w:hAnsi="Arial" w:eastAsia="Arial"/>
          <w:b/>
          <w:i w:val="0"/>
          <w:color w:val="3552C8"/>
          <w:sz w:val="17"/>
        </w:rPr>
        <w:t xml:space="preserve">BRAND NOTE  </w:t>
      </w:r>
      <w:r>
        <w:rPr>
          <w:rFonts w:ascii="Microsoft YaHei" w:hAnsi="Microsoft YaHei" w:eastAsia="Microsoft YaHei"/>
          <w:b/>
          <w:i w:val="0"/>
          <w:color w:val="0D275D"/>
          <w:sz w:val="19"/>
        </w:rPr>
        <w:t>本手册不宣称位图中的几何已达到最终 SVG 精度。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049  /  标识系统</w:t>
      </w:r>
    </w:p>
    <w:p>
      <w:pPr>
        <w:pStyle w:val="Heading1"/>
      </w:pPr>
      <w:r>
        <w:t>Logo 版本体系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响应式标识随可用空间逐级简化。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24"/>
        <w:gridCol w:w="4536"/>
      </w:tblGrid>
      <w:tr>
        <w:trPr>
          <w:tblHeader w:val="true"/>
        </w:trPr>
        <w:tc>
          <w:tcPr>
            <w:tcW w:type="dxa" w:w="1800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版本</w:t>
            </w:r>
          </w:p>
        </w:tc>
        <w:tc>
          <w:tcPr>
            <w:tcW w:type="dxa" w:w="3024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组成</w:t>
            </w:r>
          </w:p>
        </w:tc>
        <w:tc>
          <w:tcPr>
            <w:tcW w:type="dxa" w:w="4536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使用场景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Primary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Symbol + PetCare + 中文/主张可选</w:t>
            </w:r>
          </w:p>
        </w:tc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品牌页、官网页脚、正式材料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Compact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Symbol + PetCare</w:t>
            </w:r>
          </w:p>
        </w:tc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Header、登录页、Admin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Symbol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图形标</w:t>
            </w:r>
          </w:p>
        </w:tc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App、小程序、头像、窄导航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Micro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简化图形</w:t>
            </w:r>
          </w:p>
        </w:tc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16–20px favicon 与密集列表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Monochrome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单色图形/组合</w:t>
            </w:r>
          </w:p>
        </w:tc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打印、压印、受限背景</w:t>
            </w:r>
          </w:p>
        </w:tc>
      </w:tr>
    </w:tbl>
    <w:p>
      <w:pPr>
        <w:spacing w:before="0" w:after="20" w:line="240" w:lineRule="auto"/>
      </w:pP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050  /  标识系统</w:t>
      </w:r>
    </w:p>
    <w:p>
      <w:pPr>
        <w:pStyle w:val="Heading1"/>
      </w:pPr>
      <w:r>
        <w:t>安全区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Logo 四周至少保留 0.25H 的净空，H 为图形标高度。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Primary Logo：文字与图形整体外侧均应用安全区。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App Icon：安全区由系统图标模板另行控制，不额外加白边。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导航：图形与 PetCare 字标之间的固定间距为 0.24H。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不得把状态徽标、活动角标或合作方 Logo 放入安全区。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Hero 中 Logo 仅作识别，面积不超过画面 2%。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051  /  标识系统</w:t>
      </w:r>
    </w:p>
    <w:p>
      <w:pPr>
        <w:pStyle w:val="Heading1"/>
      </w:pPr>
      <w:r>
        <w:t>最小尺寸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尺寸下限由可识别性决定，不由视觉偏好决定。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2592"/>
        <w:gridCol w:w="4536"/>
      </w:tblGrid>
      <w:tr>
        <w:trPr>
          <w:tblHeader w:val="true"/>
        </w:trPr>
        <w:tc>
          <w:tcPr>
            <w:tcW w:type="dxa" w:w="2232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场景</w:t>
            </w:r>
          </w:p>
        </w:tc>
        <w:tc>
          <w:tcPr>
            <w:tcW w:type="dxa" w:w="2592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建议尺寸</w:t>
            </w:r>
          </w:p>
        </w:tc>
        <w:tc>
          <w:tcPr>
            <w:tcW w:type="dxa" w:w="4536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允许版本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Favicon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16×16 / 20×20</w:t>
            </w:r>
          </w:p>
        </w:tc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Micro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按钮图标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16×16</w:t>
            </w:r>
          </w:p>
        </w:tc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Micro / 单色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列表/状态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20×20</w:t>
            </w:r>
          </w:p>
        </w:tc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Symbol 简化版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Web Header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32×32</w:t>
            </w:r>
          </w:p>
        </w:tc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Compact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品牌标题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48×48</w:t>
            </w:r>
          </w:p>
        </w:tc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Primary / Compact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品牌展示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64×64</w:t>
            </w:r>
          </w:p>
        </w:tc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Primary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App Icon 母版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1024×1024</w:t>
            </w:r>
          </w:p>
        </w:tc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Symbol</w:t>
            </w:r>
          </w:p>
        </w:tc>
      </w:tr>
    </w:tbl>
    <w:p>
      <w:pPr>
        <w:spacing w:before="0" w:after="20" w:line="240" w:lineRule="auto"/>
      </w:pP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052  /  标识系统</w:t>
      </w:r>
    </w:p>
    <w:p>
      <w:pPr>
        <w:pStyle w:val="Heading1"/>
      </w:pPr>
      <w:r>
        <w:t>响应式 Logo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先减少文字，再简化细节，不通过整体缩小解决空间问题。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≥240px：图形 + PetCare + 可选中文或主张。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120–239px：图形 + PetCare。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32–119px：仅图形标。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16–31px：Micro 版，去除窗格与过细负空间。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任何尺寸不得重新排版、压缩字距或改变图文比例。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053  /  标识系统</w:t>
      </w:r>
    </w:p>
    <w:p>
      <w:pPr>
        <w:pStyle w:val="Heading1"/>
      </w:pPr>
      <w:r>
        <w:t>背景使用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优先保证清晰度与安静的品牌气质。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16"/>
        <w:gridCol w:w="2880"/>
        <w:gridCol w:w="4464"/>
      </w:tblGrid>
      <w:tr>
        <w:trPr>
          <w:tblHeader w:val="true"/>
        </w:trPr>
        <w:tc>
          <w:tcPr>
            <w:tcW w:type="dxa" w:w="2016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背景</w:t>
            </w:r>
          </w:p>
        </w:tc>
        <w:tc>
          <w:tcPr>
            <w:tcW w:type="dxa" w:w="2880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推荐版本</w:t>
            </w:r>
          </w:p>
        </w:tc>
        <w:tc>
          <w:tcPr>
            <w:tcW w:type="dxa" w:w="4464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白/浅灰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彩色或深蓝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默认场景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品牌蓝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纯白反白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禁止叠加彩色渐变标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照片浅区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深蓝或带白色安全底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对比度清晰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照片深区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白色反白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避免跨越复杂纹理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单色印刷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100% 黑或专色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不使用灰度渐变</w:t>
            </w:r>
          </w:p>
        </w:tc>
      </w:tr>
    </w:tbl>
    <w:p>
      <w:pPr>
        <w:spacing w:before="0" w:after="20" w:line="240" w:lineRule="auto"/>
      </w:pP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054  /  标识系统</w:t>
      </w:r>
    </w:p>
    <w:p>
      <w:pPr>
        <w:pStyle w:val="Heading1"/>
      </w:pPr>
      <w:r>
        <w:t>禁止用法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不正确的使用会削弱识别与信任。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禁止拉伸、倾斜、旋转或改变图文比例。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禁止自行替换蓝绿颜色或添加未定义渐变。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禁止添加投影、发光、描边、纹理或 3D 效果。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禁止把 Logo 放入宠物爪印、圆形徽章等二次容器。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禁止直接截取合成图中的 Logo 用于正式产品。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禁止在复杂照片上缺少安全底或对比度检查。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055  /  标识系统</w:t>
      </w:r>
    </w:p>
    <w:p>
      <w:pPr>
        <w:pStyle w:val="Heading1"/>
      </w:pPr>
      <w:r>
        <w:t>App Icon 与 Favicon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图标不是缩小版海报，而是高频识别资产。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App/小程序：使用 Symbol，保留系统圆角裁切安全区。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1024px 母版不预先裁圆角，不添加外部阴影。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48px 以下逐步减少窗格与动物细节。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深浅主题分别提供静态资源，禁止运行时滤镜反色。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Favicon 测试 16px、20px、32px 的边缘清晰度。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056  /  标识系统</w:t>
      </w:r>
    </w:p>
    <w:p>
      <w:pPr>
        <w:pStyle w:val="Heading1"/>
      </w:pPr>
      <w:r>
        <w:t>联合品牌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合作方标识与 PetCare 平等、清晰、不过度拥挤。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使用 1px 中性分隔线，分隔线高度不超过 Logo 高度 70%。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双方图形视觉面积近似，不机械使用相同宽度。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合作活动不得改变 PetCare 主色或图形结构。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“Powered by PetCare”用于能力输出；“PetCare × Partner”用于共同主办。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涉及保险、支付、地图时，不得暗示合作方对全部服务背书。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057  /  标识系统</w:t>
      </w:r>
    </w:p>
    <w:p>
      <w:pPr>
        <w:pStyle w:val="Heading1"/>
      </w:pPr>
      <w:r>
        <w:t>资产命名与目录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可预测的命名让设计与研发使用同一资产。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文件名使用小写 kebab-case。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颜色模式、版本和尺寸必须进入文件名。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SVG 不嵌入位图，不包含编辑器私有元数据。</w:t>
      </w:r>
    </w:p>
    <w:p>
      <w:pPr>
        <w:spacing w:before="80" w:after="120" w:line="269" w:lineRule="auto"/>
        <w:ind w:left="259"/>
        <w:shd w:fill="F1F5F9"/>
      </w:pPr>
      <w:r>
        <w:rPr>
          <w:rFonts w:ascii="Consolas" w:hAnsi="Consolas" w:eastAsia="Consolas"/>
          <w:b w:val="0"/>
          <w:i w:val="0"/>
          <w:color w:val="0D275D"/>
          <w:sz w:val="16"/>
        </w:rPr>
        <w:t>assets/brand/</w:t>
        <w:br/>
        <w:t xml:space="preserve">  logo/</w:t>
        <w:br/>
        <w:t xml:space="preserve">    petcare-logo-primary-light.svg</w:t>
        <w:br/>
        <w:t xml:space="preserve">    petcare-logo-primary-dark.svg</w:t>
        <w:br/>
        <w:t xml:space="preserve">    petcare-symbol-color.svg</w:t>
        <w:br/>
        <w:t xml:space="preserve">    petcare-symbol-mono.svg</w:t>
        <w:br/>
        <w:t xml:space="preserve">    petcare-symbol-micro-16.svg</w:t>
        <w:br/>
        <w:t xml:space="preserve">  app-icon/</w:t>
        <w:br/>
        <w:t xml:space="preserve">  favicon/</w:t>
        <w:br/>
        <w:t xml:space="preserve">  social/</w:t>
        <w:br/>
        <w:t xml:space="preserve">  legal/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058  /  标识系统</w:t>
      </w:r>
    </w:p>
    <w:p>
      <w:pPr>
        <w:pStyle w:val="Heading1"/>
      </w:pPr>
      <w:r>
        <w:t>Logo 验收门槛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最终矢量资产必须在交付前通过以下检查。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几何：节点、对称、负空间、视重心。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小尺寸：16/20/24/32/48/64px 截图对比。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背景：浅色、深色、照片、灰度打印。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技术：SVG viewBox、无外链字体、无多余 group、可 tree-shake。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无障碍：非文字 Logo 有可用的替代文本；装饰性 Logo 可被忽略。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法务：名称、图形与域名商标检索另行完成。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059  /  视觉系统</w:t>
      </w:r>
    </w:p>
    <w:p/>
    <w:p>
      <w:pPr>
        <w:spacing w:before="1400" w:after="80" w:line="240" w:lineRule="auto"/>
      </w:pPr>
      <w:r>
        <w:rPr>
          <w:rFonts w:ascii="Arial" w:hAnsi="Arial" w:eastAsia="Arial"/>
          <w:b/>
          <w:i w:val="0"/>
          <w:color w:val="DCE5FF"/>
          <w:sz w:val="144"/>
        </w:rPr>
        <w:t>04</w:t>
      </w:r>
    </w:p>
    <w:p>
      <w:pPr>
        <w:spacing w:before="0" w:after="240" w:line="240" w:lineRule="auto"/>
      </w:pPr>
      <w:r>
        <w:rPr>
          <w:rFonts w:ascii="Arial" w:hAnsi="Arial" w:eastAsia="Arial"/>
          <w:b/>
          <w:i w:val="0"/>
          <w:color w:val="0D275D"/>
          <w:sz w:val="54"/>
        </w:rPr>
        <w:t>Visual System</w:t>
      </w:r>
    </w:p>
    <w:p>
      <w:pPr>
        <w:spacing w:before="0" w:after="480" w:line="288" w:lineRule="auto"/>
      </w:pPr>
      <w:r>
        <w:rPr>
          <w:rFonts w:ascii="Microsoft YaHei" w:hAnsi="Microsoft YaHei" w:eastAsia="Microsoft YaHei"/>
          <w:b/>
          <w:i w:val="0"/>
          <w:color w:val="3552C8"/>
          <w:sz w:val="36"/>
        </w:rPr>
        <w:t>视觉设计系统</w:t>
      </w:r>
    </w:p>
    <w:p>
      <w:pPr>
        <w:spacing w:before="100" w:after="100" w:line="276" w:lineRule="auto"/>
        <w:ind w:left="173" w:right="173"/>
        <w:shd w:fill="EEF2FF"/>
      </w:pPr>
      <w:r>
        <w:rPr>
          <w:rFonts w:ascii="Arial" w:hAnsi="Arial" w:eastAsia="Arial"/>
          <w:b/>
          <w:i w:val="0"/>
          <w:color w:val="3552C8"/>
          <w:sz w:val="17"/>
        </w:rPr>
        <w:t xml:space="preserve">BRAND NOTE  </w:t>
      </w:r>
      <w:r>
        <w:rPr>
          <w:rFonts w:ascii="Microsoft YaHei" w:hAnsi="Microsoft YaHei" w:eastAsia="Microsoft YaHei"/>
          <w:b/>
          <w:i w:val="0"/>
          <w:color w:val="0D275D"/>
          <w:sz w:val="19"/>
        </w:rPr>
        <w:t>柔和但不软弱，现代但不冰冷，专业但不医疗。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060  /  视觉系统</w:t>
      </w:r>
    </w:p>
    <w:p>
      <w:pPr>
        <w:pStyle w:val="Heading1"/>
      </w:pPr>
      <w:r>
        <w:t>色彩哲学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蓝色建立可信与秩序，薄荷绿传递关爱与陪伴，琥珀色提示行动与温度。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品牌蓝用于主行动、重点信息和品牌识别。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薄荷绿用于陪伴、完成、成长与温和辅助。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琥珀色用于提醒、悬赏价格与有限度强调。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红色仅用于危险、失败和不可逆操作。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大面积背景保持中性，让宠物内容和证据成为主角。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061  /  视觉系统</w:t>
      </w:r>
    </w:p>
    <w:p>
      <w:pPr>
        <w:pStyle w:val="Heading1"/>
      </w:pPr>
      <w:r>
        <w:t>品牌色阶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色阶用于交互状态，不随意通过透明度临时生成。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2016"/>
        <w:gridCol w:w="4464"/>
      </w:tblGrid>
      <w:tr>
        <w:trPr>
          <w:tblHeader w:val="true"/>
        </w:trPr>
        <w:tc>
          <w:tcPr>
            <w:tcW w:type="dxa" w:w="2880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Token</w:t>
            </w:r>
          </w:p>
        </w:tc>
        <w:tc>
          <w:tcPr>
            <w:tcW w:type="dxa" w:w="2016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HEX</w:t>
            </w:r>
          </w:p>
        </w:tc>
        <w:tc>
          <w:tcPr>
            <w:tcW w:type="dxa" w:w="4464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primary-50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#EEF2FF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浅品牌面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primary-100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#DCE5FF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选中背景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primary-500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#4A6CF7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主色/主按钮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primary-600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#3F5FE0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Hover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primary-700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#3552C8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Active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mint-50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#ECFBF8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柔和成功面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mint-500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#5BC8AF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辅助品牌色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amber-500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#F6B343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提醒与悬赏</w:t>
            </w:r>
          </w:p>
        </w:tc>
      </w:tr>
    </w:tbl>
    <w:p>
      <w:pPr>
        <w:spacing w:before="0" w:after="20" w:line="240" w:lineRule="auto"/>
      </w:pP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062  /  视觉系统</w:t>
      </w:r>
    </w:p>
    <w:p>
      <w:pPr>
        <w:pStyle w:val="Heading1"/>
      </w:pPr>
      <w:r>
        <w:t>语义色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语义色表达系统状态，不替代文字与图标。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2016"/>
        <w:gridCol w:w="2160"/>
        <w:gridCol w:w="3240"/>
      </w:tblGrid>
      <w:tr>
        <w:trPr>
          <w:tblHeader w:val="true"/>
        </w:trPr>
        <w:tc>
          <w:tcPr>
            <w:tcW w:type="dxa" w:w="1944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语义</w:t>
            </w:r>
          </w:p>
        </w:tc>
        <w:tc>
          <w:tcPr>
            <w:tcW w:type="dxa" w:w="2016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主色</w:t>
            </w:r>
          </w:p>
        </w:tc>
        <w:tc>
          <w:tcPr>
            <w:tcW w:type="dxa" w:w="2160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浅色面</w:t>
            </w:r>
          </w:p>
        </w:tc>
        <w:tc>
          <w:tcPr>
            <w:tcW w:type="dxa" w:w="3240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使用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Success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#16866E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#EAF8F4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已完成、已通过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Info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#3552C8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#EEF2FF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处理中、说明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Warning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#B26A00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#FFF5DF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需关注、即将超时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Danger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#C23B43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#FDECEE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失败、危险、拒绝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Neutral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#667085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#F2F4F7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停用、次要状态</w:t>
            </w:r>
          </w:p>
        </w:tc>
      </w:tr>
    </w:tbl>
    <w:p>
      <w:pPr>
        <w:spacing w:before="0" w:after="20" w:line="240" w:lineRule="auto"/>
      </w:pP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063  /  视觉系统</w:t>
      </w:r>
    </w:p>
    <w:p>
      <w:pPr>
        <w:pStyle w:val="Heading1"/>
      </w:pPr>
      <w:r>
        <w:t>深色模式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深色模式不是简单反色，应保持层级与宠物媒体内容的真实。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Canvas #0F172A；Surface #172033；Elevated #202A3E。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Text Primary #F8FAFC；Secondary #CBD5E1；Border #334155。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品牌蓝提高亮度至 #6F8BFF，薄荷绿使用 #73D6C0。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媒体、地图和视频不整体加暗色滤镜。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危险色需在深色背景重新测试对比度与色盲可辨识性。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064  /  视觉系统</w:t>
      </w:r>
    </w:p>
    <w:p>
      <w:pPr>
        <w:pStyle w:val="Heading1"/>
      </w:pPr>
      <w:r>
        <w:t>色彩对比与可访问性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正文与关键操作至少满足 WCAG 2.2 AA。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普通文字对比度 ≥4.5:1；大号文字 ≥3:1。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图标、边界和焦点指示器 ≥3:1。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禁用态可以降低强调，但文字仍需可读。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不得仅靠红/绿区分订单或审核状态。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任何新 Token 合并前必须完成 Light/Dark 对比测试。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065  /  视觉系统</w:t>
      </w:r>
    </w:p>
    <w:p>
      <w:pPr>
        <w:pStyle w:val="Heading1"/>
      </w:pPr>
      <w:r>
        <w:t>字体系统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中文以思源黑体为品牌基准；工程回退保证跨端可用。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44"/>
        <w:gridCol w:w="3816"/>
      </w:tblGrid>
      <w:tr>
        <w:trPr>
          <w:tblHeader w:val="true"/>
        </w:trPr>
        <w:tc>
          <w:tcPr>
            <w:tcW w:type="dxa" w:w="1800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角色</w:t>
            </w:r>
          </w:p>
        </w:tc>
        <w:tc>
          <w:tcPr>
            <w:tcW w:type="dxa" w:w="3744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首选</w:t>
            </w:r>
          </w:p>
        </w:tc>
        <w:tc>
          <w:tcPr>
            <w:tcW w:type="dxa" w:w="3816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回退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中文 UI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Source Han Sans SC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PingFang SC / Microsoft YaHei / sans-serif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英文品牌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Montserrat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Arial / sans-serif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正文数字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系统字体等宽数字特性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Arial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代码/标识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JetBrains Mono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Consolas / monospace</w:t>
            </w:r>
          </w:p>
        </w:tc>
      </w:tr>
    </w:tbl>
    <w:p>
      <w:pPr>
        <w:spacing w:before="0" w:after="20" w:line="240" w:lineRule="auto"/>
      </w:pPr>
    </w:p>
    <w:p>
      <w:pPr>
        <w:spacing w:before="100" w:after="100" w:line="276" w:lineRule="auto"/>
        <w:ind w:left="173" w:right="173"/>
        <w:shd w:fill="EEF2FF"/>
      </w:pPr>
      <w:r>
        <w:rPr>
          <w:rFonts w:ascii="Arial" w:hAnsi="Arial" w:eastAsia="Arial"/>
          <w:b/>
          <w:i w:val="0"/>
          <w:color w:val="3552C8"/>
          <w:sz w:val="17"/>
        </w:rPr>
        <w:t xml:space="preserve">BRAND NOTE  </w:t>
      </w:r>
      <w:r>
        <w:rPr>
          <w:rFonts w:ascii="Microsoft YaHei" w:hAnsi="Microsoft YaHei" w:eastAsia="Microsoft YaHei"/>
          <w:b/>
          <w:i w:val="0"/>
          <w:color w:val="0D275D"/>
          <w:sz w:val="19"/>
        </w:rPr>
        <w:t>LOGO 字标应转曲为矢量；产品 UI 不加载不必要的品牌字体字重。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066  /  视觉系统</w:t>
      </w:r>
    </w:p>
    <w:p>
      <w:pPr>
        <w:pStyle w:val="Heading1"/>
      </w:pPr>
      <w:r>
        <w:t>字体层级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Admin 默认 14px；小程序与移动端正文优先 14–16px。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1944"/>
        <w:gridCol w:w="1728"/>
        <w:gridCol w:w="3528"/>
      </w:tblGrid>
      <w:tr>
        <w:trPr>
          <w:tblHeader w:val="true"/>
        </w:trPr>
        <w:tc>
          <w:tcPr>
            <w:tcW w:type="dxa" w:w="2160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Token</w:t>
            </w:r>
          </w:p>
        </w:tc>
        <w:tc>
          <w:tcPr>
            <w:tcW w:type="dxa" w:w="1944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Size/Line</w:t>
            </w:r>
          </w:p>
        </w:tc>
        <w:tc>
          <w:tcPr>
            <w:tcW w:type="dxa" w:w="1728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Weight</w:t>
            </w:r>
          </w:p>
        </w:tc>
        <w:tc>
          <w:tcPr>
            <w:tcW w:type="dxa" w:w="3528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display-lg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40/48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700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品牌页面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h1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32/40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700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页面主标题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h2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24/32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700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主要分区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h3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20/28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600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卡片组标题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title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16/24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600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卡片标题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body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14/22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400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默认正文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body-lg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16/26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400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移动端主要阅读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caption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12/18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400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辅助信息</w:t>
            </w:r>
          </w:p>
        </w:tc>
      </w:tr>
    </w:tbl>
    <w:p>
      <w:pPr>
        <w:spacing w:before="0" w:after="20" w:line="240" w:lineRule="auto"/>
      </w:pP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067  /  视觉系统</w:t>
      </w:r>
    </w:p>
    <w:p>
      <w:pPr>
        <w:pStyle w:val="Heading1"/>
      </w:pPr>
      <w:r>
        <w:t>排版规则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清晰的层级比更多字重更重要。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中文不使用全大写效果；英文标签可使用全大写但增加字距。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每行中文正文建议 28–42 字，长文不超过 48 字。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金额、时间与订单号使用 tabular numerals，便于纵向比较。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标题避免孤行；数字与单位、日期与时间尽量不拆行。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不在产品界面使用低于 12px 的可读文字。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068  /  视觉系统</w:t>
      </w:r>
    </w:p>
    <w:p>
      <w:pPr>
        <w:pStyle w:val="Heading1"/>
      </w:pPr>
      <w:r>
        <w:t>栅格与容器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统一响应式栅格，但不强求小程序与 Admin 共享页面布局。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组件共享语义与 Token，不共享不适合平台的物理尺寸。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440"/>
        <w:gridCol w:w="2016"/>
        <w:gridCol w:w="4104"/>
      </w:tblGrid>
      <w:tr>
        <w:trPr>
          <w:tblHeader w:val="true"/>
        </w:trPr>
        <w:tc>
          <w:tcPr>
            <w:tcW w:type="dxa" w:w="1800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端</w:t>
            </w:r>
          </w:p>
        </w:tc>
        <w:tc>
          <w:tcPr>
            <w:tcW w:type="dxa" w:w="1440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列</w:t>
            </w:r>
          </w:p>
        </w:tc>
        <w:tc>
          <w:tcPr>
            <w:tcW w:type="dxa" w:w="2016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间距</w:t>
            </w:r>
          </w:p>
        </w:tc>
        <w:tc>
          <w:tcPr>
            <w:tcW w:type="dxa" w:w="4104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边距/容器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Desktop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12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24px</w:t>
            </w:r>
          </w:p>
        </w:tc>
        <w:tc>
          <w:tcPr>
            <w:tcW w:type="dxa" w:w="41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max 1440px；24–40px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Tablet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8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20px</w:t>
            </w:r>
          </w:p>
        </w:tc>
        <w:tc>
          <w:tcPr>
            <w:tcW w:type="dxa" w:w="41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24px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Mobile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4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16px</w:t>
            </w:r>
          </w:p>
        </w:tc>
        <w:tc>
          <w:tcPr>
            <w:tcW w:type="dxa" w:w="41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16px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Miniapp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4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12–16px</w:t>
            </w:r>
          </w:p>
        </w:tc>
        <w:tc>
          <w:tcPr>
            <w:tcW w:type="dxa" w:w="41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16px 语义 Token</w:t>
            </w:r>
          </w:p>
        </w:tc>
      </w:tr>
    </w:tbl>
    <w:p>
      <w:pPr>
        <w:spacing w:before="0" w:after="20" w:line="240" w:lineRule="auto"/>
      </w:pP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069  /  视觉系统</w:t>
      </w:r>
    </w:p>
    <w:p>
      <w:pPr>
        <w:pStyle w:val="Heading1"/>
      </w:pPr>
      <w:r>
        <w:t>间距系统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以 4px 为原子、8px 为主要节奏。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组件内部优先 4/8/12/16；区块间优先 24/32/48。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Miniapp 禁止临时 arbitrary value，新增尺寸进入 @theme 语义 Token。</w:t>
      </w:r>
    </w:p>
    <w:p>
      <w:pPr>
        <w:spacing w:before="80" w:after="120" w:line="269" w:lineRule="auto"/>
        <w:ind w:left="259"/>
        <w:shd w:fill="F1F5F9"/>
      </w:pPr>
      <w:r>
        <w:rPr>
          <w:rFonts w:ascii="Consolas" w:hAnsi="Consolas" w:eastAsia="Consolas"/>
          <w:b w:val="0"/>
          <w:i w:val="0"/>
          <w:color w:val="0D275D"/>
          <w:sz w:val="16"/>
        </w:rPr>
        <w:t>space-1  4px</w:t>
        <w:br/>
        <w:t>space-2  8px</w:t>
        <w:br/>
        <w:t>space-3  12px</w:t>
        <w:br/>
        <w:t>space-4  16px</w:t>
        <w:br/>
        <w:t>space-5  20px</w:t>
        <w:br/>
        <w:t>space-6  24px</w:t>
        <w:br/>
        <w:t>space-8  32px</w:t>
        <w:br/>
        <w:t>space-10 40px</w:t>
        <w:br/>
        <w:t>space-12 48px</w:t>
        <w:br/>
        <w:t>space-16 64px</w:t>
        <w:br/>
        <w:t>space-20 80px</w:t>
        <w:br/>
        <w:t>space-24 96px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070  /  视觉系统</w:t>
      </w:r>
    </w:p>
    <w:p>
      <w:pPr>
        <w:pStyle w:val="Heading1"/>
      </w:pPr>
      <w:r>
        <w:t>圆角系统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圆角表达友好，但不把所有容器变成胶囊。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1728"/>
        <w:gridCol w:w="5472"/>
      </w:tblGrid>
      <w:tr>
        <w:trPr>
          <w:tblHeader w:val="true"/>
        </w:trPr>
        <w:tc>
          <w:tcPr>
            <w:tcW w:type="dxa" w:w="2160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Token</w:t>
            </w:r>
          </w:p>
        </w:tc>
        <w:tc>
          <w:tcPr>
            <w:tcW w:type="dxa" w:w="1728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值</w:t>
            </w:r>
          </w:p>
        </w:tc>
        <w:tc>
          <w:tcPr>
            <w:tcW w:type="dxa" w:w="5472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radius-xs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4px</w:t>
            </w:r>
          </w:p>
        </w:tc>
        <w:tc>
          <w:tcPr>
            <w:tcW w:type="dxa" w:w="54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小标签、焦点细节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radius-sm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8px</w:t>
            </w:r>
          </w:p>
        </w:tc>
        <w:tc>
          <w:tcPr>
            <w:tcW w:type="dxa" w:w="54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输入框、按钮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radius-md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12px</w:t>
            </w:r>
          </w:p>
        </w:tc>
        <w:tc>
          <w:tcPr>
            <w:tcW w:type="dxa" w:w="54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卡片、弹窗内容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radius-lg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16px</w:t>
            </w:r>
          </w:p>
        </w:tc>
        <w:tc>
          <w:tcPr>
            <w:tcW w:type="dxa" w:w="54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移动端大卡片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radius-xl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24px</w:t>
            </w:r>
          </w:p>
        </w:tc>
        <w:tc>
          <w:tcPr>
            <w:tcW w:type="dxa" w:w="54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Hero 或大图容器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radius-full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9999px</w:t>
            </w:r>
          </w:p>
        </w:tc>
        <w:tc>
          <w:tcPr>
            <w:tcW w:type="dxa" w:w="54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头像、状态点、明确胶囊</w:t>
            </w:r>
          </w:p>
        </w:tc>
      </w:tr>
    </w:tbl>
    <w:p>
      <w:pPr>
        <w:spacing w:before="0" w:after="20" w:line="240" w:lineRule="auto"/>
      </w:pP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071  /  视觉系统</w:t>
      </w:r>
    </w:p>
    <w:p>
      <w:pPr>
        <w:pStyle w:val="Heading1"/>
      </w:pPr>
      <w:r>
        <w:t>阴影与层级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层级优先通过背景、边界和间距表达，阴影只辅助浮层。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40"/>
        <w:gridCol w:w="2448"/>
        <w:gridCol w:w="5472"/>
      </w:tblGrid>
      <w:tr>
        <w:trPr>
          <w:tblHeader w:val="true"/>
        </w:trPr>
        <w:tc>
          <w:tcPr>
            <w:tcW w:type="dxa" w:w="1440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层级</w:t>
            </w:r>
          </w:p>
        </w:tc>
        <w:tc>
          <w:tcPr>
            <w:tcW w:type="dxa" w:w="2448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Token</w:t>
            </w:r>
          </w:p>
        </w:tc>
        <w:tc>
          <w:tcPr>
            <w:tcW w:type="dxa" w:w="5472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使用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0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none</w:t>
            </w:r>
          </w:p>
        </w:tc>
        <w:tc>
          <w:tcPr>
            <w:tcW w:type="dxa" w:w="54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页面与普通卡片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shadow-xs</w:t>
            </w:r>
          </w:p>
        </w:tc>
        <w:tc>
          <w:tcPr>
            <w:tcW w:type="dxa" w:w="54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悬停卡片、轻微强调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shadow-sm</w:t>
            </w:r>
          </w:p>
        </w:tc>
        <w:tc>
          <w:tcPr>
            <w:tcW w:type="dxa" w:w="54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Dropdown、Popover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3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shadow-md</w:t>
            </w:r>
          </w:p>
        </w:tc>
        <w:tc>
          <w:tcPr>
            <w:tcW w:type="dxa" w:w="54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Modal、Drawer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4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shadow-lg</w:t>
            </w:r>
          </w:p>
        </w:tc>
        <w:tc>
          <w:tcPr>
            <w:tcW w:type="dxa" w:w="54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全局浮层；谨慎使用</w:t>
            </w:r>
          </w:p>
        </w:tc>
      </w:tr>
    </w:tbl>
    <w:p>
      <w:pPr>
        <w:spacing w:before="0" w:after="20" w:line="240" w:lineRule="auto"/>
      </w:pPr>
    </w:p>
    <w:p>
      <w:pPr>
        <w:spacing w:before="100" w:after="100" w:line="276" w:lineRule="auto"/>
        <w:ind w:left="173" w:right="173"/>
        <w:shd w:fill="EEF2FF"/>
      </w:pPr>
      <w:r>
        <w:rPr>
          <w:rFonts w:ascii="Arial" w:hAnsi="Arial" w:eastAsia="Arial"/>
          <w:b/>
          <w:i w:val="0"/>
          <w:color w:val="3552C8"/>
          <w:sz w:val="17"/>
        </w:rPr>
        <w:t xml:space="preserve">BRAND NOTE  </w:t>
      </w:r>
      <w:r>
        <w:rPr>
          <w:rFonts w:ascii="Microsoft YaHei" w:hAnsi="Microsoft YaHei" w:eastAsia="Microsoft YaHei"/>
          <w:b/>
          <w:i w:val="0"/>
          <w:color w:val="0D275D"/>
          <w:sz w:val="19"/>
        </w:rPr>
        <w:t>禁止把阴影作为可点击性的唯一提示。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072  /  视觉系统</w:t>
      </w:r>
    </w:p>
    <w:p>
      <w:pPr>
        <w:pStyle w:val="Heading1"/>
      </w:pPr>
      <w:r>
        <w:t>图标系统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24px 网格、2px 圆角描边是默认语言。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常用尺寸：16、20、24、28、32px。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同一界面不要混用线性与填充风格；选中态可使用局部填充。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宠物、订单、支付、定位、安全等核心图标需维护自有 SVG 资产。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图标与文字并用时，图标不承担完整语义。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小程序图标需测试真机像素对齐与触控区域。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073  /  视觉系统</w:t>
      </w:r>
    </w:p>
    <w:p>
      <w:pPr>
        <w:pStyle w:val="Heading1"/>
      </w:pPr>
      <w:r>
        <w:t>摄影系统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展示照护后的安心生活，而不是刻意摆拍的服务过程。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环境：现代住宅、自然光、木质与织物、整洁但真实。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宠物：自然姿态、真实毛发、不过度拟人或夸张表情。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人物：可出现局部互动，但不抢夺宠物与关系主题。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构图：主体偏一侧，为 Banner 文案保留安全区。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禁止：医院、笼具焦虑、过度滤镜、危险动作、失真 AI 细节。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074  /  视觉系统</w:t>
      </w:r>
    </w:p>
    <w:p>
      <w:pPr>
        <w:pStyle w:val="Heading1"/>
      </w:pPr>
      <w:r>
        <w:t>插画系统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轻量、几何、圆润、低噪声；服务于说明与状态。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7272"/>
      </w:tblGrid>
      <w:tr>
        <w:trPr>
          <w:tblHeader w:val="true"/>
        </w:trPr>
        <w:tc>
          <w:tcPr>
            <w:tcW w:type="dxa" w:w="2088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维度</w:t>
            </w:r>
          </w:p>
        </w:tc>
        <w:tc>
          <w:tcPr>
            <w:tcW w:type="dxa" w:w="7272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规范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形状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基础几何 + 柔和圆角；轮廓统一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颜色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品牌蓝/薄荷绿为主，琥珀少量强调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人物/宠物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比例自然，不 Q 版、不二次元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场景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欢迎、空状态、成功、教程、社区知识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限制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不用插画替代风险信息、服务证据或真实宠物照片</w:t>
            </w:r>
          </w:p>
        </w:tc>
      </w:tr>
    </w:tbl>
    <w:p>
      <w:pPr>
        <w:spacing w:before="0" w:after="20" w:line="240" w:lineRule="auto"/>
      </w:pP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075  /  视觉系统</w:t>
      </w:r>
    </w:p>
    <w:p>
      <w:pPr>
        <w:pStyle w:val="Heading1"/>
      </w:pPr>
      <w:r>
        <w:t>数据可视化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数据图表必须支持运营判断，而非只营造科技感。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同一语义跨图表保持颜色一致；品牌色不是默认全系列色。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优先直接标注，减少依赖图例。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趋势图从合理基线开始；截断坐标必须明确说明。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订单、退款、投诉等指标显示口径、时间范围与更新时间。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图表提供表格或可访问文本摘要。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076  /  视觉系统</w:t>
      </w:r>
    </w:p>
    <w:p>
      <w:pPr>
        <w:pStyle w:val="Heading1"/>
      </w:pPr>
      <w:r>
        <w:t>构图与留白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Hero 是第一视觉，Logo 只作为品牌识别。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品牌定位板：Hero 约 70%，信息区约 30%。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官网横幅可裁切 1920×720、1920×800；小程序 750×300/340。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主体置于左 1/3 或右 1/3，另一侧保留文案安全区。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Logo 面积不超过画面 2%，不得居中占据主视觉。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每张运营图只保留一个主信息与一个主行动。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077  /  UX 系统</w:t>
      </w:r>
    </w:p>
    <w:p/>
    <w:p>
      <w:pPr>
        <w:spacing w:before="1400" w:after="80" w:line="240" w:lineRule="auto"/>
      </w:pPr>
      <w:r>
        <w:rPr>
          <w:rFonts w:ascii="Arial" w:hAnsi="Arial" w:eastAsia="Arial"/>
          <w:b/>
          <w:i w:val="0"/>
          <w:color w:val="DCE5FF"/>
          <w:sz w:val="144"/>
        </w:rPr>
        <w:t>05</w:t>
      </w:r>
    </w:p>
    <w:p>
      <w:pPr>
        <w:spacing w:before="0" w:after="240" w:line="240" w:lineRule="auto"/>
      </w:pPr>
      <w:r>
        <w:rPr>
          <w:rFonts w:ascii="Arial" w:hAnsi="Arial" w:eastAsia="Arial"/>
          <w:b/>
          <w:i w:val="0"/>
          <w:color w:val="0D275D"/>
          <w:sz w:val="54"/>
        </w:rPr>
        <w:t>UX Language</w:t>
      </w:r>
    </w:p>
    <w:p>
      <w:pPr>
        <w:spacing w:before="0" w:after="480" w:line="288" w:lineRule="auto"/>
      </w:pPr>
      <w:r>
        <w:rPr>
          <w:rFonts w:ascii="Microsoft YaHei" w:hAnsi="Microsoft YaHei" w:eastAsia="Microsoft YaHei"/>
          <w:b/>
          <w:i w:val="0"/>
          <w:color w:val="3552C8"/>
          <w:sz w:val="36"/>
        </w:rPr>
        <w:t>产品体验原则</w:t>
      </w:r>
    </w:p>
    <w:p>
      <w:pPr>
        <w:spacing w:before="100" w:after="100" w:line="276" w:lineRule="auto"/>
        <w:ind w:left="173" w:right="173"/>
        <w:shd w:fill="EEF2FF"/>
      </w:pPr>
      <w:r>
        <w:rPr>
          <w:rFonts w:ascii="Arial" w:hAnsi="Arial" w:eastAsia="Arial"/>
          <w:b/>
          <w:i w:val="0"/>
          <w:color w:val="3552C8"/>
          <w:sz w:val="17"/>
        </w:rPr>
        <w:t xml:space="preserve">BRAND NOTE  </w:t>
      </w:r>
      <w:r>
        <w:rPr>
          <w:rFonts w:ascii="Microsoft YaHei" w:hAnsi="Microsoft YaHei" w:eastAsia="Microsoft YaHei"/>
          <w:b/>
          <w:i w:val="0"/>
          <w:color w:val="0D275D"/>
          <w:sz w:val="19"/>
        </w:rPr>
        <w:t>用户信任不是一句口号，而是一连串可预测、可解释、可恢复的体验。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078  /  UX 系统</w:t>
      </w:r>
    </w:p>
    <w:p>
      <w:pPr>
        <w:pStyle w:val="Heading1"/>
      </w:pPr>
      <w:r>
        <w:t>UX 五原则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Trust First · Transparent · Human · Simple · Recoverable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信任优先：关键安全信息默认可见。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透明可解释：价格、状态、规则与原因清楚。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科技有人味：自动化不隐藏责任人和联系入口。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简单但不省略：减少步骤，不删除关键确认。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可恢复：失败、撤销、申诉和重新提交路径明确。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079  /  UX 系统</w:t>
      </w:r>
    </w:p>
    <w:p>
      <w:pPr>
        <w:pStyle w:val="Heading1"/>
      </w:pPr>
      <w:r>
        <w:t>信任旅程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每个阶段都需要不同证据。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3168"/>
        <w:gridCol w:w="4680"/>
      </w:tblGrid>
      <w:tr>
        <w:trPr>
          <w:tblHeader w:val="true"/>
        </w:trPr>
        <w:tc>
          <w:tcPr>
            <w:tcW w:type="dxa" w:w="1512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阶段</w:t>
            </w:r>
          </w:p>
        </w:tc>
        <w:tc>
          <w:tcPr>
            <w:tcW w:type="dxa" w:w="3168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用户问题</w:t>
            </w:r>
          </w:p>
        </w:tc>
        <w:tc>
          <w:tcPr>
            <w:tcW w:type="dxa" w:w="4680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必须呈现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发现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你是谁？可靠吗？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定位、认证、评价、平台规则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选择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哪个模式适合我？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C2C/B2C 差异、价格与责任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下单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我是否遗漏？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宠物、地址、时间、要求确认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履约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现在怎么样？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SOP、定位、媒体、异常反馈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完成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结果是否可信？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完整记录、费用、评价、售后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复购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能否继续信任？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历史、偏好、熟悉宠托师</w:t>
            </w:r>
          </w:p>
        </w:tc>
      </w:tr>
    </w:tbl>
    <w:p>
      <w:pPr>
        <w:spacing w:before="0" w:after="20" w:line="240" w:lineRule="auto"/>
      </w:pP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080  /  UX 系统</w:t>
      </w:r>
    </w:p>
    <w:p>
      <w:pPr>
        <w:pStyle w:val="Heading1"/>
      </w:pPr>
      <w:r>
        <w:t>双模式体验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C2C 与 B2C 必须在命名、色彩、价格与责任说明上清晰区分。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28"/>
        <w:gridCol w:w="3816"/>
        <w:gridCol w:w="3816"/>
      </w:tblGrid>
      <w:tr>
        <w:trPr>
          <w:tblHeader w:val="true"/>
        </w:trPr>
        <w:tc>
          <w:tcPr>
            <w:tcW w:type="dxa" w:w="1728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维度</w:t>
            </w:r>
          </w:p>
        </w:tc>
        <w:tc>
          <w:tcPr>
            <w:tcW w:type="dxa" w:w="3816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悬赏服务 C2C</w:t>
            </w:r>
          </w:p>
        </w:tc>
        <w:tc>
          <w:tcPr>
            <w:tcW w:type="dxa" w:w="3816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平台服务 B2C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定价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主人设置预算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平台标准价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选择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服务者申请/抢单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按服务范围匹配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承诺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双方约定 + 平台基础规则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平台 SOP + 服务标准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呈现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琥珀辅助标签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品牌蓝辅助标签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禁止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暗示完全无保障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暗示绝对零风险</w:t>
            </w:r>
          </w:p>
        </w:tc>
      </w:tr>
    </w:tbl>
    <w:p>
      <w:pPr>
        <w:spacing w:before="0" w:after="20" w:line="240" w:lineRule="auto"/>
      </w:pP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081  /  UX 系统</w:t>
      </w:r>
    </w:p>
    <w:p>
      <w:pPr>
        <w:pStyle w:val="Heading1"/>
      </w:pPr>
      <w:r>
        <w:t>SOP 与照护记录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SOP 是品牌最重要的信任界面。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每一步显示目的、要求、证据类型与完成标准。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时间轴区分计划时间、实际时间与上传时间。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图片/视频保留拍摄时间、来源与审核状态。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异常可以中断常规流程，优先进入安全处理。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主人看到“已完成什么”，宠托师看到“下一步做什么”。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082  /  UX 系统</w:t>
      </w:r>
    </w:p>
    <w:p>
      <w:pPr>
        <w:pStyle w:val="Heading1"/>
      </w:pPr>
      <w:r>
        <w:t>状态与反馈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任何关键动作都要有即时反馈、最终状态与恢复方案。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提交中：锁定重复操作，说明正在处理。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成功：确认结果并给出下一步。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失败：保留已填内容，指出可修复原因。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超时：说明系统状态未知，不把未知写成失败。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异步：提供通知入口、任务进度和更新时间。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083  /  UX 系统</w:t>
      </w:r>
    </w:p>
    <w:p>
      <w:pPr>
        <w:pStyle w:val="Heading1"/>
      </w:pPr>
      <w:r>
        <w:t>安全与隐私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隐私提示出现在信息被收集或分享的时刻。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地址仅向有履约需要且具备权限的服务者展示。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聊天记录、定位与媒体的用途和保存周期要可理解。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社区发布默认提示遮挡门牌、电话和人脸。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高风险后台操作需要二次确认、权限校验与审计理由。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禁止在日志、截图和客服话术中暴露完整敏感信息。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084  /  UX 系统</w:t>
      </w:r>
    </w:p>
    <w:p>
      <w:pPr>
        <w:pStyle w:val="Heading1"/>
      </w:pPr>
      <w:r>
        <w:t>无障碍体验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PetCare 的可信赖必须覆盖不同能力、设备与环境的用户。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键盘完成 Admin 核心流程，焦点顺序与焦点环清晰。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移动端触控目标建议 ≥44×44px。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图片、图标按钮和服务媒体提供可理解的替代信息。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视频支持字幕或文字摘要；音频信息不作为唯一渠道。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颜色、图标与文字共同表达状态；支持系统缩放与减少动态效果。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085  /  UX 系统</w:t>
      </w:r>
    </w:p>
    <w:p>
      <w:pPr>
        <w:pStyle w:val="Heading1"/>
      </w:pPr>
      <w:r>
        <w:t>动效原则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动效解释变化、建立连续性，不制造等待。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进入 ease-out，退出 ease-in，位移与透明度不同时过度叠加。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800"/>
        <w:gridCol w:w="5616"/>
      </w:tblGrid>
      <w:tr>
        <w:trPr>
          <w:tblHeader w:val="true"/>
        </w:trPr>
        <w:tc>
          <w:tcPr>
            <w:tcW w:type="dxa" w:w="1944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1800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时长</w:t>
            </w:r>
          </w:p>
        </w:tc>
        <w:tc>
          <w:tcPr>
            <w:tcW w:type="dxa" w:w="5616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Micro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100ms</w:t>
            </w:r>
          </w:p>
        </w:tc>
        <w:tc>
          <w:tcPr>
            <w:tcW w:type="dxa" w:w="56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按压、开关、轻提示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Standard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200ms</w:t>
            </w:r>
          </w:p>
        </w:tc>
        <w:tc>
          <w:tcPr>
            <w:tcW w:type="dxa" w:w="56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卡片、菜单、状态变化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Page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300ms</w:t>
            </w:r>
          </w:p>
        </w:tc>
        <w:tc>
          <w:tcPr>
            <w:tcW w:type="dxa" w:w="56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页面与抽屉过渡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Emphasis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400ms</w:t>
            </w:r>
          </w:p>
        </w:tc>
        <w:tc>
          <w:tcPr>
            <w:tcW w:type="dxa" w:w="56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低频成功/引导；谨慎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Reduce Motion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0–100ms</w:t>
            </w:r>
          </w:p>
        </w:tc>
        <w:tc>
          <w:tcPr>
            <w:tcW w:type="dxa" w:w="56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用户选择减少动态</w:t>
            </w:r>
          </w:p>
        </w:tc>
      </w:tr>
    </w:tbl>
    <w:p>
      <w:pPr>
        <w:spacing w:before="0" w:after="20" w:line="240" w:lineRule="auto"/>
      </w:pP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086  /  品牌应用</w:t>
      </w:r>
    </w:p>
    <w:p/>
    <w:p>
      <w:pPr>
        <w:spacing w:before="1400" w:after="80" w:line="240" w:lineRule="auto"/>
      </w:pPr>
      <w:r>
        <w:rPr>
          <w:rFonts w:ascii="Arial" w:hAnsi="Arial" w:eastAsia="Arial"/>
          <w:b/>
          <w:i w:val="0"/>
          <w:color w:val="DCE5FF"/>
          <w:sz w:val="144"/>
        </w:rPr>
        <w:t>06</w:t>
      </w:r>
    </w:p>
    <w:p>
      <w:pPr>
        <w:spacing w:before="0" w:after="240" w:line="240" w:lineRule="auto"/>
      </w:pPr>
      <w:r>
        <w:rPr>
          <w:rFonts w:ascii="Arial" w:hAnsi="Arial" w:eastAsia="Arial"/>
          <w:b/>
          <w:i w:val="0"/>
          <w:color w:val="0D275D"/>
          <w:sz w:val="54"/>
        </w:rPr>
        <w:t>Brand Applications</w:t>
      </w:r>
    </w:p>
    <w:p>
      <w:pPr>
        <w:spacing w:before="0" w:after="480" w:line="288" w:lineRule="auto"/>
      </w:pPr>
      <w:r>
        <w:rPr>
          <w:rFonts w:ascii="Microsoft YaHei" w:hAnsi="Microsoft YaHei" w:eastAsia="Microsoft YaHei"/>
          <w:b/>
          <w:i w:val="0"/>
          <w:color w:val="3552C8"/>
          <w:sz w:val="36"/>
        </w:rPr>
        <w:t>品牌应用</w:t>
      </w:r>
    </w:p>
    <w:p>
      <w:pPr>
        <w:spacing w:before="100" w:after="100" w:line="276" w:lineRule="auto"/>
        <w:ind w:left="173" w:right="173"/>
        <w:shd w:fill="EEF2FF"/>
      </w:pPr>
      <w:r>
        <w:rPr>
          <w:rFonts w:ascii="Arial" w:hAnsi="Arial" w:eastAsia="Arial"/>
          <w:b/>
          <w:i w:val="0"/>
          <w:color w:val="3552C8"/>
          <w:sz w:val="17"/>
        </w:rPr>
        <w:t xml:space="preserve">BRAND NOTE  </w:t>
      </w:r>
      <w:r>
        <w:rPr>
          <w:rFonts w:ascii="Microsoft YaHei" w:hAnsi="Microsoft YaHei" w:eastAsia="Microsoft YaHei"/>
          <w:b/>
          <w:i w:val="0"/>
          <w:color w:val="0D275D"/>
          <w:sz w:val="19"/>
        </w:rPr>
        <w:t>优先展示真实数字产品触点，而不是无关的杯子、雨伞或装饰性 Mockup。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087  /  品牌应用</w:t>
      </w:r>
    </w:p>
    <w:p>
      <w:pPr>
        <w:pStyle w:val="Heading1"/>
      </w:pPr>
      <w:r>
        <w:t>小程序首页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首屏完成定位、信任与模式分流。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Header：小尺寸 Symbol + PetCare，Logo 不超过 32px。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Hero：安心生活场景 + 一句主张 + 单一主行动。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双模式入口：名称、价格逻辑、适用人群和责任清楚。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服务进度：有进行中订单时优先于营销内容。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社区精选：展示真实经验，不挤占关键服务入口。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088  /  品牌应用</w:t>
      </w:r>
    </w:p>
    <w:p>
      <w:pPr>
        <w:pStyle w:val="Heading1"/>
      </w:pPr>
      <w:r>
        <w:t>订单与照护证据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订单详情是品牌承诺被验证的地方。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顶部先给当前状态、下一步与紧急联系。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SOP 时间轴连接图片、视频、文字、位置和时间。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费用区明确订单金额、平台费用、退款与结算状态。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评价区区分事实评分与自由文本。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导出/分享记录时默认隐藏地址和敏感联系方式。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089  /  品牌应用</w:t>
      </w:r>
    </w:p>
    <w:p>
      <w:pPr>
        <w:pStyle w:val="Heading1"/>
      </w:pPr>
      <w:r>
        <w:t>Admin 管理后台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Admin 视觉克制，信息密度可控，操作后果明确。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仪表盘用语义色而非品牌渐变装饰。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审核页同时显示材料、规则、历史和操作理由。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危险动作使用红色，仅在最后决策点出现。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表格支持键盘、筛选、列说明与空状态。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所有数据卡显示口径、时间范围和更新时间。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090  /  品牌应用</w:t>
      </w:r>
    </w:p>
    <w:p>
      <w:pPr>
        <w:pStyle w:val="Heading1"/>
      </w:pPr>
      <w:r>
        <w:t>官网与品牌页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官网解释“为什么值得托付”，而非堆砌全部功能。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Hero：真实摄影、主口号、主要 CTA；Logo 保持轻量。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信任区：认证、SOP、记录、评价、申诉五类证据。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模式区：用场景解释 C2C/B2C，而不是技术术语。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服务者区：强调专业成长与公平机会。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页脚：品牌、合规、隐私、安全、联系我们与版本信息。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091  /  品牌应用</w:t>
      </w:r>
    </w:p>
    <w:p>
      <w:pPr>
        <w:pStyle w:val="Heading1"/>
      </w:pPr>
      <w:r>
        <w:t>通知与客服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通知服务于确定性，不服务于打扰。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3888"/>
        <w:gridCol w:w="3600"/>
      </w:tblGrid>
      <w:tr>
        <w:trPr>
          <w:tblHeader w:val="true"/>
        </w:trPr>
        <w:tc>
          <w:tcPr>
            <w:tcW w:type="dxa" w:w="1872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渠道</w:t>
            </w:r>
          </w:p>
        </w:tc>
        <w:tc>
          <w:tcPr>
            <w:tcW w:type="dxa" w:w="3888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适用</w:t>
            </w:r>
          </w:p>
        </w:tc>
        <w:tc>
          <w:tcPr>
            <w:tcW w:type="dxa" w:w="3600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限制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站内信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完整状态、证据与处理结果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默认承载详情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微信订阅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关键时间点与异常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先获得授权，不发送营销替代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短信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高风险或无法触达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内容最小化，不含敏感详情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客服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复杂解释与情绪支持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统一身份、工单号与时限</w:t>
            </w:r>
          </w:p>
        </w:tc>
      </w:tr>
    </w:tbl>
    <w:p>
      <w:pPr>
        <w:spacing w:before="0" w:after="20" w:line="240" w:lineRule="auto"/>
      </w:pP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092  /  品牌应用</w:t>
      </w:r>
    </w:p>
    <w:p>
      <w:pPr>
        <w:pStyle w:val="Heading1"/>
      </w:pPr>
      <w:r>
        <w:t>线下与服务现场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线下物料只解决识别、安全与操作，不做过度周边化。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宠托师电子/实体证件：姓名、照片、认证状态、有效期与核验码。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服务包：低调使用 Symbol，不出现巨大 Logo。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门贴/提示卡：仅在主人明确授权时使用。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培训材料：SOP、异常处理与隐私规范优先。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任何线下物料不得泄露住址、电话或订单详情。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093  /  实施与治理</w:t>
      </w:r>
    </w:p>
    <w:p/>
    <w:p>
      <w:pPr>
        <w:spacing w:before="1400" w:after="80" w:line="240" w:lineRule="auto"/>
      </w:pPr>
      <w:r>
        <w:rPr>
          <w:rFonts w:ascii="Arial" w:hAnsi="Arial" w:eastAsia="Arial"/>
          <w:b/>
          <w:i w:val="0"/>
          <w:color w:val="DCE5FF"/>
          <w:sz w:val="144"/>
        </w:rPr>
        <w:t>07</w:t>
      </w:r>
    </w:p>
    <w:p>
      <w:pPr>
        <w:spacing w:before="0" w:after="240" w:line="240" w:lineRule="auto"/>
      </w:pPr>
      <w:r>
        <w:rPr>
          <w:rFonts w:ascii="Arial" w:hAnsi="Arial" w:eastAsia="Arial"/>
          <w:b/>
          <w:i w:val="0"/>
          <w:color w:val="0D275D"/>
          <w:sz w:val="54"/>
        </w:rPr>
        <w:t>Implementation</w:t>
      </w:r>
    </w:p>
    <w:p>
      <w:pPr>
        <w:spacing w:before="0" w:after="480" w:line="288" w:lineRule="auto"/>
      </w:pPr>
      <w:r>
        <w:rPr>
          <w:rFonts w:ascii="Microsoft YaHei" w:hAnsi="Microsoft YaHei" w:eastAsia="Microsoft YaHei"/>
          <w:b/>
          <w:i w:val="0"/>
          <w:color w:val="3552C8"/>
          <w:sz w:val="36"/>
        </w:rPr>
        <w:t>设计与开发实施</w:t>
      </w:r>
    </w:p>
    <w:p>
      <w:pPr>
        <w:spacing w:before="100" w:after="100" w:line="276" w:lineRule="auto"/>
        <w:ind w:left="173" w:right="173"/>
        <w:shd w:fill="EEF2FF"/>
      </w:pPr>
      <w:r>
        <w:rPr>
          <w:rFonts w:ascii="Arial" w:hAnsi="Arial" w:eastAsia="Arial"/>
          <w:b/>
          <w:i w:val="0"/>
          <w:color w:val="3552C8"/>
          <w:sz w:val="17"/>
        </w:rPr>
        <w:t xml:space="preserve">BRAND NOTE  </w:t>
      </w:r>
      <w:r>
        <w:rPr>
          <w:rFonts w:ascii="Microsoft YaHei" w:hAnsi="Microsoft YaHei" w:eastAsia="Microsoft YaHei"/>
          <w:b/>
          <w:i w:val="0"/>
          <w:color w:val="0D275D"/>
          <w:sz w:val="19"/>
        </w:rPr>
        <w:t>品牌规范只有进入 Token、组件、资产与验收流程，才真正生效。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094  /  实施与治理</w:t>
      </w:r>
    </w:p>
    <w:p>
      <w:pPr>
        <w:pStyle w:val="Heading1"/>
      </w:pPr>
      <w:r>
        <w:t>Token 分层架构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原始值、语义值和组件值分层，避免页面直接消费颜色数字。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Primitive 记录客观色阶与尺寸。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Semantic 表达用途与状态。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Component 只在组件确有特殊契约时创建。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Light/Dark 通过 mode 覆盖语义值，不改业务代码。</w:t>
      </w:r>
    </w:p>
    <w:p>
      <w:pPr>
        <w:spacing w:before="80" w:after="120" w:line="269" w:lineRule="auto"/>
        <w:ind w:left="259"/>
        <w:shd w:fill="F1F5F9"/>
      </w:pPr>
      <w:r>
        <w:rPr>
          <w:rFonts w:ascii="Consolas" w:hAnsi="Consolas" w:eastAsia="Consolas"/>
          <w:b w:val="0"/>
          <w:i w:val="0"/>
          <w:color w:val="0D275D"/>
          <w:sz w:val="16"/>
        </w:rPr>
        <w:t>primitive: color.blue.500 = #4A6CF7</w:t>
        <w:br/>
        <w:t>semantic: color.action.primary = {color.blue.500}</w:t>
        <w:br/>
        <w:t>component: button.primary.bg = {color.action.primary}</w:t>
        <w:br/>
        <w:t>mode: dark.color.action.primary = #6F8BFF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095  /  实施与治理</w:t>
      </w:r>
    </w:p>
    <w:p>
      <w:pPr>
        <w:pStyle w:val="Heading1"/>
      </w:pPr>
      <w:r>
        <w:t>CSS Variables 基线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Web 与小程序共享命名语义，不强求共享所有物理实现。</w:t>
      </w:r>
    </w:p>
    <w:p>
      <w:pPr>
        <w:spacing w:before="80" w:after="120" w:line="269" w:lineRule="auto"/>
        <w:ind w:left="259"/>
        <w:shd w:fill="F1F5F9"/>
      </w:pPr>
      <w:r>
        <w:rPr>
          <w:rFonts w:ascii="Consolas" w:hAnsi="Consolas" w:eastAsia="Consolas"/>
          <w:b w:val="0"/>
          <w:i w:val="0"/>
          <w:color w:val="0D275D"/>
          <w:sz w:val="16"/>
        </w:rPr>
        <w:t>:root {</w:t>
        <w:br/>
        <w:t xml:space="preserve">  --pc-color-brand-primary: #4a6cf7;</w:t>
        <w:br/>
        <w:t xml:space="preserve">  --pc-color-brand-secondary: #5bc8af;</w:t>
        <w:br/>
        <w:t xml:space="preserve">  --pc-color-accent: #f6b343;</w:t>
        <w:br/>
        <w:t xml:space="preserve">  --pc-color-text-primary: #1f2937;</w:t>
        <w:br/>
        <w:t xml:space="preserve">  --pc-color-text-secondary: #667085;</w:t>
        <w:br/>
        <w:t xml:space="preserve">  --pc-color-surface: #ffffff;</w:t>
        <w:br/>
        <w:t xml:space="preserve">  --pc-color-border: #e5e7eb;</w:t>
        <w:br/>
        <w:t xml:space="preserve">  --pc-radius-control: 8px;</w:t>
        <w:br/>
        <w:t xml:space="preserve">  --pc-radius-card: 12px;</w:t>
        <w:br/>
        <w:t>}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096  /  实施与治理</w:t>
      </w:r>
    </w:p>
    <w:p>
      <w:pPr>
        <w:pStyle w:val="Heading1"/>
      </w:pPr>
      <w:r>
        <w:t>Tailwind CSS v4 映射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项目采用 CSS-first；Token 在主题入口集中维护。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优先使用语义工具类；不在页面写临时十六进制色。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Miniapp 自定义尺寸必须进入 app.css 的 @theme，禁止 arbitrary value。</w:t>
      </w:r>
    </w:p>
    <w:p>
      <w:pPr>
        <w:spacing w:before="80" w:after="120" w:line="269" w:lineRule="auto"/>
        <w:ind w:left="259"/>
        <w:shd w:fill="F1F5F9"/>
      </w:pPr>
      <w:r>
        <w:rPr>
          <w:rFonts w:ascii="Consolas" w:hAnsi="Consolas" w:eastAsia="Consolas"/>
          <w:b w:val="0"/>
          <w:i w:val="0"/>
          <w:color w:val="0D275D"/>
          <w:sz w:val="16"/>
        </w:rPr>
        <w:t>@theme {</w:t>
        <w:br/>
        <w:t xml:space="preserve">  --color-brand-50: #eef2ff;</w:t>
        <w:br/>
        <w:t xml:space="preserve">  --color-brand-500: #4a6cf7;</w:t>
        <w:br/>
        <w:t xml:space="preserve">  --color-brand-600: #3f5fe0;</w:t>
        <w:br/>
        <w:t xml:space="preserve">  --color-care-500: #5bc8af;</w:t>
        <w:br/>
        <w:t xml:space="preserve">  --color-accent-500: #f6b343;</w:t>
        <w:br/>
        <w:t xml:space="preserve">  --radius-control: 8px;</w:t>
        <w:br/>
        <w:t xml:space="preserve">  --radius-card: 12px;</w:t>
        <w:br/>
        <w:t>}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097  /  实施与治理</w:t>
      </w:r>
    </w:p>
    <w:p>
      <w:pPr>
        <w:pStyle w:val="Heading1"/>
      </w:pPr>
      <w:r>
        <w:t>Admin 主题映射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shadcn/ui 与组件变量应指向 PetCare 语义 Token。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组件库默认值不得绕过品牌对比度与状态规范。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表格、图表与审核状态优先使用语义色。</w:t>
      </w:r>
    </w:p>
    <w:p>
      <w:pPr>
        <w:spacing w:before="80" w:after="120" w:line="269" w:lineRule="auto"/>
        <w:ind w:left="259"/>
        <w:shd w:fill="F1F5F9"/>
      </w:pPr>
      <w:r>
        <w:rPr>
          <w:rFonts w:ascii="Consolas" w:hAnsi="Consolas" w:eastAsia="Consolas"/>
          <w:b w:val="0"/>
          <w:i w:val="0"/>
          <w:color w:val="0D275D"/>
          <w:sz w:val="16"/>
        </w:rPr>
        <w:t>/* conceptual mapping */</w:t>
        <w:br/>
        <w:t>--primary: var(--pc-color-brand-primary);</w:t>
        <w:br/>
        <w:t>--primary-foreground: #ffffff;</w:t>
        <w:br/>
        <w:t>--background: #f8fafc;</w:t>
        <w:br/>
        <w:t>--foreground: var(--pc-color-text-primary);</w:t>
        <w:br/>
        <w:t>--border: var(--pc-color-border);</w:t>
        <w:br/>
        <w:t>--destructive: #c23b43;</w:t>
        <w:br/>
        <w:t>--radius: var(--pc-radius-control);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098  /  实施与治理</w:t>
      </w:r>
    </w:p>
    <w:p>
      <w:pPr>
        <w:pStyle w:val="Heading1"/>
      </w:pPr>
      <w:r>
        <w:t>Taro 小程序映射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小程序保持与 Admin 相同的语义，不复制不适合移动端的布局。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全局主题进入 apps/miniapp/src/app.css。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使用 px 语义 Token 与 Tailwind v4；禁止 rpx/rem 与页面级 CSS。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触控尺寸、底部安全区与微信系统字体优先。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TabBar 图标使用专用 28px 资产，不从大 Logo 运行时缩放。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真机验证色彩、字体回退、媒体上传与弱网状态。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099  /  实施与治理</w:t>
      </w:r>
    </w:p>
    <w:p>
      <w:pPr>
        <w:pStyle w:val="Heading1"/>
      </w:pPr>
      <w:r>
        <w:t>资产交付清单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每个资产都需要格式、尺寸、主题和使用说明。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资产</w:t>
            </w:r>
          </w:p>
        </w:tc>
        <w:tc>
          <w:tcPr>
            <w:tcW w:type="dxa" w:w="7200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必须交付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Logo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SVG 彩色/深色/单色/反白；PNG 1x/2x/3x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App Icon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1024px 母版；平台导出；不预裁圆角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Favicon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16/20/32/48px + SVG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图标库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16/20/24/28/32px，统一 viewBox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摄影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原图、裁切版、授权与 alt text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插画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SVG/PNG、主题版本、场景名称</w:t>
            </w:r>
          </w:p>
        </w:tc>
      </w:tr>
    </w:tbl>
    <w:p>
      <w:pPr>
        <w:spacing w:before="0" w:after="20" w:line="240" w:lineRule="auto"/>
      </w:pP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100  /  实施与治理</w:t>
      </w:r>
    </w:p>
    <w:p>
      <w:pPr>
        <w:pStyle w:val="Heading1"/>
      </w:pPr>
      <w:r>
        <w:t>设计 QA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上线前同时检查品牌、一致性、可用性与实现质量。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Logo 版本、尺寸、安全区与背景是否正确。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颜色是否来自 Token；对比度是否达标。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字体、字号、行高与数字对齐是否一致。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关键状态是否同时有文字、图标和恢复路径。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Desktop/Tablet/Mobile/Miniapp 是否完成验证。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无 Logo 时，颜色、字体、布局与文案是否仍可识别为 PetCare。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101  /  实施与治理</w:t>
      </w:r>
    </w:p>
    <w:p>
      <w:pPr>
        <w:pStyle w:val="Heading1"/>
      </w:pPr>
      <w:r>
        <w:t>品牌治理职责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品牌不是设计团队单独拥有的文件。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角色</w:t>
            </w:r>
          </w:p>
        </w:tc>
        <w:tc>
          <w:tcPr>
            <w:tcW w:type="dxa" w:w="6840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品牌负责人</w:t>
            </w:r>
          </w:p>
        </w:tc>
        <w:tc>
          <w:tcPr>
            <w:tcW w:type="dxa" w:w="6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定位、标识、语气与例外审批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Design System Owner</w:t>
            </w:r>
          </w:p>
        </w:tc>
        <w:tc>
          <w:tcPr>
            <w:tcW w:type="dxa" w:w="6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Token、组件、资产与 Figma 库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产品负责人</w:t>
            </w:r>
          </w:p>
        </w:tc>
        <w:tc>
          <w:tcPr>
            <w:tcW w:type="dxa" w:w="6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流程、状态、承诺与用户价值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研发负责人</w:t>
            </w:r>
          </w:p>
        </w:tc>
        <w:tc>
          <w:tcPr>
            <w:tcW w:type="dxa" w:w="6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代码映射、兼容、性能与发布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运营/客服</w:t>
            </w:r>
          </w:p>
        </w:tc>
        <w:tc>
          <w:tcPr>
            <w:tcW w:type="dxa" w:w="6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内容、渠道、话术与真实反馈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法务/安全</w:t>
            </w:r>
          </w:p>
        </w:tc>
        <w:tc>
          <w:tcPr>
            <w:tcW w:type="dxa" w:w="6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隐私、合规、商标与风险边界</w:t>
            </w:r>
          </w:p>
        </w:tc>
      </w:tr>
    </w:tbl>
    <w:p>
      <w:pPr>
        <w:spacing w:before="0" w:after="20" w:line="240" w:lineRule="auto"/>
      </w:pP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102  /  实施与治理</w:t>
      </w:r>
    </w:p>
    <w:p>
      <w:pPr>
        <w:pStyle w:val="Heading1"/>
      </w:pPr>
      <w:r>
        <w:t>变更与审批流程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小改动快速，核心资产变更慎重且可追溯。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提出：说明问题、用户影响、受影响资产与替代方案。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评估：品牌、可访问性、技术、成本和迁移风险。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试验：在受控页面或分支验证，不直接覆盖生产资产。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审批：核心 Logo/主色/品牌承诺需品牌负责人确认。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发布：记录版本、迁移说明、弃用周期与负责人。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复盘：基于数据与反馈验证，而非只凭偏好。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103  /  实施与治理</w:t>
      </w:r>
    </w:p>
    <w:p>
      <w:pPr>
        <w:pStyle w:val="Heading1"/>
      </w:pPr>
      <w:r>
        <w:t>版本与弃用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品牌资产使用语义版本与明确弃用窗口。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Major：定位、Logo 结构、核心 Token 破坏性变化。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Minor：新增颜色、图标、模板或文案模式。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Patch：修正错误、无障碍或导出问题。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弃用资产至少保留一个发布周期，并提供迁移映射。</w:t>
      </w:r>
    </w:p>
    <w:p>
      <w:pPr>
        <w:spacing w:before="80" w:after="120" w:line="269" w:lineRule="auto"/>
        <w:ind w:left="259"/>
        <w:shd w:fill="F1F5F9"/>
      </w:pPr>
      <w:r>
        <w:rPr>
          <w:rFonts w:ascii="Consolas" w:hAnsi="Consolas" w:eastAsia="Consolas"/>
          <w:b w:val="0"/>
          <w:i w:val="0"/>
          <w:color w:val="0D275D"/>
          <w:sz w:val="16"/>
        </w:rPr>
        <w:t>Brand Book      1.0.0</w:t>
        <w:br/>
        <w:t>Design Tokens   1.x</w:t>
        <w:br/>
        <w:t>Logo Assets     1.x</w:t>
        <w:br/>
        <w:t>Icon Library    1.x</w:t>
        <w:br/>
        <w:t>Copy Patterns   1.x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104  /  实施与治理</w:t>
      </w:r>
    </w:p>
    <w:p>
      <w:pPr>
        <w:pStyle w:val="Heading1"/>
      </w:pPr>
      <w:r>
        <w:t>品牌衡量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品牌成功不只看曝光，更看信任与长期关系。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7488"/>
      </w:tblGrid>
      <w:tr>
        <w:trPr>
          <w:tblHeader w:val="true"/>
        </w:trPr>
        <w:tc>
          <w:tcPr>
            <w:tcW w:type="dxa" w:w="1872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层级</w:t>
            </w:r>
          </w:p>
        </w:tc>
        <w:tc>
          <w:tcPr>
            <w:tcW w:type="dxa" w:w="7488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指标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信任</w:t>
            </w:r>
          </w:p>
        </w:tc>
        <w:tc>
          <w:tcPr>
            <w:tcW w:type="dxa" w:w="74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认证转化、服务记录查看率、申诉解决时效、满意度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体验</w:t>
            </w:r>
          </w:p>
        </w:tc>
        <w:tc>
          <w:tcPr>
            <w:tcW w:type="dxa" w:w="74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首次预约成功率、任务完成率、错误恢复率、客服满意度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关系</w:t>
            </w:r>
          </w:p>
        </w:tc>
        <w:tc>
          <w:tcPr>
            <w:tcW w:type="dxa" w:w="74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复购率、熟悉宠托师复用率、留存、NPS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社区</w:t>
            </w:r>
          </w:p>
        </w:tc>
        <w:tc>
          <w:tcPr>
            <w:tcW w:type="dxa" w:w="74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高质量内容率、举报率、有效互动与知识复用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一致性</w:t>
            </w:r>
          </w:p>
        </w:tc>
        <w:tc>
          <w:tcPr>
            <w:tcW w:type="dxa" w:w="74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Token 覆盖率、违规资产数、设计 QA 通过率</w:t>
            </w:r>
          </w:p>
        </w:tc>
      </w:tr>
    </w:tbl>
    <w:p>
      <w:pPr>
        <w:spacing w:before="0" w:after="20" w:line="240" w:lineRule="auto"/>
      </w:pP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105  /  实施与治理</w:t>
      </w:r>
    </w:p>
    <w:p>
      <w:pPr>
        <w:pStyle w:val="Heading1"/>
      </w:pPr>
      <w:r>
        <w:t>AI 设计规则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AI 可以提高产出速度，但不能自行重新定义品牌。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每次生成必须引用品牌核心、色彩、字体、Logo 尺寸与禁止项。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品牌摄影优先真实生活、自然光、安心状态和留白。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Logo 不由生成式模型直接输出最终文字与矢量母版。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禁止每次生成不同 Logo、色值、字体或插画比例。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生成内容必须经过事实、版权、隐私、畸形细节与品牌一致性检查。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最终可用资产由设计师重绘、校对并进入版本库。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106  /  实施与治理</w:t>
      </w:r>
    </w:p>
    <w:p>
      <w:pPr>
        <w:pStyle w:val="Heading1"/>
      </w:pPr>
      <w:r>
        <w:t>AI Prompt 基线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以下结构可复用于 Figma、MasterGo 或图像生成工具。</w:t>
      </w:r>
    </w:p>
    <w:p>
      <w:pPr>
        <w:spacing w:before="80" w:after="120" w:line="269" w:lineRule="auto"/>
        <w:ind w:left="259"/>
        <w:shd w:fill="F1F5F9"/>
      </w:pPr>
      <w:r>
        <w:rPr>
          <w:rFonts w:ascii="Consolas" w:hAnsi="Consolas" w:eastAsia="Consolas"/>
          <w:b w:val="0"/>
          <w:i w:val="0"/>
          <w:color w:val="0D275D"/>
          <w:sz w:val="16"/>
        </w:rPr>
        <w:t>Brand: PetCare（宠伴）</w:t>
        <w:br/>
        <w:t>Core: Trust, Connection, Companion</w:t>
        <w:br/>
        <w:t>Mood: calm, warm, professional, modern, restrained</w:t>
        <w:br/>
        <w:t>Palette: #4A6CF7 / #5BC8AF / #F6B343 / #F8FAFC / #1F2937</w:t>
        <w:br/>
        <w:t>Logo: identification only, &lt;=2% of canvas, never the hero</w:t>
        <w:br/>
        <w:t>Photography: authentic home, natural light, safe after-care state</w:t>
        <w:br/>
        <w:t>Avoid: hospital, cartoon, oversized logo, pet-shop cliché, hype, clutter</w:t>
        <w:br/>
        <w:t>Output: specify canvas, crop-safe areas, text-free image layer when possible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107  /  实施与治理</w:t>
      </w:r>
    </w:p>
    <w:p>
      <w:pPr>
        <w:pStyle w:val="Heading1"/>
      </w:pPr>
      <w:r>
        <w:t>术语速查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一套词汇，一套理解。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7056"/>
      </w:tblGrid>
      <w:tr>
        <w:trPr>
          <w:tblHeader w:val="true"/>
        </w:trPr>
        <w:tc>
          <w:tcPr>
            <w:tcW w:type="dxa" w:w="2304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术语</w:t>
            </w:r>
          </w:p>
        </w:tc>
        <w:tc>
          <w:tcPr>
            <w:tcW w:type="dxa" w:w="7056"/>
            <w:vAlign w:val="center"/>
            <w:shd w:fill="0D27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定义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宠物主人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发布或预约照护服务的一方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宠托师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经过平台规则管理的服务提供者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悬赏服务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C2C 自主预算与市场撮合模式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平台服务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B2C 标准价格与平台流程模式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SOP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标准服务流程及其完成要求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照护记录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时间、位置、图片、视频、文字等服务证据集合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Brand Token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将品牌决策映射为可复用设计与代码变量</w:t>
            </w:r>
          </w:p>
        </w:tc>
      </w:tr>
    </w:tbl>
    <w:p>
      <w:pPr>
        <w:spacing w:before="0" w:after="20" w:line="240" w:lineRule="auto"/>
      </w:pPr>
    </w:p>
    <w:p>
      <w:r>
        <w:br w:type="page"/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4A6CF7"/>
          <w:sz w:val="16"/>
        </w:rPr>
        <w:t>108  /  实施与治理</w:t>
      </w:r>
    </w:p>
    <w:p>
      <w:pPr>
        <w:pStyle w:val="Heading1"/>
      </w:pPr>
      <w:r>
        <w:t>发布前总检查</w:t>
      </w:r>
    </w:p>
    <w:p>
      <w:pPr>
        <w:spacing w:before="0" w:after="180" w:line="293" w:lineRule="auto"/>
      </w:pPr>
      <w:r>
        <w:rPr>
          <w:rFonts w:ascii="Microsoft YaHei" w:hAnsi="Microsoft YaHei" w:eastAsia="Microsoft YaHei"/>
          <w:b/>
          <w:i w:val="0"/>
          <w:color w:val="0D275D"/>
          <w:sz w:val="24"/>
        </w:rPr>
        <w:t>当以下问题都能回答“是”，品牌才准备好进入生产。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定位、承诺与产品能力一致吗？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Logo 已有可用 SVG、响应式版本和最小尺寸测试吗？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颜色、字体、间距、圆角、图标均已 Token 化吗？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小程序、Admin、官网与运营使用同一语义体系吗？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关键流程文案是否清晰、温暖、可恢复？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安全、隐私、无障碍与异常场景是否验收？</w:t>
      </w:r>
    </w:p>
    <w:p>
      <w:pPr>
        <w:pStyle w:val="ListBullet"/>
        <w:spacing w:before="0" w:after="80" w:line="278" w:lineRule="auto"/>
        <w:ind w:left="403" w:hanging="230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资产有所有者、版本、变更记录和弃用策略吗？</w:t>
      </w:r>
    </w:p>
    <w:p>
      <w:pPr>
        <w:spacing w:before="100" w:after="100" w:line="276" w:lineRule="auto"/>
        <w:ind w:left="173" w:right="173"/>
        <w:shd w:fill="EEF2FF"/>
      </w:pPr>
      <w:r>
        <w:rPr>
          <w:rFonts w:ascii="Arial" w:hAnsi="Arial" w:eastAsia="Arial"/>
          <w:b/>
          <w:i w:val="0"/>
          <w:color w:val="3552C8"/>
          <w:sz w:val="17"/>
        </w:rPr>
        <w:t xml:space="preserve">BRAND NOTE  </w:t>
      </w:r>
      <w:r>
        <w:rPr>
          <w:rFonts w:ascii="Microsoft YaHei" w:hAnsi="Microsoft YaHei" w:eastAsia="Microsoft YaHei"/>
          <w:b/>
          <w:i w:val="0"/>
          <w:color w:val="0D275D"/>
          <w:sz w:val="19"/>
        </w:rPr>
        <w:t>PetCare 相信：真正优秀的宠物服务，不只是完成一次照护，而是让人与宠物之间的信任始终延续。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79" w:left="1037" w:header="461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b/>
        <w:i w:val="0"/>
        <w:color w:val="667085"/>
        <w:sz w:val="16"/>
      </w:rPr>
      <w:t xml:space="preserve">PETCARE  ·  V1.0     </w:t>
    </w:r>
    <w:r>
      <w:rPr>
        <w:rFonts w:ascii="Arial" w:hAnsi="Arial" w:eastAsia="Arial"/>
        <w:b w:val="0"/>
        <w:i w:val="0"/>
        <w:color w:val="667085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Arial" w:hAnsi="Arial" w:eastAsia="Arial"/>
        <w:b/>
        <w:i w:val="0"/>
        <w:color w:val="667085"/>
        <w:sz w:val="16"/>
      </w:rPr>
      <w:t>PETCARE BRAND BOOK  ·  TRUSTED COMPANION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D275D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552C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D27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D27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Microsoft YaHei" w:hAnsi="Microsoft YaHei" w:eastAsia="Microsoft YaHei"/>
      <w:b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PetCare Brand Book v1.0</dc:title>
  <dc:subject>PetCare 企业级品牌设计系统</dc:subject>
  <dc:creator>PetCare Brand Team</dc:creator>
  <cp:keywords>PetCare, 宠伴, Brand Book, Design System, UX, Design Tokens</cp:keywords>
  <dc:description>Editable enterprise brand book generated for the PetCare project.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