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footer5.xml.rels" ContentType="application/vnd.openxmlformats-package.relationships+xml"/>
  <Override PartName="/word/_rels/footer4.xml.rels" ContentType="application/vnd.openxmlformats-package.relationships+xml"/>
  <Override PartName="/word/_rels/footer3.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ahnschrift" w:hAnsi="Bahnschrift"/>
          <w:sz w:val="32"/>
          <w:szCs w:val="32"/>
        </w:rPr>
      </w:pPr>
      <w:r>
        <w:rPr/>
        <w:drawing>
          <wp:inline distT="0" distB="0" distL="0" distR="0">
            <wp:extent cx="2164715" cy="73850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2164715" cy="7385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spacing w:lineRule="auto" w:line="240"/>
        <w:jc w:val="center"/>
        <w:rPr>
          <w:rFonts w:ascii="Bahnschrift" w:hAnsi="Bahnschrift"/>
          <w:b/>
          <w:b/>
          <w:bCs/>
          <w:sz w:val="52"/>
          <w:szCs w:val="52"/>
        </w:rPr>
      </w:pPr>
      <w:r>
        <w:rPr>
          <w:rFonts w:ascii="Bahnschrift" w:hAnsi="Bahnschrift"/>
          <w:b/>
          <w:bCs/>
          <w:sz w:val="52"/>
          <w:szCs w:val="52"/>
        </w:rPr>
        <w:t xml:space="preserve">HART Community Housing Report: </w:t>
      </w:r>
    </w:p>
    <w:p>
      <w:pPr>
        <w:pStyle w:val="Normal"/>
        <w:spacing w:lineRule="auto" w:line="240"/>
        <w:jc w:val="center"/>
        <w:rPr>
          <w:rFonts w:ascii="Bahnschrift" w:hAnsi="Bahnschrift" w:eastAsia="Times New Roman"/>
          <w:b/>
          <w:b/>
          <w:bCs/>
          <w:sz w:val="52"/>
          <w:szCs w:val="52"/>
        </w:rPr>
      </w:pPr>
      <w:r>
        <w:rPr>
          <w:rFonts w:eastAsia="Times New Roman" w:ascii="Bahnschrift" w:hAnsi="Bahnschrift"/>
          <w:b/>
          <w:bCs/>
          <w:sz w:val="52"/>
          <w:szCs w:val="52"/>
        </w:rPr>
        <w:t>{{community_name}}</w:t>
      </w:r>
    </w:p>
    <w:p>
      <w:pPr>
        <w:pStyle w:val="Normal"/>
        <w:rPr/>
      </w:pPr>
      <w:r>
        <w:rPr/>
      </w:r>
    </w:p>
    <w:p>
      <w:pPr>
        <w:pStyle w:val="Normal"/>
        <w:spacing w:lineRule="auto" w:line="240"/>
        <w:jc w:val="center"/>
        <w:rPr>
          <w:rFonts w:ascii="Bahnschrift" w:hAnsi="Bahnschrift"/>
          <w:b/>
          <w:b/>
          <w:bCs/>
          <w:color w:val="FF0000"/>
          <w:sz w:val="52"/>
          <w:szCs w:val="52"/>
        </w:rPr>
      </w:pPr>
      <w:r>
        <w:rPr>
          <w:rFonts w:ascii="Bahnschrift" w:hAnsi="Bahnschrift"/>
          <w:b/>
          <w:bCs/>
          <w:color w:val="FF0000"/>
          <w:sz w:val="52"/>
          <w:szCs w:val="52"/>
        </w:rPr>
        <w:t>Draft v1</w:t>
        <w:br/>
      </w:r>
      <w:r>
        <w:rPr>
          <w:rFonts w:eastAsia="Times New Roman" w:ascii="Bahnschrift" w:hAnsi="Bahnschrift"/>
          <w:b/>
          <w:bCs/>
          <w:color w:val="FF0000"/>
          <w:sz w:val="52"/>
          <w:szCs w:val="52"/>
        </w:rPr>
        <w:t>{{current_date}}</w:t>
      </w:r>
    </w:p>
    <w:p>
      <w:pPr>
        <w:pStyle w:val="Normal"/>
        <w:rPr/>
      </w:pPr>
      <w:r>
        <w:rPr/>
      </w:r>
    </w:p>
    <w:p>
      <w:pPr>
        <w:pStyle w:val="Normal"/>
        <w:jc w:val="center"/>
        <w:rPr/>
      </w:pPr>
      <w:r>
        <w:rPr/>
      </w:r>
      <w:r>
        <w:br w:type="page"/>
      </w:r>
    </w:p>
    <w:p>
      <w:pPr>
        <w:pStyle w:val="Normal"/>
        <w:rPr>
          <w:rFonts w:ascii="Bahnschrift" w:hAnsi="Bahnschrift"/>
          <w:color w:val="00B0F0"/>
          <w:sz w:val="32"/>
        </w:rPr>
      </w:pPr>
      <w:bookmarkStart w:id="0" w:name="_Toc146270509"/>
      <w:r>
        <w:rPr>
          <w:rFonts w:ascii="Bahnschrift" w:hAnsi="Bahnschrift"/>
          <w:color w:val="00B0F0"/>
          <w:sz w:val="32"/>
        </w:rPr>
        <w:t>Table of Contents</w:t>
      </w:r>
      <w:bookmarkEnd w:id="0"/>
    </w:p>
    <w:p>
      <w:pPr>
        <w:pStyle w:val="Normal"/>
        <w:rPr/>
      </w:pPr>
      <w:r>
        <w:rPr/>
      </w:r>
    </w:p>
    <w:sdt>
      <w:sdtPr>
        <w:docPartObj>
          <w:docPartGallery w:val="Table of Contents"/>
          <w:docPartUnique w:val="true"/>
        </w:docPartObj>
      </w:sdtPr>
      <w:sdtContent>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r>
            <w:fldChar w:fldCharType="begin"/>
          </w:r>
          <w:r>
            <w:rPr>
              <w:webHidden/>
              <w:rStyle w:val="IndexLink"/>
            </w:rPr>
            <w:instrText> TOC \z \o "1-3" \u \h</w:instrText>
          </w:r>
          <w:r>
            <w:rPr>
              <w:webHidden/>
              <w:rStyle w:val="IndexLink"/>
            </w:rPr>
            <w:fldChar w:fldCharType="separate"/>
          </w:r>
          <w:hyperlink w:anchor="_Toc156309933">
            <w:r>
              <w:rPr>
                <w:webHidden/>
                <w:rStyle w:val="IndexLink"/>
              </w:rPr>
              <w:t>Glossary of Terms</w:t>
            </w:r>
            <w:r>
              <w:rPr>
                <w:webHidden/>
              </w:rPr>
              <w:fldChar w:fldCharType="begin"/>
            </w:r>
            <w:r>
              <w:rPr>
                <w:webHidden/>
              </w:rPr>
              <w:instrText>PAGEREF _Toc156309933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34">
            <w:r>
              <w:rPr>
                <w:webHidden/>
                <w:rStyle w:val="IndexLink"/>
              </w:rPr>
              <w:t>Disclaimers</w:t>
            </w:r>
            <w:r>
              <w:rPr>
                <w:webHidden/>
              </w:rPr>
              <w:fldChar w:fldCharType="begin"/>
            </w:r>
            <w:r>
              <w:rPr>
                <w:webHidden/>
              </w:rPr>
              <w:instrText>PAGEREF _Toc156309934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35">
            <w:r>
              <w:rPr>
                <w:webHidden/>
                <w:rStyle w:val="IndexLink"/>
              </w:rPr>
              <w:t>Introduction</w:t>
            </w:r>
            <w:r>
              <w:rPr>
                <w:webHidden/>
              </w:rPr>
              <w:fldChar w:fldCharType="begin"/>
            </w:r>
            <w:r>
              <w:rPr>
                <w:webHidden/>
              </w:rPr>
              <w:instrText>PAGEREF _Toc156309935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36">
            <w:r>
              <w:rPr>
                <w:webHidden/>
                <w:rStyle w:val="IndexLink"/>
              </w:rPr>
              <w:t>Part 1: Existing Demographics and Housing</w:t>
            </w:r>
            <w:r>
              <w:rPr>
                <w:webHidden/>
              </w:rPr>
              <w:fldChar w:fldCharType="begin"/>
            </w:r>
            <w:r>
              <w:rPr>
                <w:webHidden/>
              </w:rPr>
              <w:instrText>PAGEREF _Toc156309936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37">
            <w:r>
              <w:rPr>
                <w:webHidden/>
                <w:rStyle w:val="IndexLink"/>
              </w:rPr>
              <w:t>Community Demographic Profile</w:t>
            </w:r>
            <w:r>
              <w:rPr>
                <w:webHidden/>
              </w:rPr>
              <w:fldChar w:fldCharType="begin"/>
            </w:r>
            <w:r>
              <w:rPr>
                <w:webHidden/>
              </w:rPr>
              <w:instrText>PAGEREF _Toc156309937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38">
            <w:r>
              <w:rPr>
                <w:webHidden/>
                <w:rStyle w:val="IndexLink"/>
              </w:rPr>
              <w:t>Profile of Existing Housing Stock – Lennox and Addington</w:t>
            </w:r>
            <w:r>
              <w:rPr>
                <w:webHidden/>
              </w:rPr>
              <w:fldChar w:fldCharType="begin"/>
            </w:r>
            <w:r>
              <w:rPr>
                <w:webHidden/>
              </w:rPr>
              <w:instrText>PAGEREF _Toc156309938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39">
            <w:r>
              <w:rPr>
                <w:webHidden/>
                <w:rStyle w:val="IndexLink"/>
              </w:rPr>
              <w:t>Profile of Households</w:t>
            </w:r>
            <w:r>
              <w:rPr>
                <w:webHidden/>
              </w:rPr>
              <w:fldChar w:fldCharType="begin"/>
            </w:r>
            <w:r>
              <w:rPr>
                <w:webHidden/>
              </w:rPr>
              <w:instrText>PAGEREF _Toc156309939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0">
            <w:r>
              <w:rPr>
                <w:webHidden/>
                <w:rStyle w:val="IndexLink"/>
              </w:rPr>
              <w:t>Households by Income</w:t>
            </w:r>
            <w:r>
              <w:rPr>
                <w:webHidden/>
              </w:rPr>
              <w:fldChar w:fldCharType="begin"/>
            </w:r>
            <w:r>
              <w:rPr>
                <w:webHidden/>
              </w:rPr>
              <w:instrText>PAGEREF _Toc156309940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1">
            <w:r>
              <w:rPr>
                <w:webHidden/>
                <w:rStyle w:val="IndexLink"/>
              </w:rPr>
              <w:t>Households by Household Size</w:t>
            </w:r>
            <w:r>
              <w:rPr>
                <w:webHidden/>
              </w:rPr>
              <w:fldChar w:fldCharType="begin"/>
            </w:r>
            <w:r>
              <w:rPr>
                <w:webHidden/>
              </w:rPr>
              <w:instrText>PAGEREF _Toc156309941 \h</w:instrText>
            </w:r>
            <w:r>
              <w:rPr>
                <w:webHidden/>
              </w:rPr>
              <w:fldChar w:fldCharType="separate"/>
            </w:r>
            <w:r>
              <w:rPr>
                <w:rStyle w:val="IndexLink"/>
                <w:vanish w:val="false"/>
              </w:rPr>
              <w:tab/>
              <w:t>18</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2">
            <w:r>
              <w:rPr>
                <w:webHidden/>
                <w:rStyle w:val="IndexLink"/>
              </w:rPr>
              <w:t>Households by Tenure, Subsidized Housing</w:t>
            </w:r>
            <w:r>
              <w:rPr>
                <w:webHidden/>
              </w:rPr>
              <w:fldChar w:fldCharType="begin"/>
            </w:r>
            <w:r>
              <w:rPr>
                <w:webHidden/>
              </w:rPr>
              <w:instrText>PAGEREF _Toc156309942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3">
            <w:r>
              <w:rPr>
                <w:webHidden/>
                <w:rStyle w:val="IndexLink"/>
              </w:rPr>
              <w:t>Households by Actual Shelter Cost</w:t>
            </w:r>
            <w:r>
              <w:rPr>
                <w:webHidden/>
              </w:rPr>
              <w:fldChar w:fldCharType="begin"/>
            </w:r>
            <w:r>
              <w:rPr>
                <w:webHidden/>
              </w:rPr>
              <w:instrText>PAGEREF _Toc156309943 \h</w:instrText>
            </w:r>
            <w:r>
              <w:rPr>
                <w:webHidden/>
              </w:rPr>
              <w:fldChar w:fldCharType="separate"/>
            </w:r>
            <w:r>
              <w:rPr>
                <w:rStyle w:val="IndexLink"/>
                <w:vanish w:val="false"/>
              </w:rPr>
              <w:tab/>
              <w:t>20</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4">
            <w:r>
              <w:rPr>
                <w:webHidden/>
                <w:rStyle w:val="IndexLink"/>
              </w:rPr>
              <w:t>Part 2: Existing Housing Need in 2021</w:t>
            </w:r>
            <w:r>
              <w:rPr>
                <w:webHidden/>
              </w:rPr>
              <w:fldChar w:fldCharType="begin"/>
            </w:r>
            <w:r>
              <w:rPr>
                <w:webHidden/>
              </w:rPr>
              <w:instrText>PAGEREF _Toc156309944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5">
            <w:r>
              <w:rPr>
                <w:webHidden/>
                <w:rStyle w:val="IndexLink"/>
              </w:rPr>
              <w:t>Note on Private Households vs Households Examined for Core Housing Need</w:t>
            </w:r>
            <w:r>
              <w:rPr>
                <w:webHidden/>
              </w:rPr>
              <w:fldChar w:fldCharType="begin"/>
            </w:r>
            <w:r>
              <w:rPr>
                <w:webHidden/>
              </w:rPr>
              <w:instrText>PAGEREF _Toc156309945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6">
            <w:r>
              <w:rPr>
                <w:webHidden/>
                <w:rStyle w:val="IndexLink"/>
              </w:rPr>
              <w:t>Core Housing Need by Income/Affordability</w:t>
            </w:r>
            <w:r>
              <w:rPr>
                <w:webHidden/>
              </w:rPr>
              <w:fldChar w:fldCharType="begin"/>
            </w:r>
            <w:r>
              <w:rPr>
                <w:webHidden/>
              </w:rPr>
              <w:instrText>PAGEREF _Toc156309946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7">
            <w:r>
              <w:rPr>
                <w:webHidden/>
                <w:rStyle w:val="IndexLink"/>
              </w:rPr>
              <w:t>Core Housing Need by Household Size</w:t>
            </w:r>
            <w:r>
              <w:rPr>
                <w:webHidden/>
              </w:rPr>
              <w:fldChar w:fldCharType="begin"/>
            </w:r>
            <w:r>
              <w:rPr>
                <w:webHidden/>
              </w:rPr>
              <w:instrText>PAGEREF _Toc156309947 \h</w:instrText>
            </w:r>
            <w:r>
              <w:rPr>
                <w:webHidden/>
              </w:rPr>
              <w:fldChar w:fldCharType="separate"/>
            </w:r>
            <w:r>
              <w:rPr>
                <w:rStyle w:val="IndexLink"/>
                <w:vanish w:val="false"/>
              </w:rPr>
              <w:tab/>
              <w:t>26</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8">
            <w:r>
              <w:rPr>
                <w:webHidden/>
                <w:rStyle w:val="IndexLink"/>
              </w:rPr>
              <w:t>Core Housing Need by Tenure</w:t>
            </w:r>
            <w:r>
              <w:rPr>
                <w:webHidden/>
              </w:rPr>
              <w:fldChar w:fldCharType="begin"/>
            </w:r>
            <w:r>
              <w:rPr>
                <w:webHidden/>
              </w:rPr>
              <w:instrText>PAGEREF _Toc156309948 \h</w:instrText>
            </w:r>
            <w:r>
              <w:rPr>
                <w:webHidden/>
              </w:rPr>
              <w:fldChar w:fldCharType="separate"/>
            </w:r>
            <w:r>
              <w:rPr>
                <w:rStyle w:val="IndexLink"/>
                <w:vanish w:val="false"/>
              </w:rPr>
              <w:tab/>
              <w:t>28</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49">
            <w:r>
              <w:rPr>
                <w:webHidden/>
                <w:rStyle w:val="IndexLink"/>
              </w:rPr>
              <w:t>Core Housing Need by Priority Populations</w:t>
            </w:r>
            <w:r>
              <w:rPr>
                <w:webHidden/>
              </w:rPr>
              <w:fldChar w:fldCharType="begin"/>
            </w:r>
            <w:r>
              <w:rPr>
                <w:webHidden/>
              </w:rPr>
              <w:instrText>PAGEREF _Toc156309949 \h</w:instrText>
            </w:r>
            <w:r>
              <w:rPr>
                <w:webHidden/>
              </w:rPr>
              <w:fldChar w:fldCharType="separate"/>
            </w:r>
            <w:r>
              <w:rPr>
                <w:rStyle w:val="IndexLink"/>
                <w:vanish w:val="false"/>
              </w:rPr>
              <w:tab/>
              <w:t>30</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50">
            <w:r>
              <w:rPr>
                <w:webHidden/>
                <w:rStyle w:val="IndexLink"/>
              </w:rPr>
              <w:t>Part 3: Future Housing Need in 2031</w:t>
            </w:r>
            <w:r>
              <w:rPr>
                <w:webHidden/>
              </w:rPr>
              <w:fldChar w:fldCharType="begin"/>
            </w:r>
            <w:r>
              <w:rPr>
                <w:webHidden/>
              </w:rPr>
              <w:instrText>PAGEREF _Toc156309950 \h</w:instrText>
            </w:r>
            <w:r>
              <w:rPr>
                <w:webHidden/>
              </w:rPr>
              <w:fldChar w:fldCharType="separate"/>
            </w:r>
            <w:r>
              <w:rPr>
                <w:rStyle w:val="IndexLink"/>
                <w:vanish w:val="false"/>
              </w:rPr>
              <w:tab/>
              <w:t>33</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51">
            <w:r>
              <w:rPr>
                <w:webHidden/>
                <w:rStyle w:val="IndexLink"/>
              </w:rPr>
              <w:t xml:space="preserve">Future Housing Need in </w:t>
            </w:r>
            <w:r>
              <w:rPr>
                <w:rStyle w:val="IndexLink"/>
              </w:rPr>
              <w:t>{{community_name}}</w:t>
            </w:r>
            <w:r>
              <w:rPr>
                <w:webHidden/>
              </w:rPr>
              <w:fldChar w:fldCharType="begin"/>
            </w:r>
            <w:r>
              <w:rPr>
                <w:webHidden/>
              </w:rPr>
              <w:instrText>PAGEREF _Toc156309951 \h</w:instrText>
            </w:r>
            <w:r>
              <w:rPr>
                <w:webHidden/>
              </w:rPr>
              <w:fldChar w:fldCharType="separate"/>
            </w:r>
            <w:r>
              <w:rPr>
                <w:rStyle w:val="IndexLink"/>
                <w:vanish w:val="false"/>
              </w:rPr>
              <w:tab/>
              <w:t>35</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52">
            <w:r>
              <w:rPr>
                <w:webHidden/>
                <w:rStyle w:val="IndexLink"/>
              </w:rPr>
              <w:t>Future Housing Need in the municipalities of Lennox and Addington</w:t>
            </w:r>
            <w:r>
              <w:rPr>
                <w:webHidden/>
              </w:rPr>
              <w:fldChar w:fldCharType="begin"/>
            </w:r>
            <w:r>
              <w:rPr>
                <w:webHidden/>
              </w:rPr>
              <w:instrText>PAGEREF _Toc156309952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等线" w:cs="" w:asciiTheme="minorHAnsi" w:cstheme="minorBidi" w:eastAsiaTheme="minorEastAsia" w:hAnsiTheme="minorHAnsi"/>
              <w:sz w:val="22"/>
              <w:szCs w:val="22"/>
              <w:lang w:val="en-US" w:eastAsia="en-US"/>
            </w:rPr>
          </w:pPr>
          <w:hyperlink w:anchor="_Toc156309953">
            <w:r>
              <w:rPr>
                <w:webHidden/>
                <w:rStyle w:val="IndexLink"/>
              </w:rPr>
              <w:t>Households by income:</w:t>
            </w:r>
            <w:r>
              <w:rPr>
                <w:webHidden/>
              </w:rPr>
              <w:fldChar w:fldCharType="begin"/>
            </w:r>
            <w:r>
              <w:rPr>
                <w:webHidden/>
              </w:rPr>
              <w:instrText>PAGEREF _Toc156309953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等线" w:cs="" w:asciiTheme="minorHAnsi" w:cstheme="minorBidi" w:eastAsiaTheme="minorEastAsia" w:hAnsiTheme="minorHAnsi"/>
              <w:sz w:val="22"/>
              <w:szCs w:val="22"/>
              <w:lang w:val="en-US" w:eastAsia="en-US"/>
            </w:rPr>
          </w:pPr>
          <w:hyperlink w:anchor="_Toc156309954">
            <w:r>
              <w:rPr>
                <w:webHidden/>
                <w:rStyle w:val="IndexLink"/>
              </w:rPr>
              <w:t>Households by household size:</w:t>
            </w:r>
            <w:r>
              <w:rPr>
                <w:webHidden/>
              </w:rPr>
              <w:fldChar w:fldCharType="begin"/>
            </w:r>
            <w:r>
              <w:rPr>
                <w:webHidden/>
              </w:rPr>
              <w:instrText>PAGEREF _Toc156309954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等线" w:cs="" w:asciiTheme="minorHAnsi" w:cstheme="minorBidi" w:eastAsiaTheme="minorEastAsia" w:hAnsiTheme="minorHAnsi"/>
              <w:sz w:val="22"/>
              <w:szCs w:val="22"/>
              <w:lang w:val="en-US" w:eastAsia="en-US"/>
            </w:rPr>
          </w:pPr>
          <w:hyperlink w:anchor="_Toc156309955">
            <w:r>
              <w:rPr>
                <w:webHidden/>
                <w:rStyle w:val="IndexLink"/>
              </w:rPr>
              <w:t>Households by income:</w:t>
            </w:r>
            <w:r>
              <w:rPr>
                <w:webHidden/>
              </w:rPr>
              <w:fldChar w:fldCharType="begin"/>
            </w:r>
            <w:r>
              <w:rPr>
                <w:webHidden/>
              </w:rPr>
              <w:instrText>PAGEREF _Toc156309955 \h</w:instrText>
            </w:r>
            <w:r>
              <w:rPr>
                <w:webHidden/>
              </w:rPr>
              <w:fldChar w:fldCharType="separate"/>
            </w:r>
            <w:r>
              <w:rPr>
                <w:rStyle w:val="IndexLink"/>
                <w:vanish w:val="false"/>
              </w:rPr>
              <w:tab/>
              <w:t>38</w:t>
            </w:r>
            <w:r>
              <w:rPr>
                <w:webHidden/>
              </w:rPr>
              <w:fldChar w:fldCharType="end"/>
            </w:r>
          </w:hyperlink>
        </w:p>
        <w:p>
          <w:pPr>
            <w:pStyle w:val="Contents3"/>
            <w:rPr>
              <w:rFonts w:ascii="Calibri" w:hAnsi="Calibri" w:eastAsia="等线" w:cs="" w:asciiTheme="minorHAnsi" w:cstheme="minorBidi" w:eastAsiaTheme="minorEastAsia" w:hAnsiTheme="minorHAnsi"/>
              <w:sz w:val="22"/>
              <w:szCs w:val="22"/>
              <w:lang w:val="en-US" w:eastAsia="en-US"/>
            </w:rPr>
          </w:pPr>
          <w:hyperlink w:anchor="_Toc156309956">
            <w:r>
              <w:rPr>
                <w:webHidden/>
                <w:rStyle w:val="IndexLink"/>
              </w:rPr>
              <w:t>Households by household size:</w:t>
            </w:r>
            <w:r>
              <w:rPr>
                <w:webHidden/>
              </w:rPr>
              <w:fldChar w:fldCharType="begin"/>
            </w:r>
            <w:r>
              <w:rPr>
                <w:webHidden/>
              </w:rPr>
              <w:instrText>PAGEREF _Toc156309956 \h</w:instrText>
            </w:r>
            <w:r>
              <w:rPr>
                <w:webHidden/>
              </w:rPr>
              <w:fldChar w:fldCharType="separate"/>
            </w:r>
            <w:r>
              <w:rPr>
                <w:rStyle w:val="IndexLink"/>
                <w:vanish w:val="false"/>
              </w:rPr>
              <w:tab/>
              <w:t>38</w:t>
            </w:r>
            <w:r>
              <w:rPr>
                <w:webHidden/>
              </w:rPr>
              <w:fldChar w:fldCharType="end"/>
            </w:r>
          </w:hyperlink>
        </w:p>
        <w:p>
          <w:pPr>
            <w:pStyle w:val="Contents3"/>
            <w:rPr>
              <w:rFonts w:ascii="Calibri" w:hAnsi="Calibri" w:eastAsia="等线" w:cs="" w:asciiTheme="minorHAnsi" w:cstheme="minorBidi" w:eastAsiaTheme="minorEastAsia" w:hAnsiTheme="minorHAnsi"/>
              <w:sz w:val="22"/>
              <w:szCs w:val="22"/>
              <w:lang w:val="en-US" w:eastAsia="en-US"/>
            </w:rPr>
          </w:pPr>
          <w:hyperlink w:anchor="_Toc156309957">
            <w:r>
              <w:rPr>
                <w:webHidden/>
                <w:rStyle w:val="IndexLink"/>
              </w:rPr>
              <w:t>Households by income:</w:t>
            </w:r>
            <w:r>
              <w:rPr>
                <w:webHidden/>
              </w:rPr>
              <w:fldChar w:fldCharType="begin"/>
            </w:r>
            <w:r>
              <w:rPr>
                <w:webHidden/>
              </w:rPr>
              <w:instrText>PAGEREF _Toc156309957 \h</w:instrText>
            </w:r>
            <w:r>
              <w:rPr>
                <w:webHidden/>
              </w:rPr>
              <w:fldChar w:fldCharType="separate"/>
            </w:r>
            <w:r>
              <w:rPr>
                <w:rStyle w:val="IndexLink"/>
                <w:vanish w:val="false"/>
              </w:rPr>
              <w:tab/>
              <w:t>39</w:t>
            </w:r>
            <w:r>
              <w:rPr>
                <w:webHidden/>
              </w:rPr>
              <w:fldChar w:fldCharType="end"/>
            </w:r>
          </w:hyperlink>
        </w:p>
        <w:p>
          <w:pPr>
            <w:pStyle w:val="Contents3"/>
            <w:rPr>
              <w:rFonts w:ascii="Calibri" w:hAnsi="Calibri" w:eastAsia="等线" w:cs="" w:asciiTheme="minorHAnsi" w:cstheme="minorBidi" w:eastAsiaTheme="minorEastAsia" w:hAnsiTheme="minorHAnsi"/>
              <w:sz w:val="22"/>
              <w:szCs w:val="22"/>
              <w:lang w:val="en-US" w:eastAsia="en-US"/>
            </w:rPr>
          </w:pPr>
          <w:hyperlink w:anchor="_Toc156309958">
            <w:r>
              <w:rPr>
                <w:webHidden/>
                <w:rStyle w:val="IndexLink"/>
              </w:rPr>
              <w:t>Households by household size:</w:t>
            </w:r>
            <w:r>
              <w:rPr>
                <w:webHidden/>
              </w:rPr>
              <w:fldChar w:fldCharType="begin"/>
            </w:r>
            <w:r>
              <w:rPr>
                <w:webHidden/>
              </w:rPr>
              <w:instrText>PAGEREF _Toc156309958 \h</w:instrText>
            </w:r>
            <w:r>
              <w:rPr>
                <w:webHidden/>
              </w:rPr>
              <w:fldChar w:fldCharType="separate"/>
            </w:r>
            <w:r>
              <w:rPr>
                <w:rStyle w:val="IndexLink"/>
                <w:vanish w:val="false"/>
              </w:rPr>
              <w:tab/>
              <w:t>39</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59">
            <w:r>
              <w:rPr>
                <w:webHidden/>
                <w:rStyle w:val="IndexLink"/>
              </w:rPr>
              <w:t>Conclusions</w:t>
            </w:r>
            <w:r>
              <w:rPr>
                <w:webHidden/>
              </w:rPr>
              <w:fldChar w:fldCharType="begin"/>
            </w:r>
            <w:r>
              <w:rPr>
                <w:webHidden/>
              </w:rPr>
              <w:instrText>PAGEREF _Toc156309959 \h</w:instrText>
            </w:r>
            <w:r>
              <w:rPr>
                <w:webHidden/>
              </w:rPr>
              <w:fldChar w:fldCharType="separate"/>
            </w:r>
            <w:r>
              <w:rPr>
                <w:rStyle w:val="IndexLink"/>
                <w:vanish w:val="false"/>
              </w:rPr>
              <w:tab/>
              <w:t>40</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0">
            <w:r>
              <w:rPr>
                <w:webHidden/>
                <w:rStyle w:val="IndexLink"/>
              </w:rPr>
              <w:t>Appendix A: Full data tables</w:t>
            </w:r>
            <w:r>
              <w:rPr>
                <w:webHidden/>
              </w:rPr>
              <w:fldChar w:fldCharType="begin"/>
            </w:r>
            <w:r>
              <w:rPr>
                <w:webHidden/>
              </w:rPr>
              <w:instrText>PAGEREF _Toc156309960 \h</w:instrText>
            </w:r>
            <w:r>
              <w:rPr>
                <w:webHidden/>
              </w:rPr>
              <w:fldChar w:fldCharType="separate"/>
            </w:r>
            <w:r>
              <w:rPr>
                <w:rStyle w:val="IndexLink"/>
                <w:vanish w:val="false"/>
              </w:rPr>
              <w:tab/>
              <w:t>41</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1">
            <w:r>
              <w:rPr>
                <w:webHidden/>
                <w:rStyle w:val="IndexLink"/>
              </w:rPr>
              <w:t>Households, population, and headship rates (2006, 2011, 2016, 2021)</w:t>
            </w:r>
            <w:r>
              <w:rPr>
                <w:webHidden/>
              </w:rPr>
              <w:fldChar w:fldCharType="begin"/>
            </w:r>
            <w:r>
              <w:rPr>
                <w:webHidden/>
              </w:rPr>
              <w:instrText>PAGEREF _Toc156309961 \h</w:instrText>
            </w:r>
            <w:r>
              <w:rPr>
                <w:webHidden/>
              </w:rPr>
              <w:fldChar w:fldCharType="separate"/>
            </w:r>
            <w:r>
              <w:rPr>
                <w:rStyle w:val="IndexLink"/>
                <w:vanish w:val="false"/>
              </w:rPr>
              <w:tab/>
              <w:t>41</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2">
            <w:r>
              <w:rPr>
                <w:webHidden/>
                <w:rStyle w:val="IndexLink"/>
              </w:rPr>
              <w:t>Dwellings by structural type and period of construction (2021)</w:t>
            </w:r>
            <w:r>
              <w:rPr>
                <w:webHidden/>
              </w:rPr>
              <w:fldChar w:fldCharType="begin"/>
            </w:r>
            <w:r>
              <w:rPr>
                <w:webHidden/>
              </w:rPr>
              <w:instrText>PAGEREF _Toc156309962 \h</w:instrText>
            </w:r>
            <w:r>
              <w:rPr>
                <w:webHidden/>
              </w:rPr>
              <w:fldChar w:fldCharType="separate"/>
            </w:r>
            <w:r>
              <w:rPr>
                <w:rStyle w:val="IndexLink"/>
                <w:vanish w:val="false"/>
              </w:rPr>
              <w:tab/>
              <w:t>42</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3">
            <w:r>
              <w:rPr>
                <w:webHidden/>
                <w:rStyle w:val="IndexLink"/>
              </w:rPr>
              <w:t>Dwellings by structural type and number of bedrooms (2021)</w:t>
            </w:r>
            <w:r>
              <w:rPr>
                <w:webHidden/>
              </w:rPr>
              <w:fldChar w:fldCharType="begin"/>
            </w:r>
            <w:r>
              <w:rPr>
                <w:webHidden/>
              </w:rPr>
              <w:instrText>PAGEREF _Toc156309963 \h</w:instrText>
            </w:r>
            <w:r>
              <w:rPr>
                <w:webHidden/>
              </w:rPr>
              <w:fldChar w:fldCharType="separate"/>
            </w:r>
            <w:r>
              <w:rPr>
                <w:rStyle w:val="IndexLink"/>
                <w:vanish w:val="false"/>
              </w:rPr>
              <w:tab/>
              <w:t>43</w:t>
            </w:r>
            <w:r>
              <w:rPr>
                <w:webHidden/>
              </w:rPr>
              <w:fldChar w:fldCharType="end"/>
            </w:r>
          </w:hyperlink>
        </w:p>
        <w:p>
          <w:pPr>
            <w:pStyle w:val="Contents2"/>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4">
            <w:r>
              <w:rPr>
                <w:webHidden/>
                <w:rStyle w:val="IndexLink"/>
              </w:rPr>
              <w:t>Income categories and affordable monthly shelter costs (2016, 2021)</w:t>
            </w:r>
            <w:r>
              <w:rPr>
                <w:webHidden/>
              </w:rPr>
              <w:fldChar w:fldCharType="begin"/>
            </w:r>
            <w:r>
              <w:rPr>
                <w:webHidden/>
              </w:rPr>
              <w:instrText>PAGEREF _Toc156309964 \h</w:instrText>
            </w:r>
            <w:r>
              <w:rPr>
                <w:webHidden/>
              </w:rPr>
              <w:fldChar w:fldCharType="separate"/>
            </w:r>
            <w:r>
              <w:rPr>
                <w:rStyle w:val="IndexLink"/>
                <w:vanish w:val="false"/>
              </w:rPr>
              <w:tab/>
              <w:t>44</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5">
            <w:r>
              <w:rPr>
                <w:webHidden/>
                <w:rStyle w:val="IndexLink"/>
              </w:rPr>
              <w:t>Appendix B: Data Sources</w:t>
            </w:r>
            <w:r>
              <w:rPr>
                <w:webHidden/>
              </w:rPr>
              <w:fldChar w:fldCharType="begin"/>
            </w:r>
            <w:r>
              <w:rPr>
                <w:webHidden/>
              </w:rPr>
              <w:instrText>PAGEREF _Toc156309965 \h</w:instrText>
            </w:r>
            <w:r>
              <w:rPr>
                <w:webHidden/>
              </w:rPr>
              <w:fldChar w:fldCharType="separate"/>
            </w:r>
            <w:r>
              <w:rPr>
                <w:rStyle w:val="IndexLink"/>
                <w:vanish w:val="false"/>
              </w:rPr>
              <w:tab/>
              <w:t>48</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6">
            <w:r>
              <w:rPr>
                <w:webHidden/>
                <w:rStyle w:val="IndexLink"/>
              </w:rPr>
              <w:t>Appendix C: Family type bedroom requirements</w:t>
            </w:r>
            <w:r>
              <w:rPr>
                <w:webHidden/>
              </w:rPr>
              <w:fldChar w:fldCharType="begin"/>
            </w:r>
            <w:r>
              <w:rPr>
                <w:webHidden/>
              </w:rPr>
              <w:instrText>PAGEREF _Toc156309966 \h</w:instrText>
            </w:r>
            <w:r>
              <w:rPr>
                <w:webHidden/>
              </w:rPr>
              <w:fldChar w:fldCharType="separate"/>
            </w:r>
            <w:r>
              <w:rPr>
                <w:rStyle w:val="IndexLink"/>
                <w:vanish w:val="false"/>
              </w:rPr>
              <w:tab/>
              <w:t>50</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7">
            <w:r>
              <w:rPr>
                <w:webHidden/>
                <w:rStyle w:val="IndexLink"/>
              </w:rPr>
              <w:t>Appendix D: Methodology of Household growth between 2021 and 2031</w:t>
            </w:r>
            <w:r>
              <w:rPr>
                <w:webHidden/>
              </w:rPr>
              <w:fldChar w:fldCharType="begin"/>
            </w:r>
            <w:r>
              <w:rPr>
                <w:webHidden/>
              </w:rPr>
              <w:instrText>PAGEREF _Toc156309967 \h</w:instrText>
            </w:r>
            <w:r>
              <w:rPr>
                <w:webHidden/>
              </w:rPr>
              <w:fldChar w:fldCharType="separate"/>
            </w:r>
            <w:r>
              <w:rPr>
                <w:rStyle w:val="IndexLink"/>
                <w:vanish w:val="false"/>
              </w:rPr>
              <w:tab/>
              <w:t>52</w:t>
            </w:r>
            <w:r>
              <w:rPr>
                <w:webHidden/>
              </w:rPr>
              <w:fldChar w:fldCharType="end"/>
            </w:r>
          </w:hyperlink>
        </w:p>
        <w:p>
          <w:pPr>
            <w:pStyle w:val="Contents1"/>
            <w:tabs>
              <w:tab w:val="clear" w:pos="720"/>
              <w:tab w:val="right" w:pos="9350" w:leader="dot"/>
            </w:tabs>
            <w:rPr>
              <w:rFonts w:ascii="Calibri" w:hAnsi="Calibri" w:eastAsia="等线" w:cs="" w:asciiTheme="minorHAnsi" w:cstheme="minorBidi" w:eastAsiaTheme="minorEastAsia" w:hAnsiTheme="minorHAnsi"/>
              <w:sz w:val="22"/>
              <w:szCs w:val="22"/>
              <w:lang w:val="en-US" w:eastAsia="en-US"/>
            </w:rPr>
          </w:pPr>
          <w:hyperlink w:anchor="_Toc156309968">
            <w:r>
              <w:rPr>
                <w:webHidden/>
                <w:rStyle w:val="IndexLink"/>
              </w:rPr>
              <w:t>Appendix E: Priority Populations</w:t>
            </w:r>
            <w:r>
              <w:rPr>
                <w:webHidden/>
              </w:rPr>
              <w:fldChar w:fldCharType="begin"/>
            </w:r>
            <w:r>
              <w:rPr>
                <w:webHidden/>
              </w:rPr>
              <w:instrText>PAGEREF _Toc156309968 \h</w:instrText>
            </w:r>
            <w:r>
              <w:rPr>
                <w:webHidden/>
              </w:rPr>
              <w:fldChar w:fldCharType="separate"/>
            </w:r>
            <w:r>
              <w:rPr>
                <w:rStyle w:val="IndexLink"/>
                <w:vanish w:val="false"/>
              </w:rPr>
              <w:tab/>
              <w:t>53</w:t>
            </w:r>
            <w:r>
              <w:rPr>
                <w:webHidden/>
              </w:rPr>
              <w:fldChar w:fldCharType="end"/>
            </w:r>
          </w:hyperlink>
          <w:r>
            <w:rPr>
              <w:rStyle w:val="IndexLink"/>
              <w:vanish w:val="false"/>
            </w:rPr>
            <w:fldChar w:fldCharType="end"/>
          </w:r>
        </w:p>
      </w:sdtContent>
    </w:sdt>
    <w:p>
      <w:pPr>
        <w:pStyle w:val="Contents1"/>
        <w:tabs>
          <w:tab w:val="clear" w:pos="720"/>
          <w:tab w:val="right" w:pos="9350" w:leader="dot"/>
        </w:tabs>
        <w:spacing w:lineRule="auto" w:line="276"/>
        <w:rPr/>
      </w:pPr>
      <w:r>
        <w:rPr/>
      </w:r>
      <w:r>
        <w:br w:type="page"/>
      </w:r>
    </w:p>
    <w:p>
      <w:pPr>
        <w:pStyle w:val="Heading1"/>
        <w:rPr/>
      </w:pPr>
      <w:bookmarkStart w:id="1" w:name="_Toc156309933"/>
      <w:r>
        <w:rPr/>
        <w:t>Glossary of Terms</w:t>
      </w:r>
      <w:bookmarkEnd w:id="1"/>
    </w:p>
    <w:p>
      <w:pPr>
        <w:pStyle w:val="Normal"/>
        <w:rPr/>
      </w:pPr>
      <w:r>
        <w:rPr/>
      </w:r>
    </w:p>
    <w:p>
      <w:pPr>
        <w:pStyle w:val="ListParagraph"/>
        <w:numPr>
          <w:ilvl w:val="0"/>
          <w:numId w:val="2"/>
        </w:numPr>
        <w:spacing w:lineRule="auto" w:line="240"/>
        <w:rPr>
          <w:rFonts w:eastAsia="等线 Light" w:cs="" w:cstheme="majorBidi" w:eastAsiaTheme="majorEastAsia"/>
          <w:color w:val="00B0F0"/>
          <w:szCs w:val="32"/>
        </w:rPr>
      </w:pPr>
      <w:r>
        <w:rPr>
          <w:b/>
        </w:rPr>
        <w:t>Core Housing Need (CHN)</w:t>
      </w:r>
      <w:r>
        <w:rPr/>
        <w:t>: Defined by the Canada Mortgage and Housing Corp. (CMHC) as: “Core housing need is a 2-stage indicator. It helps to identify households living in dwellings considered unsuitable, inadequate, or unaffordable. It also considers if income levels are such that they could not afford alternative suitable and adequate housing in their community.”</w:t>
      </w:r>
      <w:r>
        <w:rPr>
          <w:rStyle w:val="FootnoteAnchor"/>
        </w:rPr>
        <w:footnoteReference w:id="2"/>
      </w:r>
    </w:p>
    <w:p>
      <w:pPr>
        <w:pStyle w:val="ListParagraph"/>
        <w:numPr>
          <w:ilvl w:val="0"/>
          <w:numId w:val="2"/>
        </w:numPr>
        <w:spacing w:lineRule="auto" w:line="240"/>
        <w:rPr>
          <w:rFonts w:eastAsia="等线 Light" w:eastAsiaTheme="majorEastAsia"/>
        </w:rPr>
      </w:pPr>
      <w:r>
        <w:rPr>
          <w:b/>
        </w:rPr>
        <w:t>Households examined for Core Housing Need</w:t>
      </w:r>
      <w:r>
        <w:rPr/>
        <w:t>: A subset of Total Households that excludes households that were not assessed for CHN for one reason or another (see disclaimer section below for more detail).</w:t>
      </w:r>
    </w:p>
    <w:p>
      <w:pPr>
        <w:pStyle w:val="ListParagraph"/>
        <w:numPr>
          <w:ilvl w:val="0"/>
          <w:numId w:val="2"/>
        </w:numPr>
        <w:spacing w:lineRule="auto" w:line="240"/>
        <w:rPr>
          <w:rFonts w:eastAsia="等线 Light" w:eastAsiaTheme="majorEastAsia"/>
          <w:sz w:val="16"/>
        </w:rPr>
      </w:pPr>
      <w:r>
        <w:rPr>
          <w:b/>
        </w:rPr>
        <w:t>Total Households</w:t>
      </w:r>
      <w:r>
        <w:rPr/>
        <w:t xml:space="preserve"> or </w:t>
      </w:r>
      <w:r>
        <w:rPr>
          <w:b/>
        </w:rPr>
        <w:t>Total Private Households</w:t>
      </w:r>
      <w:r>
        <w:rPr/>
        <w:t>: This refers to the universe of households included in HART’s data order. The full definition is: “Owner and tenant private households with household total income greater than zero in non-farm, non-reserve occupied private dwellings.”</w:t>
      </w:r>
    </w:p>
    <w:p>
      <w:pPr>
        <w:pStyle w:val="ListParagraph"/>
        <w:numPr>
          <w:ilvl w:val="0"/>
          <w:numId w:val="2"/>
        </w:numPr>
        <w:spacing w:lineRule="auto" w:line="240"/>
        <w:rPr>
          <w:rFonts w:eastAsia="等线 Light" w:cs="" w:cstheme="majorBidi" w:eastAsiaTheme="majorEastAsia"/>
          <w:color w:val="00B0F0"/>
          <w:szCs w:val="32"/>
        </w:rPr>
      </w:pPr>
      <w:r>
        <w:rPr>
          <w:b/>
        </w:rPr>
        <w:t>Vulnerable/Priority Populations</w:t>
      </w:r>
      <w:r>
        <w:rPr/>
        <w:t xml:space="preserve">: Canada’s National Housing Strategy has identified groups of people who are disproportionately in housing need or experience other barriers to housing. </w:t>
      </w:r>
    </w:p>
    <w:p>
      <w:pPr>
        <w:pStyle w:val="ListParagraph"/>
        <w:numPr>
          <w:ilvl w:val="0"/>
          <w:numId w:val="2"/>
        </w:numPr>
        <w:spacing w:lineRule="auto" w:line="240"/>
        <w:rPr>
          <w:rFonts w:eastAsia="等线 Light" w:eastAsiaTheme="majorEastAsia"/>
        </w:rPr>
      </w:pPr>
      <w:r>
        <w:rPr>
          <w:b/>
        </w:rPr>
        <w:t>Households (HHs)</w:t>
      </w:r>
      <w:r>
        <w:rPr/>
        <w:t xml:space="preserve">: Household refers to a person or group of persons who occupy the same dwelling and do not have a usual place of residence elsewhere in Canada or abroad. </w:t>
      </w:r>
    </w:p>
    <w:p>
      <w:pPr>
        <w:pStyle w:val="ListParagraph"/>
        <w:numPr>
          <w:ilvl w:val="0"/>
          <w:numId w:val="2"/>
        </w:numPr>
        <w:spacing w:lineRule="auto" w:line="240"/>
        <w:rPr>
          <w:rFonts w:eastAsia="等线 Light" w:eastAsiaTheme="majorEastAsia"/>
        </w:rPr>
      </w:pPr>
      <w:r>
        <w:rPr>
          <w:rFonts w:eastAsia="等线 Light" w:eastAsiaTheme="majorEastAsia"/>
          <w:b/>
        </w:rPr>
        <w:t>Dwellings</w:t>
      </w:r>
      <w:r>
        <w:rPr>
          <w:rFonts w:eastAsia="等线 Light"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3">
        <w:r>
          <w:rPr>
            <w:rStyle w:val="InternetLink"/>
            <w:rFonts w:eastAsia="等线 Light" w:eastAsiaTheme="majorEastAsia"/>
          </w:rPr>
          <w:t>Full Census definition</w:t>
        </w:r>
      </w:hyperlink>
      <w:r>
        <w:rPr>
          <w:rFonts w:eastAsia="等线 Light" w:eastAsiaTheme="majorEastAsia"/>
        </w:rPr>
        <w:t>)</w:t>
      </w:r>
    </w:p>
    <w:p>
      <w:pPr>
        <w:pStyle w:val="ListParagraph"/>
        <w:numPr>
          <w:ilvl w:val="0"/>
          <w:numId w:val="2"/>
        </w:numPr>
        <w:spacing w:lineRule="auto" w:line="240"/>
        <w:rPr>
          <w:rFonts w:eastAsia="等线 Light" w:cs="" w:cstheme="majorBidi" w:eastAsiaTheme="majorEastAsia"/>
          <w:color w:val="00B0F0"/>
          <w:szCs w:val="32"/>
        </w:rPr>
      </w:pPr>
      <w:r>
        <w:rPr>
          <w:b/>
        </w:rPr>
        <w:t>Headship rate</w:t>
      </w:r>
      <w:r>
        <w:rPr/>
        <w:t>: A statistic used to describe the proportion of the population that maintains a household. Furthermore, someone maintains a household when then are responsible for paying the majority of shelter costs associated with the dwelling</w:t>
      </w:r>
    </w:p>
    <w:p>
      <w:pPr>
        <w:pStyle w:val="ListParagraph"/>
        <w:numPr>
          <w:ilvl w:val="0"/>
          <w:numId w:val="2"/>
        </w:numPr>
        <w:spacing w:lineRule="auto" w:line="240"/>
        <w:rPr>
          <w:rFonts w:eastAsia="等线 Light" w:cs="" w:cstheme="majorBidi" w:eastAsiaTheme="majorEastAsia"/>
          <w:color w:val="00B0F0"/>
          <w:szCs w:val="32"/>
        </w:rPr>
      </w:pPr>
      <w:r>
        <w:rPr>
          <w:b/>
        </w:rPr>
        <w:t>Census subdivision (CSD)</w:t>
      </w:r>
      <w:r>
        <w:rPr/>
        <w:t>: A geographic area generally corresponding to a municipality.</w:t>
      </w:r>
    </w:p>
    <w:p>
      <w:pPr>
        <w:pStyle w:val="ListParagraph"/>
        <w:numPr>
          <w:ilvl w:val="0"/>
          <w:numId w:val="2"/>
        </w:numPr>
        <w:spacing w:lineRule="auto" w:line="240"/>
        <w:rPr>
          <w:rFonts w:ascii="Bahnschrift" w:hAnsi="Bahnschrift" w:eastAsia="等线 Light" w:cs="" w:cstheme="majorBidi" w:eastAsiaTheme="majorEastAsia"/>
          <w:color w:val="00B0F0"/>
          <w:sz w:val="32"/>
          <w:szCs w:val="32"/>
        </w:rPr>
      </w:pPr>
      <w:r>
        <w:rPr>
          <w:b/>
        </w:rPr>
        <w:t>Census division (CD)</w:t>
      </w:r>
      <w:r>
        <w:rPr/>
        <w:t>: An intermediate geographic area between the province/territory level and the municipality (census subdivision).</w:t>
      </w:r>
    </w:p>
    <w:p>
      <w:pPr>
        <w:pStyle w:val="ListParagraph"/>
        <w:numPr>
          <w:ilvl w:val="0"/>
          <w:numId w:val="2"/>
        </w:numPr>
        <w:spacing w:lineRule="auto" w:line="240"/>
        <w:rPr>
          <w:rFonts w:ascii="Bahnschrift" w:hAnsi="Bahnschrift" w:eastAsia="等线 Light" w:cs="" w:cstheme="majorBidi" w:eastAsiaTheme="majorEastAsia"/>
          <w:color w:val="00B0F0"/>
          <w:sz w:val="32"/>
          <w:szCs w:val="32"/>
        </w:rPr>
      </w:pPr>
      <w:r>
        <w:rPr>
          <w:b/>
        </w:rPr>
        <w:t>Subsidized housing</w:t>
      </w:r>
      <w:r>
        <w:rPr/>
        <w:t>: In census data, this refers to whether a renter household lives in a dwelling that is subsidized. Subsidized housing includes rent geared to income, social housing, public housing, government-assisted housing, non-profit housing, rent supplements and housing allowances.</w:t>
      </w:r>
    </w:p>
    <w:p>
      <w:pPr>
        <w:pStyle w:val="ListParagraph"/>
        <w:numPr>
          <w:ilvl w:val="0"/>
          <w:numId w:val="2"/>
        </w:numPr>
        <w:spacing w:lineRule="auto" w:line="240"/>
        <w:rPr>
          <w:rFonts w:ascii="Bahnschrift" w:hAnsi="Bahnschrift" w:eastAsia="等线 Light" w:cs="" w:cstheme="majorBidi" w:eastAsiaTheme="majorEastAsia"/>
          <w:color w:val="00B0F0"/>
          <w:sz w:val="32"/>
          <w:szCs w:val="32"/>
        </w:rPr>
      </w:pPr>
      <w:r>
        <w:rPr>
          <w:b/>
        </w:rPr>
        <w:t>Primary Household Maintainer (PHM)</w:t>
      </w:r>
      <w:r>
        <w:rPr/>
        <w:t>: The person in the household who pays the shelter costs. (</w:t>
      </w:r>
      <w:r>
        <w:fldChar w:fldCharType="begin"/>
      </w:r>
      <w:r>
        <w:rPr>
          <w:rStyle w:val="InternetLink"/>
        </w:rPr>
        <w:instrText> HYPERLINK "https://www12.statcan.gc.ca/census-recensement/2021/ref/dict/az/Definition-eng.cfm?ID=households-menage020" \l ":~:text=First person in the household,as the primary household maintainer."</w:instrText>
      </w:r>
      <w:r>
        <w:rPr>
          <w:rStyle w:val="InternetLink"/>
        </w:rPr>
        <w:fldChar w:fldCharType="separate"/>
      </w:r>
      <w:r>
        <w:rPr>
          <w:rStyle w:val="InternetLink"/>
        </w:rPr>
        <w:t>Full Census definition</w:t>
      </w:r>
      <w:r>
        <w:rPr>
          <w:rStyle w:val="InternetLink"/>
        </w:rPr>
        <w:fldChar w:fldCharType="end"/>
      </w:r>
      <w:r>
        <w:rPr/>
        <w:t>)</w:t>
      </w:r>
    </w:p>
    <w:p>
      <w:pPr>
        <w:pStyle w:val="ListParagraph"/>
        <w:numPr>
          <w:ilvl w:val="0"/>
          <w:numId w:val="2"/>
        </w:numPr>
        <w:spacing w:lineRule="auto" w:line="240"/>
        <w:rPr/>
      </w:pPr>
      <w:r>
        <w:rPr>
          <w:b/>
        </w:rPr>
        <w:t>Area Median Household Income (AMHI)</w:t>
      </w:r>
      <w:r>
        <w:rPr/>
        <w:t xml:space="preserve">: HART’s custom data order grouped households into categories relative to the community’s median household income: </w:t>
      </w:r>
    </w:p>
    <w:p>
      <w:pPr>
        <w:pStyle w:val="Bullets"/>
        <w:numPr>
          <w:ilvl w:val="1"/>
          <w:numId w:val="2"/>
        </w:numPr>
        <w:spacing w:lineRule="auto" w:line="240" w:before="0" w:after="0"/>
        <w:rPr>
          <w:rStyle w:val="Emphasisgreen"/>
          <w:rFonts w:ascii="Bahnschrift Light" w:hAnsi="Bahnschrift Light"/>
          <w:sz w:val="20"/>
          <w:szCs w:val="20"/>
        </w:rPr>
      </w:pPr>
      <w:r>
        <w:rPr>
          <w:rStyle w:val="Emphasisgreen"/>
          <w:rFonts w:ascii="Bahnschrift Light" w:hAnsi="Bahnschrift Light"/>
          <w:sz w:val="20"/>
          <w:szCs w:val="20"/>
        </w:rPr>
        <w:t xml:space="preserve">Very low income: </w:t>
      </w:r>
      <w:r>
        <w:rPr>
          <w:rFonts w:ascii="Bahnschrift Light" w:hAnsi="Bahnschrift Light"/>
          <w:bCs/>
          <w:sz w:val="20"/>
        </w:rPr>
        <w:t>20% or less of AMHI, generally equivalent to shelter allowance for welfare recipients.</w:t>
      </w:r>
      <w:r>
        <w:rPr>
          <w:rStyle w:val="Emphasisgreen"/>
          <w:rFonts w:ascii="Bahnschrift Light" w:hAnsi="Bahnschrift Light"/>
          <w:sz w:val="18"/>
          <w:szCs w:val="20"/>
        </w:rPr>
        <w:t xml:space="preserve"> </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Low income: </w:t>
      </w:r>
      <w:r>
        <w:rPr>
          <w:rFonts w:ascii="Bahnschrift Light" w:hAnsi="Bahnschrift Light"/>
          <w:bCs/>
          <w:sz w:val="20"/>
        </w:rPr>
        <w:t>21-50% AMHI, roughly equivalent to one full-time minimum wage job.</w:t>
      </w:r>
      <w:r>
        <w:rPr>
          <w:b/>
        </w:rPr>
        <w:t xml:space="preserve"> </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Moderate income: </w:t>
      </w:r>
      <w:r>
        <w:rPr>
          <w:rFonts w:ascii="Bahnschrift Light" w:hAnsi="Bahnschrift Light"/>
          <w:bCs/>
          <w:sz w:val="20"/>
        </w:rPr>
        <w:t>51-80% AMHI, equivalent to starting salary for a professional job.</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Average Income: </w:t>
      </w:r>
      <w:r>
        <w:rPr>
          <w:rFonts w:ascii="Bahnschrift Light" w:hAnsi="Bahnschrift Light"/>
          <w:bCs/>
          <w:sz w:val="20"/>
        </w:rPr>
        <w:t xml:space="preserve">81-120% AMHI, representing about 20% of total Canadian households. </w:t>
      </w:r>
    </w:p>
    <w:p>
      <w:pPr>
        <w:pStyle w:val="Bullets"/>
        <w:numPr>
          <w:ilvl w:val="1"/>
          <w:numId w:val="2"/>
        </w:numPr>
        <w:spacing w:lineRule="auto" w:line="240" w:before="0" w:after="0"/>
        <w:rPr>
          <w:b/>
          <w:b/>
        </w:rPr>
      </w:pPr>
      <w:r>
        <w:rPr>
          <w:rStyle w:val="Emphasisgreen"/>
          <w:rFonts w:ascii="Bahnschrift Light" w:hAnsi="Bahnschrift Light"/>
          <w:sz w:val="20"/>
          <w:szCs w:val="20"/>
        </w:rPr>
        <w:t xml:space="preserve">High Income: </w:t>
      </w:r>
      <w:r>
        <w:rPr>
          <w:rFonts w:ascii="Bahnschrift Light" w:hAnsi="Bahnschrift Light"/>
          <w:bCs/>
          <w:sz w:val="20"/>
        </w:rPr>
        <w:t>More than 120% AMHI, approximately 40% of Canadian households.</w:t>
      </w:r>
    </w:p>
    <w:p>
      <w:pPr>
        <w:pStyle w:val="ListParagraph"/>
        <w:numPr>
          <w:ilvl w:val="0"/>
          <w:numId w:val="2"/>
        </w:numPr>
        <w:spacing w:lineRule="auto" w:line="240"/>
        <w:rPr>
          <w:rFonts w:ascii="Bahnschrift" w:hAnsi="Bahnschrift" w:eastAsia="等线 Light" w:cs="" w:cstheme="majorBidi" w:eastAsiaTheme="majorEastAsia"/>
          <w:color w:val="00B0F0"/>
          <w:sz w:val="32"/>
          <w:szCs w:val="32"/>
        </w:rPr>
      </w:pPr>
      <w:r>
        <w:rPr>
          <w:b/>
        </w:rPr>
        <w:t>Affordable shelter cost</w:t>
      </w:r>
      <w:r>
        <w:rPr/>
        <w:t>: HART determines whether housing is affordable or not based on CMHC’s benchmark that a shelter is unaffordable if a household pays more than 30% of their pre-tax income towards shelter costs.</w:t>
      </w:r>
      <w:r>
        <w:br w:type="page"/>
      </w:r>
    </w:p>
    <w:p>
      <w:pPr>
        <w:pStyle w:val="Heading1"/>
        <w:rPr/>
      </w:pPr>
      <w:bookmarkStart w:id="2" w:name="_Toc156309934"/>
      <w:bookmarkStart w:id="3" w:name="_Ref151365287"/>
      <w:r>
        <w:rPr/>
        <w:t>Disclaimers</w:t>
      </w:r>
      <w:bookmarkEnd w:id="2"/>
      <w:bookmarkEnd w:id="3"/>
    </w:p>
    <w:p>
      <w:pPr>
        <w:pStyle w:val="Normal"/>
        <w:rPr/>
      </w:pPr>
      <w:r>
        <w:rPr/>
      </w:r>
    </w:p>
    <w:p>
      <w:pPr>
        <w:pStyle w:val="ListParagraph"/>
        <w:numPr>
          <w:ilvl w:val="0"/>
          <w:numId w:val="1"/>
        </w:numPr>
        <w:rPr>
          <w:b/>
          <w:b/>
        </w:rPr>
      </w:pPr>
      <w:r>
        <w:rPr>
          <w:b/>
        </w:rPr>
        <w:t>Core Housing Need and its Limitations</w:t>
      </w:r>
    </w:p>
    <w:p>
      <w:pPr>
        <w:pStyle w:val="ListParagraph"/>
        <w:rPr/>
      </w:pPr>
      <w:r>
        <w:rPr/>
        <w:t>HART relies on the Canadian Census, which is collected every five years by Statistics Canada. While the Census is the most consistent, reliable, nationwide source of disaggregated data, there are gaps and flaws in its data capture. These carry over to our model.</w:t>
      </w:r>
    </w:p>
    <w:p>
      <w:pPr>
        <w:pStyle w:val="ListParagraph"/>
        <w:rPr/>
      </w:pPr>
      <w:r>
        <w:rPr/>
        <w:t xml:space="preserve">  </w:t>
      </w:r>
    </w:p>
    <w:p>
      <w:pPr>
        <w:pStyle w:val="ListParagraph"/>
        <w:rPr/>
      </w:pPr>
      <w:r>
        <w:rPr/>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pPr>
        <w:pStyle w:val="ListParagraph"/>
        <w:rPr/>
      </w:pPr>
      <w:r>
        <w:rPr/>
      </w:r>
    </w:p>
    <w:p>
      <w:pPr>
        <w:pStyle w:val="ListParagraph"/>
        <w:rPr/>
      </w:pPr>
      <w:r>
        <w:rPr/>
        <w:t xml:space="preserve">Other groups that are excluded from measurement include: </w:t>
      </w:r>
    </w:p>
    <w:p>
      <w:pPr>
        <w:pStyle w:val="ListParagraph"/>
        <w:numPr>
          <w:ilvl w:val="0"/>
          <w:numId w:val="6"/>
        </w:numPr>
        <w:rPr/>
      </w:pPr>
      <w:r>
        <w:rPr/>
        <w:t>Non-family HH with at least one HH maintainer aged 15 to 29 attending school.</w:t>
      </w:r>
      <w:r>
        <w:rPr>
          <w:rStyle w:val="FootnoteAnchor"/>
          <w:vertAlign w:val="superscript"/>
        </w:rPr>
        <w:footnoteReference w:id="3"/>
      </w:r>
      <w:r>
        <w:rPr/>
        <w:t xml:space="preserve"> </w:t>
      </w:r>
    </w:p>
    <w:p>
      <w:pPr>
        <w:pStyle w:val="ListParagraph"/>
        <w:numPr>
          <w:ilvl w:val="0"/>
          <w:numId w:val="6"/>
        </w:numPr>
        <w:rPr/>
      </w:pPr>
      <w:r>
        <w:rPr/>
        <w:t>HH within Single Resident Occupancy (SRO) homes, long-term housing, and other forms of congregate housing (including long-term care or rooming houses).</w:t>
      </w:r>
      <w:r>
        <w:rPr>
          <w:rStyle w:val="FootnoteAnchor"/>
          <w:vertAlign w:val="superscript"/>
        </w:rPr>
        <w:footnoteReference w:id="4"/>
      </w:r>
    </w:p>
    <w:p>
      <w:pPr>
        <w:pStyle w:val="ListParagraph"/>
        <w:numPr>
          <w:ilvl w:val="0"/>
          <w:numId w:val="6"/>
        </w:numPr>
        <w:rPr/>
      </w:pPr>
      <w:r>
        <w:rPr/>
        <w:t xml:space="preserve">Unsheltered households (in encampments or sleeping rough) </w:t>
      </w:r>
    </w:p>
    <w:p>
      <w:pPr>
        <w:pStyle w:val="ListParagraph"/>
        <w:numPr>
          <w:ilvl w:val="0"/>
          <w:numId w:val="6"/>
        </w:numPr>
        <w:rPr/>
      </w:pPr>
      <w:r>
        <w:rPr/>
        <w:t xml:space="preserve">Those in emergency homelessness or domestic violence shelters </w:t>
      </w:r>
    </w:p>
    <w:p>
      <w:pPr>
        <w:pStyle w:val="ListParagraph"/>
        <w:numPr>
          <w:ilvl w:val="0"/>
          <w:numId w:val="6"/>
        </w:numPr>
        <w:rPr/>
      </w:pPr>
      <w:r>
        <w:rPr/>
        <w:t xml:space="preserve">People in any form of congregate housing (long term care homes, rooming houses) </w:t>
      </w:r>
    </w:p>
    <w:p>
      <w:pPr>
        <w:pStyle w:val="ListParagraph"/>
        <w:numPr>
          <w:ilvl w:val="0"/>
          <w:numId w:val="6"/>
        </w:numPr>
        <w:rPr/>
      </w:pPr>
      <w:r>
        <w:rPr/>
        <w:t>Those in illegal apartments</w:t>
      </w:r>
    </w:p>
    <w:p>
      <w:pPr>
        <w:pStyle w:val="ListParagraph"/>
        <w:rPr/>
      </w:pPr>
      <w:r>
        <w:rPr/>
        <w:t xml:space="preserve"> </w:t>
      </w:r>
    </w:p>
    <w:p>
      <w:pPr>
        <w:pStyle w:val="ListParagraph"/>
        <w:rPr/>
      </w:pPr>
      <w:r>
        <w:rPr/>
        <w:t>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household displacement/replacement in communities outside of major centers due to affordability concerns. As a result, our data likely estimates the floor, not the ceiling, of housing need.</w:t>
      </w:r>
    </w:p>
    <w:p>
      <w:pPr>
        <w:pStyle w:val="ListParagraph"/>
        <w:rPr/>
      </w:pPr>
      <w:r>
        <w:rPr/>
      </w:r>
    </w:p>
    <w:p>
      <w:pPr>
        <w:pStyle w:val="ListParagraph"/>
        <w:numPr>
          <w:ilvl w:val="0"/>
          <w:numId w:val="1"/>
        </w:numPr>
        <w:rPr>
          <w:b/>
          <w:b/>
        </w:rPr>
      </w:pPr>
      <w:r>
        <w:rPr>
          <w:b/>
        </w:rPr>
        <w:t>Random rounding, suppression and totals</w:t>
      </w:r>
    </w:p>
    <w:p>
      <w:pPr>
        <w:pStyle w:val="ListParagraph"/>
        <w:rPr/>
      </w:pPr>
      <w:r>
        <w:rPr/>
        <w:t>When showing count data, Statistics Canada employs random rounding in order to reduce the</w:t>
      </w:r>
    </w:p>
    <w:p>
      <w:pPr>
        <w:pStyle w:val="ListParagraph"/>
        <w:rPr/>
      </w:pPr>
      <w:r>
        <w:rPr/>
        <w:t xml:space="preserve">possibility of identifying individuals within the tabulations. Random rounding transforms all raw counts to random rounded counts. Reducing the possibility of identifying individuals within the tabulations becomes pertinent for very small (sub)populations. All counts are rounded to a base of 5, meaning they will end in either 0 or 5. The random rounding algorithm controls the results and rounds the unit value of the count according to a predetermined frequency. Counts ending in 0 or 5 are not changed. In cases where count values are very low, to avoid disclosure of individuals, statistic suppression methods are employed. This results in aggregate count data varying slightly from the sum of disaggregated count data. </w:t>
      </w:r>
    </w:p>
    <w:p>
      <w:pPr>
        <w:pStyle w:val="ListParagraph"/>
        <w:rPr/>
      </w:pPr>
      <w:r>
        <w:rPr/>
      </w:r>
    </w:p>
    <w:p>
      <w:pPr>
        <w:pStyle w:val="ListParagraph"/>
        <w:numPr>
          <w:ilvl w:val="0"/>
          <w:numId w:val="1"/>
        </w:numPr>
        <w:rPr/>
      </w:pPr>
      <w:r>
        <w:rPr>
          <w:rFonts w:ascii="Bahnschrift" w:hAnsi="Bahnschrift"/>
          <w:b/>
          <w:bCs/>
        </w:rPr>
        <w:t>Effect of CERB</w:t>
        <w:br/>
      </w:r>
      <w:r>
        <w:rPr/>
        <w:t xml:space="preserve">Core Housing Need dropped across the country from 2016 to 2021 in contrast to the rising cost of housing over that period. A likely explanation for this discrepancy was the introduction of the </w:t>
      </w:r>
      <w:hyperlink r:id="rId4">
        <w:r>
          <w:rPr>
            <w:rStyle w:val="InternetLink"/>
          </w:rPr>
          <w:t>Canada Emergency Response Benefit (CERB)</w:t>
        </w:r>
      </w:hyperlink>
      <w:r>
        <w:rPr/>
        <w:t xml:space="preserve">, which provided financial support to employed and self-employed Canadians during the pandemic. In </w:t>
      </w:r>
      <w:r>
        <w:rPr/>
        <w:fldChar w:fldCharType="begin"/>
      </w:r>
      <w:r>
        <w:rPr/>
        <w:instrText> REF _Ref150324429 \h </w:instrText>
      </w:r>
      <w:r>
        <w:rPr/>
        <w:fldChar w:fldCharType="separate"/>
      </w:r>
      <w:r>
        <w:rPr/>
        <w:t>Figure 1</w:t>
      </w:r>
      <w:r>
        <w:rPr/>
        <w:fldChar w:fldCharType="end"/>
      </w:r>
      <w:r>
        <w:rP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(i.e. the top half of income distribution).</w:t>
      </w:r>
    </w:p>
    <w:p>
      <w:pPr>
        <w:pStyle w:val="ListParagraph"/>
        <w:jc w:val="center"/>
        <w:rPr/>
      </w:pPr>
      <w:r>
        <w:rPr/>
        <w:drawing>
          <wp:inline distT="0" distB="0" distL="0" distR="0">
            <wp:extent cx="4086860" cy="3029585"/>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Caption1"/>
        <w:rPr/>
      </w:pPr>
      <w:bookmarkStart w:id="4" w:name="_Ref150324429"/>
      <w:r>
        <w:rPr/>
        <w:t xml:space="preserve">Figure </w:t>
      </w:r>
      <w:r>
        <w:rPr/>
        <w:fldChar w:fldCharType="begin"/>
      </w:r>
      <w:r>
        <w:rPr/>
        <w:instrText> SEQ Figure \* ARABIC </w:instrText>
      </w:r>
      <w:r>
        <w:rPr/>
        <w:fldChar w:fldCharType="separate"/>
      </w:r>
      <w:r>
        <w:rPr/>
        <w:t>1</w:t>
      </w:r>
      <w:r>
        <w:rPr/>
        <w:fldChar w:fldCharType="end"/>
      </w:r>
      <w:bookmarkEnd w:id="4"/>
      <w:r>
        <w:rPr/>
        <w:t>: Statistics Canada. Table 98-10-0089-01.</w:t>
      </w:r>
    </w:p>
    <w:p>
      <w:pPr>
        <w:pStyle w:val="ListParagraph"/>
        <w:rPr/>
      </w:pPr>
      <w:r>
        <w:rPr/>
        <w:t xml:space="preserve">This result can be seen in HART’s census data too. The total number of households in Canada grew by 6%, but the number of households in the Very Low income category – capturing households earning equal to or less than 20% of household median income – dropped by 19%. There is also a significant rise in households in the Low income category (13% compared to 6% for all households), and above average increases in the Moderate and Median categories. </w:t>
      </w:r>
    </w:p>
    <w:p>
      <w:pPr>
        <w:pStyle w:val="ListParagraph"/>
        <w:rPr/>
      </w:pPr>
      <w:r>
        <w:rPr/>
      </w:r>
    </w:p>
    <w:p>
      <w:pPr>
        <w:pStyle w:val="ListParagraph"/>
        <w:rPr/>
      </w:pPr>
      <w:r>
        <w:rPr/>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pPr>
        <w:pStyle w:val="Normal"/>
        <w:rPr/>
      </w:pPr>
      <w:r>
        <w:rPr/>
      </w:r>
    </w:p>
    <w:tbl>
      <w:tblPr>
        <w:tblStyle w:val="TableGrid"/>
        <w:tblW w:w="733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35"/>
        <w:gridCol w:w="1910"/>
        <w:gridCol w:w="1910"/>
        <w:gridCol w:w="1076"/>
      </w:tblGrid>
      <w:tr>
        <w:trPr/>
        <w:tc>
          <w:tcPr>
            <w:tcW w:w="2435"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HART Income Categories</w:t>
            </w:r>
          </w:p>
        </w:tc>
        <w:tc>
          <w:tcPr>
            <w:tcW w:w="1910"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2016 – Canada HHs</w:t>
            </w:r>
          </w:p>
        </w:tc>
        <w:tc>
          <w:tcPr>
            <w:tcW w:w="1910"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2021 – Canada HHs</w:t>
            </w:r>
          </w:p>
        </w:tc>
        <w:tc>
          <w:tcPr>
            <w:tcW w:w="1076"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 Change</w:t>
            </w:r>
          </w:p>
        </w:tc>
      </w:tr>
      <w:tr>
        <w:trPr/>
        <w:tc>
          <w:tcPr>
            <w:tcW w:w="2435"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Very Low</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627,130</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510,595</w:t>
            </w:r>
          </w:p>
        </w:tc>
        <w:tc>
          <w:tcPr>
            <w:tcW w:w="1076" w:type="dxa"/>
            <w:tcBorders/>
            <w:shd w:color="auto" w:fill="E2EFD9" w:themeFill="accent6" w:themeFillTint="33"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-19%</w:t>
            </w:r>
          </w:p>
        </w:tc>
      </w:tr>
      <w:tr>
        <w:trPr/>
        <w:tc>
          <w:tcPr>
            <w:tcW w:w="2435"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Low</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2,304,285</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2,603,455</w:t>
            </w:r>
          </w:p>
        </w:tc>
        <w:tc>
          <w:tcPr>
            <w:tcW w:w="1076" w:type="dxa"/>
            <w:tcBorders/>
            <w:shd w:color="auto" w:fill="E2EFD9" w:themeFill="accent6" w:themeFillTint="33"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13%</w:t>
            </w:r>
          </w:p>
        </w:tc>
      </w:tr>
      <w:tr>
        <w:trPr/>
        <w:tc>
          <w:tcPr>
            <w:tcW w:w="2435"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Moderate</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2,461,610</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2,695,275</w:t>
            </w:r>
          </w:p>
        </w:tc>
        <w:tc>
          <w:tcPr>
            <w:tcW w:w="1076" w:type="dxa"/>
            <w:tcBorders/>
            <w:shd w:color="auto" w:fill="E2EFD9" w:themeFill="accent6" w:themeFillTint="33"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9%</w:t>
            </w:r>
          </w:p>
        </w:tc>
      </w:tr>
      <w:tr>
        <w:trPr/>
        <w:tc>
          <w:tcPr>
            <w:tcW w:w="2435"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Median</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2,847,825</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3,036,295</w:t>
            </w:r>
          </w:p>
        </w:tc>
        <w:tc>
          <w:tcPr>
            <w:tcW w:w="1076" w:type="dxa"/>
            <w:tcBorders/>
            <w:shd w:color="auto" w:fill="E2EFD9" w:themeFill="accent6" w:themeFillTint="33"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7%</w:t>
            </w:r>
          </w:p>
        </w:tc>
      </w:tr>
      <w:tr>
        <w:trPr/>
        <w:tc>
          <w:tcPr>
            <w:tcW w:w="2435"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High</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5,557,455</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5,841,730</w:t>
            </w:r>
          </w:p>
        </w:tc>
        <w:tc>
          <w:tcPr>
            <w:tcW w:w="1076" w:type="dxa"/>
            <w:tcBorders/>
            <w:shd w:color="auto" w:fill="E2EFD9" w:themeFill="accent6" w:themeFillTint="33"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5%</w:t>
            </w:r>
          </w:p>
        </w:tc>
      </w:tr>
      <w:tr>
        <w:trPr/>
        <w:tc>
          <w:tcPr>
            <w:tcW w:w="2435" w:type="dxa"/>
            <w:tcBorders/>
            <w:shd w:color="auto" w:fill="F2F2F2" w:themeFill="background1" w:themeFillShade="f2"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Total</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13,800,321</w:t>
            </w:r>
          </w:p>
        </w:tc>
        <w:tc>
          <w:tcPr>
            <w:tcW w:w="19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14,689,371</w:t>
            </w:r>
          </w:p>
        </w:tc>
        <w:tc>
          <w:tcPr>
            <w:tcW w:w="1076" w:type="dxa"/>
            <w:tcBorders/>
            <w:shd w:color="auto" w:fill="E2EFD9" w:themeFill="accent6" w:themeFillTint="33" w:val="clear"/>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6%</w:t>
            </w:r>
          </w:p>
        </w:tc>
      </w:tr>
    </w:tbl>
    <w:p>
      <w:pPr>
        <w:pStyle w:val="Caption1"/>
        <w:jc w:val="center"/>
        <w:rPr/>
      </w:pPr>
      <w:bookmarkStart w:id="5" w:name="_Ref151715714"/>
      <w:bookmarkStart w:id="6" w:name="_Ref151715696"/>
      <w:r>
        <w:rPr/>
        <w:t xml:space="preserve">Table </w:t>
      </w:r>
      <w:r>
        <w:rPr/>
        <w:fldChar w:fldCharType="begin"/>
      </w:r>
      <w:r>
        <w:rPr/>
        <w:instrText> SEQ Table \* ARABIC </w:instrText>
      </w:r>
      <w:r>
        <w:rPr/>
        <w:fldChar w:fldCharType="separate"/>
      </w:r>
      <w:r>
        <w:rPr/>
        <w:t>1</w:t>
      </w:r>
      <w:r>
        <w:rPr/>
        <w:fldChar w:fldCharType="end"/>
      </w:r>
      <w:bookmarkEnd w:id="6"/>
      <w:r>
        <w:rPr/>
        <w:t>: Change in households by income category from 2016 to 2021 - HART.</w:t>
      </w:r>
      <w:bookmarkEnd w:id="5"/>
      <w:r>
        <w:br w:type="page"/>
      </w:r>
    </w:p>
    <w:p>
      <w:pPr>
        <w:pStyle w:val="Heading1"/>
        <w:rPr/>
      </w:pPr>
      <w:bookmarkStart w:id="7" w:name="_Toc156309935"/>
      <w:r>
        <w:rPr/>
        <w:t>Introduction</w:t>
      </w:r>
      <w:bookmarkEnd w:id="7"/>
    </w:p>
    <w:p>
      <w:pPr>
        <w:pStyle w:val="Normal"/>
        <w:rPr/>
      </w:pPr>
      <w:r>
        <w:rPr/>
      </w:r>
    </w:p>
    <w:p>
      <w:pPr>
        <w:pStyle w:val="Normal"/>
        <w:rPr/>
      </w:pPr>
      <w:r>
        <w:rPr/>
        <w:t xml:space="preserve">The Housing Assessment Resource Tools (HART) project has been engaged to prepare a report of Housing Need for </w:t>
      </w:r>
      <w:r>
        <w:rPr>
          <w:rFonts w:eastAsia="Times New Roman"/>
        </w:rPr>
        <w:t>{{community_name}}</w:t>
      </w:r>
      <w:r>
        <w:rPr/>
        <w:t>.</w:t>
      </w:r>
    </w:p>
    <w:p>
      <w:pPr>
        <w:pStyle w:val="Normal"/>
        <w:rPr>
          <w:highlight w:val="yellow"/>
        </w:rPr>
      </w:pPr>
      <w:r>
        <w:rPr>
          <w:highlight w:val="yellow"/>
        </w:rPr>
      </w:r>
    </w:p>
    <w:p>
      <w:pPr>
        <w:pStyle w:val="Normal"/>
        <w:rPr/>
      </w:pPr>
      <w:r>
        <w:rPr/>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pPr>
        <w:pStyle w:val="Normal"/>
        <w:rPr>
          <w:highlight w:val="yellow"/>
        </w:rPr>
      </w:pPr>
      <w:r>
        <w:rPr>
          <w:highlight w:val="yellow"/>
        </w:rPr>
      </w:r>
    </w:p>
    <w:p>
      <w:pPr>
        <w:pStyle w:val="Normal"/>
        <w:rPr/>
      </w:pPr>
      <w:r>
        <w:rPr/>
        <w:t xml:space="preserve">This report will focus on housing need within the census subdivisions (CSD) that fall within the service region of </w:t>
      </w:r>
      <w:r>
        <w:rPr>
          <w:highlight w:val="yellow"/>
        </w:rPr>
        <w:t>[List relevant community census divisions and subdivisions</w:t>
      </w:r>
      <w:r>
        <w:rPr/>
        <w:t>].</w:t>
      </w:r>
    </w:p>
    <w:p>
      <w:pPr>
        <w:pStyle w:val="Normal"/>
        <w:rPr>
          <w:highlight w:val="yellow"/>
        </w:rPr>
      </w:pPr>
      <w:r>
        <w:rPr>
          <w:highlight w:val="yellow"/>
        </w:rPr>
      </w:r>
    </w:p>
    <w:p>
      <w:pPr>
        <w:pStyle w:val="Normal"/>
        <w:rPr/>
      </w:pPr>
      <w:r>
        <w:rPr/>
        <w:t>Before examining housing need, this report will look at the historical demographic trends in the broader region as encapsulated by [</w:t>
      </w:r>
      <w:r>
        <w:rPr>
          <w:highlight w:val="yellow"/>
        </w:rPr>
        <w:t>Community census division</w:t>
      </w:r>
      <w:r>
        <w:rPr/>
        <w:t>].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br/>
      </w:r>
    </w:p>
    <w:p>
      <w:pPr>
        <w:pStyle w:val="Normal"/>
        <w:rPr/>
      </w:pPr>
      <w:r>
        <w:rPr/>
      </w:r>
      <w:r>
        <w:br w:type="page"/>
      </w:r>
    </w:p>
    <w:tbl>
      <w:tblPr>
        <w:tblStyle w:val="TableGrid"/>
        <w:tblW w:w="639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510"/>
        <w:gridCol w:w="1439"/>
        <w:gridCol w:w="1441"/>
      </w:tblGrid>
      <w:tr>
        <w:trPr/>
        <w:tc>
          <w:tcPr>
            <w:tcW w:w="3510" w:type="dxa"/>
            <w:tcBorders/>
            <w:shd w:color="auto" w:fill="E2EFD9" w:themeFill="accent6" w:themeFillTint="33" w:val="clear"/>
          </w:tcPr>
          <w:p>
            <w:pPr>
              <w:pStyle w:val="Normal"/>
              <w:pageBreakBefore/>
              <w:widowControl/>
              <w:spacing w:before="0" w:after="0"/>
              <w:jc w:val="left"/>
              <w:rPr>
                <w:b/>
                <w:b/>
              </w:rPr>
            </w:pPr>
            <w:r>
              <w:rPr>
                <w:rFonts w:cs="Times New Roman"/>
                <w:b/>
                <w:kern w:val="0"/>
                <w:sz w:val="20"/>
                <w:szCs w:val="20"/>
                <w:lang w:val="en-CA" w:eastAsia="zh-CN" w:bidi="ar-SA"/>
              </w:rPr>
              <w:t>Name of Census Geography</w:t>
            </w:r>
          </w:p>
        </w:tc>
        <w:tc>
          <w:tcPr>
            <w:tcW w:w="1439" w:type="dxa"/>
            <w:tcBorders/>
            <w:shd w:color="auto" w:fill="E2EFD9" w:themeFill="accent6" w:themeFillTint="33" w:val="clear"/>
          </w:tcPr>
          <w:p>
            <w:pPr>
              <w:pStyle w:val="Normal"/>
              <w:widowControl/>
              <w:spacing w:before="0" w:after="0"/>
              <w:jc w:val="right"/>
              <w:rPr>
                <w:b/>
                <w:b/>
              </w:rPr>
            </w:pPr>
            <w:r>
              <w:rPr>
                <w:rFonts w:cs="Times New Roman"/>
                <w:b/>
                <w:kern w:val="0"/>
                <w:sz w:val="20"/>
                <w:szCs w:val="20"/>
                <w:lang w:val="en-CA" w:eastAsia="zh-CN" w:bidi="ar-SA"/>
              </w:rPr>
              <w:t>Census Geocode</w:t>
            </w:r>
          </w:p>
        </w:tc>
        <w:tc>
          <w:tcPr>
            <w:tcW w:w="1441" w:type="dxa"/>
            <w:tcBorders/>
            <w:shd w:color="auto" w:fill="E2EFD9" w:themeFill="accent6" w:themeFillTint="33" w:val="clear"/>
          </w:tcPr>
          <w:p>
            <w:pPr>
              <w:pStyle w:val="Normal"/>
              <w:widowControl/>
              <w:spacing w:before="0" w:after="0"/>
              <w:jc w:val="left"/>
              <w:rPr>
                <w:b/>
                <w:b/>
              </w:rPr>
            </w:pPr>
            <w:r>
              <w:rPr>
                <w:rFonts w:cs="Times New Roman"/>
                <w:b/>
                <w:kern w:val="0"/>
                <w:sz w:val="20"/>
                <w:szCs w:val="20"/>
                <w:lang w:val="en-CA" w:eastAsia="zh-CN" w:bidi="ar-SA"/>
              </w:rPr>
              <w:t>Level of Geography</w:t>
            </w:r>
          </w:p>
        </w:tc>
      </w:tr>
      <w:tr>
        <w:trPr/>
        <w:tc>
          <w:tcPr>
            <w:tcW w:w="6390" w:type="dxa"/>
            <w:gridSpan w:val="3"/>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{%tr for row in table2%}</w:t>
            </w:r>
          </w:p>
        </w:tc>
      </w:tr>
      <w:tr>
        <w:trPr/>
        <w:tc>
          <w:tcPr>
            <w:tcW w:w="3510"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w:t>
            </w:r>
            <w:r>
              <w:rPr>
                <w:rFonts w:cs="Times New Roman"/>
                <w:kern w:val="0"/>
                <w:sz w:val="20"/>
                <w:szCs w:val="20"/>
                <w:lang w:val="en-CA" w:eastAsia="zh-CN" w:bidi="ar-SA"/>
              </w:rPr>
              <w:t>{</w:t>
            </w:r>
            <w:r>
              <w:rPr>
                <w:rFonts w:cs="Times New Roman"/>
                <w:kern w:val="0"/>
                <w:sz w:val="20"/>
                <w:szCs w:val="20"/>
                <w:lang w:val="en-CA" w:eastAsia="zh-CN" w:bidi="ar-SA"/>
              </w:rPr>
              <w:t>row.Geography}</w:t>
            </w:r>
            <w:r>
              <w:rPr>
                <w:rFonts w:cs="Times New Roman"/>
                <w:kern w:val="0"/>
                <w:sz w:val="20"/>
                <w:szCs w:val="20"/>
                <w:lang w:val="en-CA" w:eastAsia="zh-CN" w:bidi="ar-SA"/>
              </w:rPr>
              <w:t>}</w:t>
            </w:r>
          </w:p>
        </w:tc>
        <w:tc>
          <w:tcPr>
            <w:tcW w:w="1439" w:type="dxa"/>
            <w:tcBorders/>
          </w:tcPr>
          <w:p>
            <w:pPr>
              <w:pStyle w:val="Normal"/>
              <w:widowControl/>
              <w:spacing w:before="0" w:after="0"/>
              <w:jc w:val="righ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w:t>
            </w:r>
            <w:r>
              <w:rPr>
                <w:rFonts w:cs="Times New Roman"/>
                <w:kern w:val="0"/>
                <w:sz w:val="20"/>
                <w:szCs w:val="20"/>
                <w:lang w:val="en-CA" w:eastAsia="zh-CN" w:bidi="ar-SA"/>
              </w:rPr>
              <w:t>{row.Geo_Code}</w:t>
            </w:r>
            <w:r>
              <w:rPr>
                <w:rFonts w:cs="Times New Roman"/>
                <w:kern w:val="0"/>
                <w:sz w:val="20"/>
                <w:szCs w:val="20"/>
                <w:lang w:val="en-CA" w:eastAsia="zh-CN" w:bidi="ar-SA"/>
              </w:rPr>
              <w:t>}</w:t>
            </w:r>
          </w:p>
        </w:tc>
        <w:tc>
          <w:tcPr>
            <w:tcW w:w="1441" w:type="dxa"/>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w:t>
            </w:r>
            <w:r>
              <w:rPr>
                <w:rFonts w:cs="Times New Roman"/>
                <w:kern w:val="0"/>
                <w:sz w:val="20"/>
                <w:szCs w:val="20"/>
                <w:lang w:val="en-CA" w:eastAsia="zh-CN" w:bidi="ar-SA"/>
              </w:rPr>
              <w:t>{</w:t>
            </w:r>
            <w:r>
              <w:rPr>
                <w:rFonts w:cs="Times New Roman"/>
                <w:kern w:val="0"/>
                <w:sz w:val="20"/>
                <w:szCs w:val="20"/>
                <w:lang w:val="en-CA" w:eastAsia="zh-CN" w:bidi="ar-SA"/>
              </w:rPr>
              <w:t>row.lvl}</w:t>
            </w:r>
            <w:r>
              <w:rPr>
                <w:rFonts w:cs="Times New Roman"/>
                <w:kern w:val="0"/>
                <w:sz w:val="20"/>
                <w:szCs w:val="20"/>
                <w:lang w:val="en-CA" w:eastAsia="zh-CN" w:bidi="ar-SA"/>
              </w:rPr>
              <w:t>}</w:t>
            </w:r>
          </w:p>
        </w:tc>
      </w:tr>
      <w:tr>
        <w:trPr/>
        <w:tc>
          <w:tcPr>
            <w:tcW w:w="6390" w:type="dxa"/>
            <w:gridSpan w:val="3"/>
            <w:tcBorders/>
          </w:tcPr>
          <w:p>
            <w:pPr>
              <w:pStyle w:val="Normal"/>
              <w:widowControl/>
              <w:spacing w:before="0" w:after="0"/>
              <w:jc w:val="left"/>
              <w:rPr>
                <w:rFonts w:ascii="Bahnschrift Light" w:hAnsi="Bahnschrift Light" w:cs="Times New Roman"/>
                <w:kern w:val="0"/>
                <w:sz w:val="20"/>
                <w:szCs w:val="20"/>
                <w:lang w:val="en-CA" w:eastAsia="zh-CN" w:bidi="ar-SA"/>
              </w:rPr>
            </w:pPr>
            <w:r>
              <w:rPr>
                <w:rFonts w:cs="Times New Roman"/>
                <w:kern w:val="0"/>
                <w:sz w:val="20"/>
                <w:szCs w:val="20"/>
                <w:lang w:val="en-CA" w:eastAsia="zh-CN" w:bidi="ar-SA"/>
              </w:rPr>
              <w:t>{%tr endfor%}</w:t>
            </w:r>
          </w:p>
        </w:tc>
      </w:tr>
    </w:tbl>
    <w:p>
      <w:pPr>
        <w:pStyle w:val="Caption1"/>
        <w:jc w:val="center"/>
        <w:rPr/>
      </w:pPr>
      <w:bookmarkStart w:id="8" w:name="_Ref150334055"/>
      <w:r>
        <w:rPr/>
        <w:t xml:space="preserve">Table </w:t>
      </w:r>
      <w:r>
        <w:rPr/>
        <w:fldChar w:fldCharType="begin"/>
      </w:r>
      <w:r>
        <w:rPr/>
        <w:instrText> SEQ Table \* ARABIC </w:instrText>
      </w:r>
      <w:r>
        <w:rPr/>
        <w:fldChar w:fldCharType="separate"/>
      </w:r>
      <w:r>
        <w:rPr/>
        <w:t>2</w:t>
      </w:r>
      <w:r>
        <w:rPr/>
        <w:fldChar w:fldCharType="end"/>
      </w:r>
      <w:bookmarkEnd w:id="8"/>
      <w:r>
        <w:rPr/>
        <w:t>: List of geographic regions reviewed.</w:t>
      </w:r>
    </w:p>
    <w:p>
      <w:pPr>
        <w:pStyle w:val="Normal"/>
        <w:spacing w:lineRule="auto" w:line="259" w:before="0" w:after="160"/>
        <w:rPr/>
      </w:pPr>
      <w:r>
        <w:rPr/>
      </w:r>
    </w:p>
    <w:p>
      <w:pPr>
        <w:pStyle w:val="Normal"/>
        <w:spacing w:lineRule="auto" w:line="259" w:before="0" w:after="160"/>
        <w:rPr>
          <w:i/>
          <w:i/>
          <w:iCs/>
          <w:color w:val="44546A" w:themeColor="text2"/>
          <w:sz w:val="18"/>
          <w:szCs w:val="18"/>
        </w:rPr>
      </w:pPr>
      <w:r>
        <w:rPr/>
        <w:t>[</w:t>
      </w:r>
      <w:r>
        <w:rPr>
          <w:highlight w:val="yellow"/>
        </w:rPr>
        <w:t>maybe add map of relevant regions</w:t>
      </w:r>
      <w:r>
        <w:rPr/>
        <w:t>]</w:t>
      </w:r>
      <w:r>
        <w:br w:type="page"/>
      </w:r>
    </w:p>
    <w:p>
      <w:pPr>
        <w:pStyle w:val="Heading1"/>
        <w:rPr/>
      </w:pPr>
      <w:bookmarkStart w:id="9" w:name="_Toc156309936"/>
      <w:r>
        <w:rPr/>
        <w:t>Part 1: Existing Demographics and Housing</w:t>
      </w:r>
      <w:bookmarkEnd w:id="9"/>
    </w:p>
    <w:p>
      <w:pPr>
        <w:pStyle w:val="Heading2"/>
        <w:shd w:fill="FFFFFF" w:val="clear"/>
        <w:spacing w:before="280" w:after="280"/>
        <w:rPr/>
      </w:pPr>
      <w:bookmarkStart w:id="10" w:name="_Toc156309937"/>
      <w:r>
        <w:rPr/>
        <w:t>Community Demographic Profile</w:t>
      </w:r>
      <w:bookmarkEnd w:id="10"/>
    </w:p>
    <w:tbl>
      <w:tblPr>
        <w:tblStyle w:val="TableGrid"/>
        <w:tblW w:w="692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90"/>
        <w:gridCol w:w="1104"/>
        <w:gridCol w:w="1081"/>
        <w:gridCol w:w="1184"/>
        <w:gridCol w:w="1066"/>
      </w:tblGrid>
      <w:tr>
        <w:trPr>
          <w:trHeight w:val="386" w:hRule="atLeast"/>
        </w:trPr>
        <w:tc>
          <w:tcPr>
            <w:tcW w:w="2490" w:type="dxa"/>
            <w:tcBorders>
              <w:right w:val="single" w:sz="12" w:space="0" w:color="000000"/>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4435" w:type="dxa"/>
            <w:gridSpan w:val="4"/>
            <w:tcBorders>
              <w:top w:val="single" w:sz="12" w:space="0" w:color="000000"/>
              <w:left w:val="single" w:sz="12" w:space="0" w:color="000000"/>
              <w:right w:val="single" w:sz="12" w:space="0" w:color="000000"/>
            </w:tcBorders>
          </w:tcPr>
          <w:p>
            <w:pPr>
              <w:pStyle w:val="Normal"/>
              <w:widowControl/>
              <w:spacing w:before="0" w:after="0"/>
              <w:jc w:val="center"/>
              <w:rPr>
                <w:rFonts w:ascii="Arial" w:hAnsi="Arial" w:eastAsia="Times New Roman" w:cs="Arial"/>
                <w:kern w:val="0"/>
                <w:sz w:val="20"/>
                <w:szCs w:val="20"/>
                <w:lang w:val="en-CA" w:eastAsia="zh-CN" w:bidi="ar-SA"/>
              </w:rPr>
            </w:pPr>
            <w:r>
              <w:rPr>
                <w:rFonts w:eastAsia="Times New Roman" w:cs="Arial" w:ascii="Arial" w:hAnsi="Arial"/>
                <w:kern w:val="0"/>
                <w:sz w:val="20"/>
                <w:szCs w:val="20"/>
                <w:lang w:val="en-CA" w:eastAsia="zh-CN" w:bidi="ar-SA"/>
              </w:rPr>
              <w:t>{{community_name}}</w:t>
            </w:r>
          </w:p>
        </w:tc>
      </w:tr>
      <w:tr>
        <w:trPr/>
        <w:tc>
          <w:tcPr>
            <w:tcW w:w="2490" w:type="dxa"/>
            <w:tcBorders>
              <w:right w:val="single" w:sz="12" w:space="0" w:color="000000"/>
            </w:tcBorders>
            <w:shd w:color="auto" w:fill="F2F2F2" w:themeFill="background1" w:themeFillShade="f2" w:val="clear"/>
          </w:tcPr>
          <w:p>
            <w:pPr>
              <w:pStyle w:val="Normal"/>
              <w:widowControl/>
              <w:spacing w:before="0" w:after="0"/>
              <w:jc w:val="left"/>
              <w:rPr>
                <w:rFonts w:ascii="Arial" w:hAnsi="Arial" w:cs="Arial"/>
                <w:bCs/>
                <w:color w:val="00B0F0"/>
              </w:rPr>
            </w:pPr>
            <w:r>
              <w:rPr>
                <w:rFonts w:cs="Arial" w:ascii="Arial" w:hAnsi="Arial"/>
                <w:kern w:val="0"/>
                <w:sz w:val="20"/>
                <w:szCs w:val="20"/>
                <w:lang w:val="en-CA" w:eastAsia="zh-CN" w:bidi="ar-SA"/>
              </w:rPr>
              <w:t>Census Year</w:t>
            </w:r>
          </w:p>
        </w:tc>
        <w:tc>
          <w:tcPr>
            <w:tcW w:w="1104" w:type="dxa"/>
            <w:tcBorders>
              <w:left w:val="single" w:sz="12" w:space="0" w:color="000000"/>
            </w:tcBorders>
            <w:shd w:color="auto" w:fill="F2F2F2" w:themeFill="background1" w:themeFillShade="f2" w:val="clear"/>
          </w:tcPr>
          <w:p>
            <w:pPr>
              <w:pStyle w:val="Normal"/>
              <w:widowControl/>
              <w:spacing w:before="0" w:after="0"/>
              <w:jc w:val="right"/>
              <w:rPr>
                <w:rFonts w:ascii="Arial" w:hAnsi="Arial" w:cs="Arial"/>
                <w:bCs/>
                <w:color w:val="00B0F0"/>
              </w:rPr>
            </w:pPr>
            <w:r>
              <w:rPr>
                <w:rFonts w:cs="Arial" w:ascii="Arial" w:hAnsi="Arial"/>
                <w:kern w:val="0"/>
                <w:sz w:val="20"/>
                <w:szCs w:val="20"/>
                <w:lang w:val="en-CA" w:eastAsia="zh-CN" w:bidi="ar-SA"/>
              </w:rPr>
              <w:t>2006</w:t>
            </w:r>
          </w:p>
        </w:tc>
        <w:tc>
          <w:tcPr>
            <w:tcW w:w="1081" w:type="dxa"/>
            <w:tcBorders/>
            <w:shd w:color="auto" w:fill="F2F2F2" w:themeFill="background1" w:themeFillShade="f2" w:val="clear"/>
          </w:tcPr>
          <w:p>
            <w:pPr>
              <w:pStyle w:val="Normal"/>
              <w:widowControl/>
              <w:spacing w:before="0" w:after="0"/>
              <w:jc w:val="right"/>
              <w:rPr>
                <w:rFonts w:ascii="Arial" w:hAnsi="Arial" w:cs="Arial"/>
                <w:bCs/>
                <w:color w:val="00B0F0"/>
              </w:rPr>
            </w:pPr>
            <w:r>
              <w:rPr>
                <w:rFonts w:cs="Arial" w:ascii="Arial" w:hAnsi="Arial"/>
                <w:kern w:val="0"/>
                <w:sz w:val="20"/>
                <w:szCs w:val="20"/>
                <w:lang w:val="en-CA" w:eastAsia="zh-CN" w:bidi="ar-SA"/>
              </w:rPr>
              <w:t>2011</w:t>
            </w:r>
          </w:p>
        </w:tc>
        <w:tc>
          <w:tcPr>
            <w:tcW w:w="1184" w:type="dxa"/>
            <w:tcBorders/>
            <w:shd w:color="auto" w:fill="F2F2F2" w:themeFill="background1" w:themeFillShade="f2" w:val="clear"/>
          </w:tcPr>
          <w:p>
            <w:pPr>
              <w:pStyle w:val="Normal"/>
              <w:widowControl/>
              <w:spacing w:before="0" w:after="0"/>
              <w:jc w:val="right"/>
              <w:rPr>
                <w:rFonts w:ascii="Arial" w:hAnsi="Arial" w:cs="Arial"/>
                <w:bCs/>
                <w:color w:val="00B0F0"/>
              </w:rPr>
            </w:pPr>
            <w:r>
              <w:rPr>
                <w:rFonts w:cs="Arial" w:ascii="Arial" w:hAnsi="Arial"/>
                <w:kern w:val="0"/>
                <w:sz w:val="20"/>
                <w:szCs w:val="20"/>
                <w:lang w:val="en-CA" w:eastAsia="zh-CN" w:bidi="ar-SA"/>
              </w:rPr>
              <w:t>2016</w:t>
            </w:r>
          </w:p>
        </w:tc>
        <w:tc>
          <w:tcPr>
            <w:tcW w:w="1066" w:type="dxa"/>
            <w:tcBorders>
              <w:right w:val="single" w:sz="12" w:space="0" w:color="000000"/>
            </w:tcBorders>
            <w:shd w:color="auto" w:fill="F2F2F2" w:themeFill="background1" w:themeFillShade="f2" w:val="clear"/>
          </w:tcPr>
          <w:p>
            <w:pPr>
              <w:pStyle w:val="Normal"/>
              <w:widowControl/>
              <w:spacing w:before="0" w:after="0"/>
              <w:jc w:val="right"/>
              <w:rPr>
                <w:rFonts w:ascii="Arial" w:hAnsi="Arial" w:cs="Arial"/>
                <w:bCs/>
                <w:color w:val="00B0F0"/>
              </w:rPr>
            </w:pPr>
            <w:r>
              <w:rPr>
                <w:rFonts w:cs="Arial" w:ascii="Arial" w:hAnsi="Arial"/>
                <w:kern w:val="0"/>
                <w:sz w:val="20"/>
                <w:szCs w:val="20"/>
                <w:lang w:val="en-CA" w:eastAsia="zh-CN" w:bidi="ar-SA"/>
              </w:rPr>
              <w:t>2021</w:t>
            </w:r>
          </w:p>
        </w:tc>
      </w:tr>
      <w:tr>
        <w:trPr/>
        <w:tc>
          <w:tcPr>
            <w:tcW w:w="6925" w:type="dxa"/>
            <w:gridSpan w:val="5"/>
            <w:tcBorders>
              <w:right w:val="single" w:sz="12" w:space="0" w:color="000000"/>
            </w:tcBorders>
            <w:shd w:color="auto" w:fill="F2F2F2" w:themeFill="background1" w:themeFillShade="f2" w:val="clear"/>
          </w:tcPr>
          <w:p>
            <w:pPr>
              <w:pStyle w:val="Normal"/>
              <w:widowControl/>
              <w:spacing w:before="0" w:after="0"/>
              <w:jc w:val="left"/>
              <w:rPr>
                <w:rFonts w:ascii="Arial" w:hAnsi="Arial" w:cs="Arial"/>
                <w:color w:val="000000"/>
                <w:kern w:val="0"/>
                <w:sz w:val="20"/>
                <w:szCs w:val="20"/>
                <w:shd w:fill="auto" w:val="clear"/>
                <w:lang w:val="en-CA" w:eastAsia="zh-CN" w:bidi="ar-SA"/>
              </w:rPr>
            </w:pPr>
            <w:r>
              <w:rPr>
                <w:rFonts w:cs="Arial" w:ascii="Arial" w:hAnsi="Arial"/>
                <w:bCs/>
                <w:color w:val="000000"/>
                <w:kern w:val="0"/>
                <w:sz w:val="20"/>
                <w:szCs w:val="20"/>
                <w:shd w:fill="auto" w:val="clear"/>
                <w:lang w:val="en-CA" w:eastAsia="zh-CN" w:bidi="ar-SA"/>
              </w:rPr>
              <w:t>{%tr for row in table</w:t>
            </w:r>
            <w:r>
              <w:rPr>
                <w:rFonts w:cs="Arial" w:ascii="Arial" w:hAnsi="Arial"/>
                <w:bCs/>
                <w:color w:val="000000"/>
                <w:kern w:val="0"/>
                <w:sz w:val="20"/>
                <w:szCs w:val="20"/>
                <w:shd w:fill="auto" w:val="clear"/>
                <w:lang w:val="en-CA" w:eastAsia="zh-CN" w:bidi="ar-SA"/>
              </w:rPr>
              <w:t>3</w:t>
            </w:r>
            <w:r>
              <w:rPr>
                <w:rFonts w:cs="Arial" w:ascii="Arial" w:hAnsi="Arial"/>
                <w:bCs/>
                <w:color w:val="000000"/>
                <w:kern w:val="0"/>
                <w:sz w:val="20"/>
                <w:szCs w:val="20"/>
                <w:shd w:fill="auto" w:val="clear"/>
                <w:lang w:val="en-CA" w:eastAsia="zh-CN" w:bidi="ar-SA"/>
              </w:rPr>
              <w:t>%}</w:t>
            </w:r>
          </w:p>
        </w:tc>
      </w:tr>
      <w:tr>
        <w:trPr/>
        <w:tc>
          <w:tcPr>
            <w:tcW w:w="2490" w:type="dxa"/>
            <w:tcBorders>
              <w:right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{{row.label}}</w:t>
            </w:r>
          </w:p>
        </w:tc>
        <w:tc>
          <w:tcPr>
            <w:tcW w:w="1104" w:type="dxa"/>
            <w:tcBorders>
              <w:left w:val="single" w:sz="12" w:space="0" w:color="000000"/>
            </w:tcBorders>
          </w:tcPr>
          <w:p>
            <w:pPr>
              <w:pStyle w:val="Normal"/>
              <w:widowControl/>
              <w:spacing w:before="0" w:after="0"/>
              <w:jc w:val="right"/>
              <w:rPr>
                <w:rFonts w:ascii="Arial" w:hAnsi="Arial" w:cs="Arial"/>
                <w:kern w:val="0"/>
                <w:sz w:val="20"/>
                <w:szCs w:val="20"/>
                <w:shd w:fill="auto" w:val="clear"/>
                <w:lang w:val="en-CA" w:eastAsia="zh-CN" w:bidi="ar-SA"/>
              </w:rPr>
            </w:pPr>
            <w:r>
              <w:rPr>
                <w:rFonts w:cs="Arial" w:ascii="Arial" w:hAnsi="Arial"/>
                <w:kern w:val="0"/>
                <w:sz w:val="20"/>
                <w:szCs w:val="20"/>
                <w:shd w:fill="auto" w:val="clear"/>
                <w:lang w:val="en-CA" w:eastAsia="zh-CN" w:bidi="ar-SA"/>
              </w:rPr>
              <w:t>{{row.2006}}</w:t>
            </w:r>
          </w:p>
        </w:tc>
        <w:tc>
          <w:tcPr>
            <w:tcW w:w="1081" w:type="dxa"/>
            <w:tcBorders/>
          </w:tcPr>
          <w:p>
            <w:pPr>
              <w:pStyle w:val="Normal"/>
              <w:widowControl/>
              <w:spacing w:before="0" w:after="0"/>
              <w:jc w:val="right"/>
              <w:rPr>
                <w:rFonts w:ascii="Arial" w:hAnsi="Arial" w:cs="Arial"/>
                <w:color w:val="000000"/>
                <w:highlight w:val="yellow"/>
              </w:rPr>
            </w:pPr>
            <w:r>
              <w:rPr>
                <w:rFonts w:cs="Arial" w:ascii="Arial" w:hAnsi="Arial"/>
                <w:color w:val="000000"/>
                <w:kern w:val="0"/>
                <w:sz w:val="20"/>
                <w:szCs w:val="20"/>
                <w:shd w:fill="auto" w:val="clear"/>
                <w:lang w:val="en-CA" w:eastAsia="zh-CN" w:bidi="ar-SA"/>
              </w:rPr>
              <w:t>{{row.2011}}</w:t>
            </w:r>
          </w:p>
        </w:tc>
        <w:tc>
          <w:tcPr>
            <w:tcW w:w="1184" w:type="dxa"/>
            <w:tcBorders/>
          </w:tcPr>
          <w:p>
            <w:pPr>
              <w:pStyle w:val="Normal"/>
              <w:widowControl/>
              <w:spacing w:before="0" w:after="0"/>
              <w:jc w:val="right"/>
              <w:rPr>
                <w:rFonts w:ascii="Arial" w:hAnsi="Arial" w:cs="Arial"/>
                <w:color w:val="000000"/>
                <w:highlight w:val="yellow"/>
              </w:rPr>
            </w:pPr>
            <w:r>
              <w:rPr>
                <w:rFonts w:cs="Arial" w:ascii="Arial" w:hAnsi="Arial"/>
                <w:color w:val="000000"/>
                <w:kern w:val="0"/>
                <w:sz w:val="20"/>
                <w:szCs w:val="20"/>
                <w:shd w:fill="auto" w:val="clear"/>
                <w:lang w:val="en-CA" w:eastAsia="zh-CN" w:bidi="ar-SA"/>
              </w:rPr>
              <w:t>{{row.2016}}</w:t>
            </w:r>
          </w:p>
        </w:tc>
        <w:tc>
          <w:tcPr>
            <w:tcW w:w="1066" w:type="dxa"/>
            <w:tcBorders>
              <w:right w:val="single" w:sz="12" w:space="0" w:color="000000"/>
            </w:tcBorders>
          </w:tcPr>
          <w:p>
            <w:pPr>
              <w:pStyle w:val="Normal"/>
              <w:widowControl/>
              <w:spacing w:before="0" w:after="0"/>
              <w:jc w:val="right"/>
              <w:rPr>
                <w:rFonts w:ascii="Arial" w:hAnsi="Arial" w:cs="Arial"/>
                <w:color w:val="000000"/>
                <w:highlight w:val="yellow"/>
              </w:rPr>
            </w:pPr>
            <w:r>
              <w:rPr>
                <w:rFonts w:cs="Arial" w:ascii="Arial" w:hAnsi="Arial"/>
                <w:color w:val="000000"/>
                <w:kern w:val="0"/>
                <w:sz w:val="20"/>
                <w:szCs w:val="20"/>
                <w:shd w:fill="auto" w:val="clear"/>
                <w:lang w:val="en-CA" w:eastAsia="zh-CN" w:bidi="ar-SA"/>
              </w:rPr>
              <w:t>{{row.20</w:t>
            </w:r>
            <w:r>
              <w:rPr>
                <w:rFonts w:eastAsia="Times New Roman" w:cs="Arial" w:ascii="Arial" w:hAnsi="Arial"/>
                <w:color w:val="000000"/>
                <w:kern w:val="0"/>
                <w:sz w:val="20"/>
                <w:szCs w:val="20"/>
                <w:shd w:fill="auto" w:val="clear"/>
                <w:lang w:val="en-CA" w:eastAsia="zh-CN" w:bidi="ar-SA"/>
              </w:rPr>
              <w:t>21</w:t>
            </w:r>
            <w:r>
              <w:rPr>
                <w:rFonts w:cs="Arial" w:ascii="Arial" w:hAnsi="Arial"/>
                <w:color w:val="000000"/>
                <w:kern w:val="0"/>
                <w:sz w:val="20"/>
                <w:szCs w:val="20"/>
                <w:shd w:fill="auto" w:val="clear"/>
                <w:lang w:val="en-CA" w:eastAsia="zh-CN" w:bidi="ar-SA"/>
              </w:rPr>
              <w:t>}}</w:t>
            </w:r>
          </w:p>
        </w:tc>
      </w:tr>
      <w:tr>
        <w:trPr/>
        <w:tc>
          <w:tcPr>
            <w:tcW w:w="6925" w:type="dxa"/>
            <w:gridSpan w:val="5"/>
            <w:tcBorders>
              <w:bottom w:val="single" w:sz="12" w:space="0" w:color="000000"/>
              <w:right w:val="single" w:sz="12" w:space="0" w:color="000000"/>
            </w:tcBorders>
            <w:shd w:color="auto" w:fill="F2F2F2" w:themeFill="background1" w:themeFillShade="f2" w:val="clear"/>
          </w:tcPr>
          <w:p>
            <w:pPr>
              <w:pStyle w:val="Normal"/>
              <w:widowControl/>
              <w:spacing w:before="0" w:after="0"/>
              <w:jc w:val="left"/>
              <w:rPr>
                <w:rFonts w:ascii="Arial" w:hAnsi="Arial" w:cs="Arial"/>
                <w:color w:val="000000"/>
                <w:kern w:val="0"/>
                <w:sz w:val="20"/>
                <w:szCs w:val="20"/>
                <w:lang w:val="en-CA" w:eastAsia="zh-CN" w:bidi="ar-SA"/>
              </w:rPr>
            </w:pPr>
            <w:r>
              <w:rPr>
                <w:rFonts w:cs="Arial" w:ascii="Arial" w:hAnsi="Arial"/>
                <w:bCs/>
                <w:color w:val="000000"/>
                <w:kern w:val="0"/>
                <w:sz w:val="20"/>
                <w:szCs w:val="20"/>
                <w:lang w:val="en-CA" w:eastAsia="zh-CN" w:bidi="ar-SA"/>
              </w:rPr>
              <w:t>{%tr endfor%}</w:t>
            </w:r>
          </w:p>
        </w:tc>
      </w:tr>
    </w:tbl>
    <w:p>
      <w:pPr>
        <w:pStyle w:val="Caption1"/>
        <w:jc w:val="center"/>
        <w:rPr>
          <w:rFonts w:ascii="Bahnschrift" w:hAnsi="Bahnschrift"/>
          <w:b/>
          <w:b/>
          <w:bCs/>
          <w:color w:val="00B0F0"/>
          <w:sz w:val="28"/>
          <w:szCs w:val="28"/>
        </w:rPr>
      </w:pPr>
      <w:bookmarkStart w:id="11" w:name="_Ref152854086"/>
      <w:r>
        <w:rPr/>
        <w:t xml:space="preserve">Table </w:t>
      </w:r>
      <w:r>
        <w:rPr/>
        <w:fldChar w:fldCharType="begin"/>
      </w:r>
      <w:r>
        <w:rPr/>
        <w:instrText> SEQ Table \* ARABIC </w:instrText>
      </w:r>
      <w:r>
        <w:rPr/>
        <w:fldChar w:fldCharType="separate"/>
      </w:r>
      <w:r>
        <w:rPr/>
        <w:t>3</w:t>
      </w:r>
      <w:r>
        <w:rPr/>
        <w:fldChar w:fldCharType="end"/>
      </w:r>
      <w:r>
        <w:rPr/>
        <w:t>: Demographic profile – [</w:t>
      </w:r>
      <w:r>
        <w:rPr>
          <w:color w:themeColor="text2"/>
          <w:shd w:fill="auto" w:val="clear"/>
        </w:rPr>
        <w:t>{{community_name}}</w:t>
      </w:r>
      <w:r>
        <w:rPr/>
        <w:t>].</w:t>
      </w:r>
      <w:bookmarkEnd w:id="11"/>
    </w:p>
    <w:p>
      <w:pPr>
        <w:pStyle w:val="Normal"/>
        <w:rPr/>
      </w:pPr>
      <w:r>
        <w:rPr/>
      </w:r>
    </w:p>
    <w:p>
      <w:pPr>
        <w:pStyle w:val="Normal"/>
        <w:rPr/>
      </w:pPr>
      <w:r>
        <w:rPr/>
      </w:r>
    </w:p>
    <w:p>
      <w:pPr>
        <w:pStyle w:val="Normal"/>
        <w:rPr/>
      </w:pPr>
      <w:r>
        <w:rPr/>
      </w:r>
    </w:p>
    <w:p>
      <w:pPr>
        <w:pStyle w:val="Normal"/>
        <w:spacing w:lineRule="auto" w:line="259" w:before="0" w:after="160"/>
        <w:rPr/>
      </w:pPr>
      <w:r>
        <w:rPr/>
      </w:r>
      <w:r>
        <w:br w:type="page"/>
      </w:r>
    </w:p>
    <w:p>
      <w:pPr>
        <w:pStyle w:val="Normal"/>
        <w:rPr/>
      </w:pPr>
      <w:r>
        <w:rPr/>
      </w:r>
    </w:p>
    <w:p>
      <w:pPr>
        <w:pStyle w:val="Normal"/>
        <w:keepNext w:val="true"/>
        <w:jc w:val="center"/>
        <w:rPr/>
      </w:pPr>
      <w:r>
        <w:rPr/>
        <w:drawing>
          <wp:inline distT="0" distB="0" distL="0" distR="0">
            <wp:extent cx="6003290" cy="2747645"/>
            <wp:effectExtent l="0" t="0" r="0" b="0"/>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Caption1"/>
        <w:jc w:val="center"/>
        <w:rPr/>
      </w:pPr>
      <w:bookmarkStart w:id="12" w:name="_Ref151642702"/>
      <w:r>
        <w:rPr/>
        <w:t xml:space="preserve">Figure </w:t>
      </w:r>
      <w:r>
        <w:rPr/>
        <w:fldChar w:fldCharType="begin"/>
      </w:r>
      <w:r>
        <w:rPr/>
        <w:instrText> SEQ Figure \* ARABIC </w:instrText>
      </w:r>
      <w:r>
        <w:rPr/>
        <w:fldChar w:fldCharType="separate"/>
      </w:r>
      <w:r>
        <w:rPr/>
        <w:t>2</w:t>
      </w:r>
      <w:r>
        <w:rPr/>
        <w:fldChar w:fldCharType="end"/>
      </w:r>
      <w:bookmarkEnd w:id="12"/>
      <w:r>
        <w:rPr/>
        <w:t>: Population by age from 2006 to 2021 in [</w:t>
      </w:r>
      <w:r>
        <w:rPr>
          <w:highlight w:val="yellow"/>
        </w:rPr>
        <w:t>Community</w:t>
      </w:r>
      <w:r>
        <w:rPr/>
        <w:t>]</w:t>
      </w:r>
    </w:p>
    <w:p>
      <w:pPr>
        <w:pStyle w:val="Normal"/>
        <w:keepNext w:val="true"/>
        <w:jc w:val="center"/>
        <w:rPr/>
      </w:pPr>
      <w:r>
        <w:rPr/>
      </w:r>
    </w:p>
    <w:p>
      <w:pPr>
        <w:pStyle w:val="Normal"/>
        <w:rPr/>
      </w:pPr>
      <w:r>
        <w:rPr/>
        <w:t xml:space="preserve">The headship rate in </w:t>
      </w:r>
      <w:r>
        <w:rPr/>
        <w:fldChar w:fldCharType="begin"/>
      </w:r>
      <w:r>
        <w:rPr/>
        <w:instrText> REF _Ref151124647 \h </w:instrText>
      </w:r>
      <w:r>
        <w:rPr/>
        <w:fldChar w:fldCharType="separate"/>
      </w:r>
      <w:r>
        <w:rPr/>
        <w:t>Table 37</w:t>
      </w:r>
      <w:r>
        <w:rPr/>
        <w:fldChar w:fldCharType="end"/>
      </w:r>
      <w:r>
        <w:rPr/>
        <w:t xml:space="preserve"> and </w:t>
      </w:r>
      <w:r>
        <w:rPr/>
        <w:fldChar w:fldCharType="begin"/>
      </w:r>
      <w:r>
        <w:rPr/>
        <w:instrText> REF _Ref151124661 \h </w:instrText>
      </w:r>
      <w:r>
        <w:rPr/>
        <w:fldChar w:fldCharType="separate"/>
      </w:r>
      <w:r>
        <w:rPr/>
        <w:t>Error: Reference source not found</w:t>
      </w:r>
      <w:r>
        <w:rPr/>
        <w:fldChar w:fldCharType="end"/>
      </w:r>
      <w:r>
        <w:rPr/>
        <w:t xml:space="preserve"> can be an interesting metric for connecting demographic changes with a community’s housing needs as it represents the fraction of individuals who lead a household, named “Primary Household Maintainers” by Statistics Canada. The actual headship rate as a value is not necessarily important since it captures cultural differences in what a household looks like – for example,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pPr>
        <w:pStyle w:val="Normal"/>
        <w:rPr>
          <w:highlight w:val="yellow"/>
        </w:rPr>
      </w:pPr>
      <w:r>
        <w:rPr>
          <w:highlight w:val="yellow"/>
        </w:rPr>
      </w:r>
    </w:p>
    <w:p>
      <w:pPr>
        <w:pStyle w:val="Normal"/>
        <w:rPr>
          <w:highlight w:val="yellow"/>
        </w:rPr>
      </w:pPr>
      <w:r>
        <w:rPr>
          <w:highlight w:val="yellow"/>
        </w:rPr>
      </w:r>
    </w:p>
    <w:p>
      <w:pPr>
        <w:pStyle w:val="Normal"/>
        <w:rPr/>
      </w:pPr>
      <w:r>
        <w:rPr/>
        <w:drawing>
          <wp:inline distT="0" distB="0" distL="0" distR="0">
            <wp:extent cx="5943600" cy="3546475"/>
            <wp:effectExtent l="0" t="0" r="0" b="0"/>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Caption1"/>
        <w:jc w:val="center"/>
        <w:rPr/>
      </w:pPr>
      <w:bookmarkStart w:id="13" w:name="_Ref149728656"/>
      <w:r>
        <w:rPr/>
        <w:t xml:space="preserve">Figure </w:t>
      </w:r>
      <w:r>
        <w:rPr/>
        <w:fldChar w:fldCharType="begin"/>
      </w:r>
      <w:r>
        <w:rPr/>
        <w:instrText> SEQ Figure \* ARABIC </w:instrText>
      </w:r>
      <w:r>
        <w:rPr/>
        <w:fldChar w:fldCharType="separate"/>
      </w:r>
      <w:r>
        <w:rPr/>
        <w:t>3</w:t>
      </w:r>
      <w:r>
        <w:rPr/>
        <w:fldChar w:fldCharType="end"/>
      </w:r>
      <w:bookmarkEnd w:id="13"/>
      <w:r>
        <w:rPr/>
        <w:t>: Headship rate by age groups - 2006 vs. 2021.</w:t>
      </w:r>
    </w:p>
    <w:p>
      <w:pPr>
        <w:pStyle w:val="Normal"/>
        <w:spacing w:lineRule="auto" w:line="259" w:before="0" w:after="160"/>
        <w:rPr/>
      </w:pPr>
      <w:r>
        <w:rPr/>
      </w:r>
      <w:r>
        <w:br w:type="page"/>
      </w:r>
    </w:p>
    <w:p>
      <w:pPr>
        <w:pStyle w:val="Heading2"/>
        <w:shd w:fill="FFFFFF" w:val="clear"/>
        <w:spacing w:before="280" w:after="280"/>
        <w:rPr/>
      </w:pPr>
      <w:bookmarkStart w:id="14" w:name="_Toc156309938"/>
      <w:r>
        <w:rPr/>
        <w:t>Profile of Existing Housing Stock – Lennox and Addington</w:t>
      </w:r>
      <w:bookmarkEnd w:id="14"/>
    </w:p>
    <w:p>
      <w:pPr>
        <w:pStyle w:val="Normal"/>
        <w:rPr/>
      </w:pPr>
      <w:r>
        <w:rPr/>
        <w:drawing>
          <wp:inline distT="0" distB="0" distL="0" distR="0">
            <wp:extent cx="5943600" cy="3592830"/>
            <wp:effectExtent l="0" t="0" r="0" b="0"/>
            <wp:docPr id="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t xml:space="preserve"> </w:t>
      </w:r>
    </w:p>
    <w:p>
      <w:pPr>
        <w:pStyle w:val="Caption1"/>
        <w:jc w:val="center"/>
        <w:rPr>
          <w:lang w:val="en-US"/>
        </w:rPr>
      </w:pPr>
      <w:bookmarkStart w:id="15" w:name="_Ref149745687"/>
      <w:r>
        <w:rPr/>
        <w:t xml:space="preserve">Figure </w:t>
      </w:r>
      <w:r>
        <w:rPr/>
        <w:fldChar w:fldCharType="begin"/>
      </w:r>
      <w:r>
        <w:rPr/>
        <w:instrText> SEQ Figure \* ARABIC </w:instrText>
      </w:r>
      <w:r>
        <w:rPr/>
        <w:fldChar w:fldCharType="separate"/>
      </w:r>
      <w:r>
        <w:rPr/>
        <w:t>4</w:t>
      </w:r>
      <w:r>
        <w:rPr/>
        <w:fldChar w:fldCharType="end"/>
      </w:r>
      <w:bookmarkEnd w:id="15"/>
      <w:r>
        <w:rPr/>
        <w:t xml:space="preserve">: </w:t>
      </w:r>
      <w:r>
        <w:rPr>
          <w:lang w:val="en-US"/>
        </w:rPr>
        <w:t>2021 Housing stock by Period of Construction – [</w:t>
      </w:r>
      <w:r>
        <w:rPr>
          <w:highlight w:val="yellow"/>
          <w:lang w:val="en-US"/>
        </w:rPr>
        <w:t>Community</w:t>
      </w:r>
      <w:r>
        <w:rPr>
          <w:lang w:val="en-US"/>
        </w:rPr>
        <w:t>].</w:t>
      </w:r>
    </w:p>
    <w:p>
      <w:pPr>
        <w:pStyle w:val="Normal"/>
        <w:rPr>
          <w:i/>
          <w:i/>
        </w:rPr>
      </w:pPr>
      <w:r>
        <w:rPr>
          <w:i/>
        </w:rPr>
        <w:t xml:space="preserve">When looking at the stock of existing housing reported in the census, and visualized in </w:t>
      </w:r>
      <w:r>
        <w:rPr>
          <w:i/>
        </w:rPr>
        <w:fldChar w:fldCharType="begin"/>
      </w:r>
      <w:r>
        <w:rPr>
          <w:i/>
        </w:rPr>
        <w:instrText> REF _Ref149745687 \h </w:instrText>
      </w:r>
      <w:r>
        <w:rPr>
          <w:i/>
        </w:rPr>
        <w:fldChar w:fldCharType="separate"/>
      </w:r>
      <w:r>
        <w:rPr>
          <w:i/>
        </w:rPr>
        <w:t>Figure 4</w:t>
      </w:r>
      <w:r>
        <w:rPr>
          <w:i/>
        </w:rPr>
        <w:fldChar w:fldCharType="end"/>
      </w:r>
      <w:r>
        <w:rPr>
          <w:i/>
        </w:rPr>
        <w:t xml:space="preserve"> </w:t>
      </w:r>
      <w:r>
        <w:rPr>
          <w:i/>
        </w:rPr>
        <w:fldChar w:fldCharType="begin"/>
      </w:r>
      <w:r>
        <w:rPr>
          <w:i/>
        </w:rPr>
        <w:instrText> REF _Ref149745687 \p \h </w:instrText>
      </w:r>
      <w:r>
        <w:rPr>
          <w:i/>
        </w:rPr>
        <w:fldChar w:fldCharType="separate"/>
      </w:r>
      <w:r>
        <w:rPr>
          <w:i/>
        </w:rPr>
        <w:t>above</w:t>
      </w:r>
      <w:r>
        <w:rPr>
          <w:i/>
        </w:rPr>
        <w:fldChar w:fldCharType="end"/>
      </w:r>
      <w:r>
        <w:rPr>
          <w:i/>
        </w:rPr>
        <w:t xml:space="preserve">, please note the uneven time intervals along the horizontal axis can be misleading.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fldChar w:fldCharType="begin"/>
      </w:r>
      <w:r>
        <w:rPr/>
        <w:instrText> REF _Ref149834696 \h </w:instrText>
      </w:r>
      <w:r>
        <w:rPr/>
        <w:fldChar w:fldCharType="separate"/>
      </w:r>
      <w:r>
        <w:rPr/>
        <w:t>Figure 6</w:t>
      </w:r>
      <w:r>
        <w:rPr/>
        <w:fldChar w:fldCharType="end"/>
      </w:r>
      <w:r>
        <w:rPr/>
        <w:t xml:space="preserve"> </w:t>
      </w:r>
      <w:r>
        <w:rPr/>
        <w:t>looks at the number of bedrooms by dwelling type.</w:t>
      </w:r>
    </w:p>
    <w:p>
      <w:pPr>
        <w:pStyle w:val="Normal"/>
        <w:rPr/>
      </w:pPr>
      <w:r>
        <w:rPr/>
      </w:r>
    </w:p>
    <w:p>
      <w:pPr>
        <w:pStyle w:val="Normal"/>
        <w:rPr/>
      </w:pPr>
      <w:r>
        <w:rPr/>
      </w:r>
    </w:p>
    <w:p>
      <w:pPr>
        <w:pStyle w:val="Normal"/>
        <w:rPr/>
      </w:pPr>
      <w:r>
        <w:rPr/>
        <w:drawing>
          <wp:inline distT="0" distB="0" distL="0" distR="0">
            <wp:extent cx="5943600" cy="3591560"/>
            <wp:effectExtent l="0" t="0" r="0" b="0"/>
            <wp:docPr id="6"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t xml:space="preserve"> </w:t>
      </w:r>
    </w:p>
    <w:p>
      <w:pPr>
        <w:pStyle w:val="Caption1"/>
        <w:jc w:val="center"/>
        <w:rPr/>
      </w:pPr>
      <w:bookmarkStart w:id="16" w:name="_Ref149827097"/>
      <w:r>
        <w:rPr/>
        <w:t xml:space="preserve">Figure </w:t>
      </w:r>
      <w:r>
        <w:rPr/>
        <w:fldChar w:fldCharType="begin"/>
      </w:r>
      <w:r>
        <w:rPr/>
        <w:instrText> SEQ Figure \* ARABIC </w:instrText>
      </w:r>
      <w:r>
        <w:rPr/>
        <w:fldChar w:fldCharType="separate"/>
      </w:r>
      <w:r>
        <w:rPr/>
        <w:t>5</w:t>
      </w:r>
      <w:r>
        <w:rPr/>
        <w:fldChar w:fldCharType="end"/>
      </w:r>
      <w:bookmarkEnd w:id="16"/>
      <w:r>
        <w:rPr/>
        <w:t>: 2021 Housing stock by Dwelling Type, Period of Construction – [</w:t>
      </w:r>
      <w:r>
        <w:rPr>
          <w:highlight w:val="yellow"/>
        </w:rPr>
        <w:t>Community</w:t>
      </w:r>
      <w:r>
        <w:rPr/>
        <w:t>].</w:t>
      </w:r>
    </w:p>
    <w:p>
      <w:pPr>
        <w:pStyle w:val="Normal"/>
        <w:rPr/>
      </w:pPr>
      <w:r>
        <w:rPr/>
      </w:r>
      <w:bookmarkStart w:id="17" w:name="_GoBack"/>
      <w:bookmarkStart w:id="18" w:name="_GoBack"/>
      <w:bookmarkEnd w:id="18"/>
    </w:p>
    <w:p>
      <w:pPr>
        <w:pStyle w:val="Normal"/>
        <w:rPr/>
      </w:pPr>
      <w:r>
        <w:rPr/>
        <w:drawing>
          <wp:inline distT="0" distB="0" distL="0" distR="0">
            <wp:extent cx="5943600" cy="3589020"/>
            <wp:effectExtent l="0" t="0" r="0" b="0"/>
            <wp:docPr id="7"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t xml:space="preserve"> </w:t>
      </w:r>
    </w:p>
    <w:p>
      <w:pPr>
        <w:pStyle w:val="Caption1"/>
        <w:jc w:val="center"/>
        <w:rPr/>
      </w:pPr>
      <w:bookmarkStart w:id="19" w:name="_Ref150341431"/>
      <w:bookmarkStart w:id="20" w:name="_Ref149834696"/>
      <w:r>
        <w:rPr/>
        <w:t xml:space="preserve">Figure </w:t>
      </w:r>
      <w:r>
        <w:rPr/>
        <w:fldChar w:fldCharType="begin"/>
      </w:r>
      <w:r>
        <w:rPr/>
        <w:instrText> SEQ Figure \* ARABIC </w:instrText>
      </w:r>
      <w:r>
        <w:rPr/>
        <w:fldChar w:fldCharType="separate"/>
      </w:r>
      <w:r>
        <w:rPr/>
        <w:t>6</w:t>
      </w:r>
      <w:r>
        <w:rPr/>
        <w:fldChar w:fldCharType="end"/>
      </w:r>
      <w:bookmarkEnd w:id="19"/>
      <w:bookmarkEnd w:id="20"/>
      <w:r>
        <w:rPr/>
        <w:t>: 2021 Housing stock by Number of Bedrooms, Dwelling Type – [</w:t>
      </w:r>
      <w:r>
        <w:rPr>
          <w:highlight w:val="yellow"/>
        </w:rPr>
        <w:t>Community</w:t>
      </w:r>
      <w:r>
        <w:rPr/>
        <w:t>].</w:t>
      </w:r>
    </w:p>
    <w:p>
      <w:pPr>
        <w:pStyle w:val="Normal"/>
        <w:spacing w:lineRule="auto" w:line="259" w:before="0" w:after="160"/>
        <w:rPr>
          <w:rFonts w:ascii="Bahnschrift" w:hAnsi="Bahnschrift"/>
          <w:b/>
          <w:b/>
          <w:bCs/>
        </w:rPr>
      </w:pPr>
      <w:r>
        <w:rPr>
          <w:rFonts w:ascii="Bahnschrift" w:hAnsi="Bahnschrift"/>
          <w:b/>
          <w:bCs/>
        </w:rPr>
      </w:r>
      <w:r>
        <w:br w:type="page"/>
      </w:r>
    </w:p>
    <w:p>
      <w:pPr>
        <w:pStyle w:val="Heading2"/>
        <w:shd w:fill="FFFFFF" w:val="clear"/>
        <w:spacing w:before="280" w:after="280"/>
        <w:rPr/>
      </w:pPr>
      <w:bookmarkStart w:id="21" w:name="_Toc156309939"/>
      <w:r>
        <w:rPr/>
        <w:t>Profile of Households</w:t>
      </w:r>
      <w:bookmarkEnd w:id="21"/>
    </w:p>
    <w:p>
      <w:pPr>
        <w:pStyle w:val="Normal"/>
        <w:rPr/>
      </w:pPr>
      <w:r>
        <w:rPr/>
        <w:t>Before further analysis of Core Housing Need, it will help to examine some characteristics of all households in the community. This section will consider how households are grouped by income, by household size (i.e. how many individuals per household), by owners and renter, and lastly by certain vulnerable populations that CMHC has identified as having the greatest need of suitable, adequate, and affordable housing.</w:t>
      </w:r>
    </w:p>
    <w:p>
      <w:pPr>
        <w:pStyle w:val="Heading2"/>
        <w:shd w:fill="FFFFFF" w:val="clear"/>
        <w:spacing w:before="280" w:after="280"/>
        <w:rPr/>
      </w:pPr>
      <w:bookmarkStart w:id="22" w:name="_Toc156309940"/>
      <w:r>
        <w:rPr/>
        <w:t>Households by Income</w:t>
      </w:r>
      <w:bookmarkEnd w:id="22"/>
    </w:p>
    <w:p>
      <w:pPr>
        <w:pStyle w:val="Normal"/>
        <w:rPr/>
      </w:pPr>
      <w:r>
        <w:rPr/>
        <w:t>HART classifies households into five variable categories in relation to Area Median Household Income (AMHI).</w:t>
      </w:r>
      <w:r>
        <w:rPr>
          <w:rStyle w:val="FootnoteAnchor"/>
          <w:vertAlign w:val="superscript"/>
        </w:rPr>
        <w:footnoteReference w:id="5"/>
      </w:r>
      <w:r>
        <w:rPr/>
        <w:t xml:space="preserve"> Median household income changes from year to year and varies at different geographic levels. Therefore, a given household may be in a different income group depending on the median household income of that geography, or if their income changes more or less than the median. </w:t>
      </w:r>
    </w:p>
    <w:p>
      <w:pPr>
        <w:pStyle w:val="Normal"/>
        <w:rPr/>
      </w:pPr>
      <w:r>
        <w:rPr/>
      </w:r>
    </w:p>
    <w:tbl>
      <w:tblPr>
        <w:tblStyle w:val="TableGrid"/>
        <w:tblW w:w="936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249"/>
        <w:gridCol w:w="1544"/>
        <w:gridCol w:w="1149"/>
        <w:gridCol w:w="1233"/>
        <w:gridCol w:w="1149"/>
        <w:gridCol w:w="1560"/>
        <w:gridCol w:w="1475"/>
      </w:tblGrid>
      <w:tr>
        <w:trPr/>
        <w:tc>
          <w:tcPr>
            <w:tcW w:w="9359" w:type="dxa"/>
            <w:gridSpan w:val="7"/>
            <w:tcBorders>
              <w:top w:val="nil"/>
              <w:left w:val="nil"/>
              <w:bottom w:val="nil"/>
              <w:right w:val="nil"/>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Households by Income – [</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249" w:type="dxa"/>
            <w:tcBorders>
              <w:top w:val="nil"/>
              <w:lef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544" w:type="dxa"/>
            <w:tcBorders/>
            <w:vAlign w:val="center"/>
          </w:tcPr>
          <w:p>
            <w:pPr>
              <w:pStyle w:val="Normal"/>
              <w:widowControl/>
              <w:spacing w:before="0" w:after="0"/>
              <w:jc w:val="left"/>
              <w:rPr>
                <w:rFonts w:ascii="Arial" w:hAnsi="Arial" w:cs="Arial"/>
              </w:rPr>
            </w:pPr>
            <w:r>
              <w:rPr>
                <w:rFonts w:cs="Arial" w:ascii="Arial" w:hAnsi="Arial"/>
                <w:kern w:val="0"/>
                <w:sz w:val="20"/>
                <w:szCs w:val="20"/>
                <w:lang w:val="en-CA" w:eastAsia="zh-CN" w:bidi="ar-SA"/>
              </w:rPr>
              <w:t>Census Year</w:t>
            </w:r>
          </w:p>
        </w:tc>
        <w:tc>
          <w:tcPr>
            <w:tcW w:w="1149" w:type="dxa"/>
            <w:tcBorders/>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2006</w:t>
            </w:r>
          </w:p>
        </w:tc>
        <w:tc>
          <w:tcPr>
            <w:tcW w:w="1233" w:type="dxa"/>
            <w:tcBorders/>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2016</w:t>
            </w:r>
          </w:p>
        </w:tc>
        <w:tc>
          <w:tcPr>
            <w:tcW w:w="1149" w:type="dxa"/>
            <w:tcBorders/>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2021</w:t>
            </w:r>
          </w:p>
        </w:tc>
        <w:tc>
          <w:tcPr>
            <w:tcW w:w="1560" w:type="dxa"/>
            <w:tcBorders/>
            <w:shd w:color="auto" w:fill="E2EFD9" w:themeFill="accent6" w:themeFillTint="33" w:val="clear"/>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 xml:space="preserve">2006 to 2016 </w:t>
              <w:br/>
              <w:t>% Change</w:t>
            </w:r>
          </w:p>
        </w:tc>
        <w:tc>
          <w:tcPr>
            <w:tcW w:w="147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xml:space="preserve">2016 to 2021 </w:t>
              <w:br/>
              <w:t>% Change</w:t>
            </w:r>
          </w:p>
        </w:tc>
      </w:tr>
      <w:tr>
        <w:trPr/>
        <w:tc>
          <w:tcPr>
            <w:tcW w:w="1249" w:type="dxa"/>
            <w:tcBorders/>
            <w:shd w:color="auto" w:fill="F2F2F2" w:themeFill="background1" w:themeFillShade="f2" w:val="clea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Income Categories</w:t>
            </w:r>
          </w:p>
        </w:tc>
        <w:tc>
          <w:tcPr>
            <w:tcW w:w="1544" w:type="dxa"/>
            <w:tcBorders/>
            <w:shd w:color="auto" w:fill="D9D9D9" w:themeFill="background1" w:themeFillShade="d9" w:val="clear"/>
            <w:vAlign w:val="cente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1149" w:type="dxa"/>
            <w:tcBorders/>
            <w:shd w:color="auto" w:fill="D9D9D9" w:themeFill="background1" w:themeFillShade="d9"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t xml:space="preserve"> (2005$)</w:t>
            </w:r>
          </w:p>
        </w:tc>
        <w:tc>
          <w:tcPr>
            <w:tcW w:w="1233" w:type="dxa"/>
            <w:tcBorders/>
            <w:shd w:color="auto" w:fill="D9D9D9" w:themeFill="background1" w:themeFillShade="d9"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t xml:space="preserve"> (2015$)</w:t>
            </w:r>
          </w:p>
        </w:tc>
        <w:tc>
          <w:tcPr>
            <w:tcW w:w="1149" w:type="dxa"/>
            <w:tcBorders/>
            <w:shd w:color="auto" w:fill="D9D9D9" w:themeFill="background1" w:themeFillShade="d9"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t xml:space="preserve"> (2020$)</w:t>
            </w:r>
          </w:p>
        </w:tc>
        <w:tc>
          <w:tcPr>
            <w:tcW w:w="1560" w:type="dxa"/>
            <w:tcBorders/>
            <w:shd w:color="auto" w:fill="D9D9D9" w:themeFill="background1" w:themeFillShade="d9"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75" w:type="dxa"/>
            <w:tcBorders/>
            <w:shd w:color="auto" w:fill="D9D9D9" w:themeFill="background1" w:themeFillShade="d9" w:val="clear"/>
          </w:tcPr>
          <w:p>
            <w:pPr>
              <w:pStyle w:val="Normal"/>
              <w:widowControl/>
              <w:spacing w:before="0" w:after="0"/>
              <w:jc w:val="left"/>
              <w:rPr>
                <w:rFonts w:ascii="Arial" w:hAnsi="Arial" w:cs="Arial"/>
                <w:highlight w:val="yellow"/>
              </w:rPr>
            </w:pPr>
            <w:r>
              <w:rPr>
                <w:rFonts w:cs="Arial" w:ascii="Arial" w:hAnsi="Arial"/>
                <w:kern w:val="0"/>
                <w:sz w:val="20"/>
                <w:szCs w:val="20"/>
                <w:highlight w:val="yellow"/>
                <w:lang w:val="en-CA" w:eastAsia="zh-CN" w:bidi="ar-SA"/>
              </w:rPr>
            </w:r>
          </w:p>
        </w:tc>
      </w:tr>
      <w:tr>
        <w:trPr/>
        <w:tc>
          <w:tcPr>
            <w:tcW w:w="1249" w:type="dxa"/>
            <w:tcBorders/>
            <w:shd w:color="auto" w:fill="F2F2F2" w:themeFill="background1" w:themeFillShade="f2" w:val="clear"/>
            <w:vAlign w:val="bottom"/>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Very Low</w:t>
            </w:r>
          </w:p>
        </w:tc>
        <w:tc>
          <w:tcPr>
            <w:tcW w:w="1544" w:type="dxa"/>
            <w:tcBorders/>
            <w:vAlign w:val="bottom"/>
          </w:tcPr>
          <w:p>
            <w:pPr>
              <w:pStyle w:val="Normal"/>
              <w:widowControl/>
              <w:spacing w:before="0" w:after="0"/>
              <w:jc w:val="left"/>
              <w:rPr>
                <w:rFonts w:ascii="Arial" w:hAnsi="Arial" w:cs="Arial"/>
              </w:rPr>
            </w:pPr>
            <w:r>
              <w:rPr>
                <w:rFonts w:cs="Arial" w:ascii="Arial" w:hAnsi="Arial"/>
                <w:kern w:val="0"/>
                <w:sz w:val="20"/>
                <w:szCs w:val="20"/>
                <w:lang w:val="en-CA" w:eastAsia="zh-CN" w:bidi="ar-SA"/>
              </w:rPr>
              <w:t>&lt;20% of AMHI</w:t>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t xml:space="preserve"> </w:t>
            </w:r>
          </w:p>
        </w:tc>
        <w:tc>
          <w:tcPr>
            <w:tcW w:w="1233"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60" w:type="dxa"/>
            <w:tcBorders/>
            <w:shd w:color="auto" w:fill="E2EFD9" w:themeFill="accent6" w:themeFillTint="33" w:val="clear"/>
          </w:tcPr>
          <w:p>
            <w:pPr>
              <w:pStyle w:val="Normal"/>
              <w:widowControl/>
              <w:spacing w:before="0" w:after="0"/>
              <w:jc w:val="right"/>
              <w:rPr>
                <w:rFonts w:ascii="Arial" w:hAnsi="Arial" w:cs="Arial"/>
                <w:color w:val="FF0000"/>
                <w:highlight w:val="yellow"/>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c>
          <w:tcPr>
            <w:tcW w:w="1475" w:type="dxa"/>
            <w:tcBorders/>
            <w:shd w:color="auto" w:fill="E2EFD9" w:themeFill="accent6" w:themeFillTint="33" w:val="clear"/>
          </w:tcPr>
          <w:p>
            <w:pPr>
              <w:pStyle w:val="Normal"/>
              <w:widowControl/>
              <w:spacing w:before="0" w:after="0"/>
              <w:jc w:val="right"/>
              <w:rPr>
                <w:rFonts w:ascii="Arial" w:hAnsi="Arial" w:cs="Arial"/>
                <w:color w:val="FF0000"/>
                <w:highlight w:val="yellow"/>
              </w:rPr>
            </w:pPr>
            <w:r>
              <w:rPr>
                <w:rFonts w:cs="Arial" w:ascii="Arial" w:hAnsi="Arial"/>
                <w:color w:val="FF0000"/>
                <w:kern w:val="0"/>
                <w:sz w:val="20"/>
                <w:szCs w:val="20"/>
                <w:highlight w:val="yellow"/>
                <w:lang w:val="en-CA" w:eastAsia="zh-CN" w:bidi="ar-SA"/>
              </w:rPr>
            </w:r>
          </w:p>
        </w:tc>
      </w:tr>
      <w:tr>
        <w:trPr/>
        <w:tc>
          <w:tcPr>
            <w:tcW w:w="1249" w:type="dxa"/>
            <w:tcBorders/>
            <w:shd w:color="auto" w:fill="F2F2F2" w:themeFill="background1" w:themeFillShade="f2" w:val="clear"/>
            <w:vAlign w:val="bottom"/>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Low</w:t>
            </w:r>
          </w:p>
        </w:tc>
        <w:tc>
          <w:tcPr>
            <w:tcW w:w="1544" w:type="dxa"/>
            <w:tcBorders/>
            <w:vAlign w:val="bottom"/>
          </w:tcPr>
          <w:p>
            <w:pPr>
              <w:pStyle w:val="Normal"/>
              <w:widowControl/>
              <w:spacing w:before="0" w:after="0"/>
              <w:jc w:val="left"/>
              <w:rPr>
                <w:rFonts w:ascii="Arial" w:hAnsi="Arial" w:cs="Arial"/>
              </w:rPr>
            </w:pPr>
            <w:r>
              <w:rPr>
                <w:rFonts w:cs="Arial" w:ascii="Arial" w:hAnsi="Arial"/>
                <w:kern w:val="0"/>
                <w:sz w:val="20"/>
                <w:szCs w:val="20"/>
                <w:lang w:val="en-CA" w:eastAsia="zh-CN" w:bidi="ar-SA"/>
              </w:rPr>
              <w:t>21-50%</w:t>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233"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6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75"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249" w:type="dxa"/>
            <w:tcBorders/>
            <w:shd w:color="auto" w:fill="F2F2F2" w:themeFill="background1" w:themeFillShade="f2" w:val="clear"/>
            <w:vAlign w:val="bottom"/>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Moderate</w:t>
            </w:r>
          </w:p>
        </w:tc>
        <w:tc>
          <w:tcPr>
            <w:tcW w:w="1544" w:type="dxa"/>
            <w:tcBorders/>
            <w:vAlign w:val="bottom"/>
          </w:tcPr>
          <w:p>
            <w:pPr>
              <w:pStyle w:val="Normal"/>
              <w:widowControl/>
              <w:spacing w:before="0" w:after="0"/>
              <w:jc w:val="left"/>
              <w:rPr>
                <w:rFonts w:ascii="Arial" w:hAnsi="Arial" w:cs="Arial"/>
              </w:rPr>
            </w:pPr>
            <w:r>
              <w:rPr>
                <w:rFonts w:cs="Arial" w:ascii="Arial" w:hAnsi="Arial"/>
                <w:kern w:val="0"/>
                <w:sz w:val="20"/>
                <w:szCs w:val="20"/>
                <w:lang w:val="en-CA" w:eastAsia="zh-CN" w:bidi="ar-SA"/>
              </w:rPr>
              <w:t>51-80%</w:t>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233"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6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75"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249" w:type="dxa"/>
            <w:tcBorders/>
            <w:shd w:color="auto" w:fill="F2F2F2" w:themeFill="background1" w:themeFillShade="f2" w:val="clear"/>
            <w:vAlign w:val="bottom"/>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Median</w:t>
            </w:r>
          </w:p>
        </w:tc>
        <w:tc>
          <w:tcPr>
            <w:tcW w:w="1544" w:type="dxa"/>
            <w:tcBorders/>
            <w:vAlign w:val="bottom"/>
          </w:tcPr>
          <w:p>
            <w:pPr>
              <w:pStyle w:val="Normal"/>
              <w:widowControl/>
              <w:spacing w:before="0" w:after="0"/>
              <w:jc w:val="left"/>
              <w:rPr>
                <w:rFonts w:ascii="Arial" w:hAnsi="Arial" w:cs="Arial"/>
              </w:rPr>
            </w:pPr>
            <w:r>
              <w:rPr>
                <w:rFonts w:cs="Arial" w:ascii="Arial" w:hAnsi="Arial"/>
                <w:kern w:val="0"/>
                <w:sz w:val="20"/>
                <w:szCs w:val="20"/>
                <w:lang w:val="en-CA" w:eastAsia="zh-CN" w:bidi="ar-SA"/>
              </w:rPr>
              <w:t>81-120%</w:t>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233"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1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6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75"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249" w:type="dxa"/>
            <w:tcBorders/>
            <w:shd w:color="auto" w:fill="F2F2F2" w:themeFill="background1" w:themeFillShade="f2" w:val="clear"/>
            <w:vAlign w:val="bottom"/>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High</w:t>
            </w:r>
          </w:p>
        </w:tc>
        <w:tc>
          <w:tcPr>
            <w:tcW w:w="1544" w:type="dxa"/>
            <w:tcBorders/>
            <w:vAlign w:val="bottom"/>
          </w:tcPr>
          <w:p>
            <w:pPr>
              <w:pStyle w:val="Normal"/>
              <w:widowControl/>
              <w:spacing w:before="0" w:after="0"/>
              <w:jc w:val="left"/>
              <w:rPr>
                <w:rFonts w:ascii="Arial" w:hAnsi="Arial" w:cs="Arial"/>
              </w:rPr>
            </w:pPr>
            <w:r>
              <w:rPr>
                <w:rFonts w:cs="Arial" w:ascii="Arial" w:hAnsi="Arial"/>
                <w:kern w:val="0"/>
                <w:sz w:val="20"/>
                <w:szCs w:val="20"/>
                <w:lang w:val="en-CA" w:eastAsia="zh-CN" w:bidi="ar-SA"/>
              </w:rPr>
              <w:t>&gt;120%</w:t>
            </w:r>
          </w:p>
        </w:tc>
        <w:tc>
          <w:tcPr>
            <w:tcW w:w="1149" w:type="dxa"/>
            <w:tcBorders>
              <w:bottom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233" w:type="dxa"/>
            <w:tcBorders>
              <w:bottom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149" w:type="dxa"/>
            <w:tcBorders>
              <w:bottom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6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75"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2793" w:type="dxa"/>
            <w:gridSpan w:val="2"/>
            <w:tcBorders/>
            <w:shd w:color="auto" w:fill="F2F2F2" w:themeFill="background1" w:themeFillShade="f2" w:val="clea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Total</w:t>
            </w:r>
          </w:p>
        </w:tc>
        <w:tc>
          <w:tcPr>
            <w:tcW w:w="1149" w:type="dxa"/>
            <w:tcBorders>
              <w:top w:val="single" w:sz="12" w:space="0" w:color="000000"/>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233" w:type="dxa"/>
            <w:tcBorders>
              <w:top w:val="single" w:sz="12" w:space="0" w:color="000000"/>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149" w:type="dxa"/>
            <w:tcBorders>
              <w:top w:val="single" w:sz="12" w:space="0" w:color="000000"/>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56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475"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4</w:t>
      </w:r>
      <w:r>
        <w:rPr/>
        <w:fldChar w:fldCharType="end"/>
      </w:r>
      <w:r>
        <w:rPr/>
        <w:t>: Change in number of households by income in 2006, 2016, and 2021 – [</w:t>
      </w:r>
      <w:r>
        <w:rPr>
          <w:highlight w:val="yellow"/>
        </w:rPr>
        <w:t>Community</w:t>
      </w:r>
      <w:r>
        <w:rPr/>
        <w:t>].</w:t>
      </w:r>
    </w:p>
    <w:p>
      <w:pPr>
        <w:pStyle w:val="Normal"/>
        <w:spacing w:lineRule="auto" w:line="259" w:before="0" w:after="160"/>
        <w:rPr/>
      </w:pPr>
      <w:r>
        <w:rPr/>
      </w:r>
      <w:r>
        <w:br w:type="page"/>
      </w:r>
    </w:p>
    <w:p>
      <w:pPr>
        <w:pStyle w:val="Normal"/>
        <w:rPr/>
      </w:pPr>
      <w:r>
        <w:rPr/>
      </w:r>
    </w:p>
    <w:p>
      <w:pPr>
        <w:pStyle w:val="Normal"/>
        <w:rPr/>
      </w:pPr>
      <w:r>
        <w:rPr/>
        <w:t xml:space="preserve">Lennox and Addington and Prince Edward County saw this result somewhat, though not as obviously as shown in the Canada-wide trend in </w:t>
      </w:r>
      <w:r>
        <w:rPr/>
        <w:fldChar w:fldCharType="begin"/>
      </w:r>
      <w:r>
        <w:rPr/>
        <w:instrText> REF _Ref151715696 \h </w:instrText>
      </w:r>
      <w:r>
        <w:rPr/>
        <w:fldChar w:fldCharType="separate"/>
      </w:r>
      <w:r>
        <w:rPr/>
        <w:t>Table 1</w:t>
      </w:r>
      <w:r>
        <w:rPr/>
        <w:fldChar w:fldCharType="end"/>
      </w:r>
      <w:r>
        <w:rPr/>
        <w:t xml:space="preserve"> (page </w:t>
      </w:r>
      <w:r>
        <w:rPr/>
        <w:fldChar w:fldCharType="begin"/>
      </w:r>
      <w:r>
        <w:rPr/>
        <w:instrText> PAGEREF _Ref151715714 \h </w:instrText>
      </w:r>
      <w:r>
        <w:rPr/>
        <w:fldChar w:fldCharType="separate"/>
      </w:r>
      <w:r>
        <w:rPr/>
        <w:t>7</w:t>
      </w:r>
      <w:r>
        <w:rPr/>
        <w:fldChar w:fldCharType="end"/>
      </w:r>
      <w:r>
        <w:rPr/>
        <w:t>). In Lennox and Addington, the number of households earning less than 80% of AMHI grew twice as quickly as those earning over 80% between 2016 and 2021 (</w:t>
      </w:r>
      <w:r>
        <w:rPr/>
        <w:fldChar w:fldCharType="begin"/>
      </w:r>
      <w:r>
        <w:rPr/>
        <w:instrText> REF _Ref151716362 \h </w:instrText>
      </w:r>
      <w:r>
        <w:rPr/>
        <w:fldChar w:fldCharType="separate"/>
      </w:r>
      <w:r>
        <w:rPr/>
        <w:t>Table 5</w:t>
      </w:r>
      <w:r>
        <w:rPr/>
        <w:fldChar w:fldCharType="end"/>
      </w:r>
      <w:r>
        <w:rPr/>
        <w:t>) while the growth in lower income versus higher income households was more balanced in Prince Edward County (6% and 5% respectively). The County saw a significant 31% reduction in Very Low income households in the last 5 years with the fastest growing category being Moderate income households, increasing by 15% after showing no growth between 2006 and 2016.</w:t>
      </w:r>
    </w:p>
    <w:p>
      <w:pPr>
        <w:pStyle w:val="Normal"/>
        <w:rPr>
          <w:highlight w:val="yellow"/>
        </w:rPr>
      </w:pPr>
      <w:r>
        <w:rPr>
          <w:highlight w:val="yellow"/>
        </w:rPr>
      </w:r>
    </w:p>
    <w:tbl>
      <w:tblPr>
        <w:tblStyle w:val="TableGrid"/>
        <w:tblW w:w="539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751"/>
        <w:gridCol w:w="827"/>
        <w:gridCol w:w="661"/>
        <w:gridCol w:w="1150"/>
      </w:tblGrid>
      <w:tr>
        <w:trPr/>
        <w:tc>
          <w:tcPr>
            <w:tcW w:w="2751"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Households by Income</w:t>
            </w:r>
          </w:p>
        </w:tc>
        <w:tc>
          <w:tcPr>
            <w:tcW w:w="2638" w:type="dxa"/>
            <w:gridSpan w:val="3"/>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rHeight w:val="494" w:hRule="atLeast"/>
        </w:trPr>
        <w:tc>
          <w:tcPr>
            <w:tcW w:w="2751" w:type="dxa"/>
            <w:tcBorders/>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Census Year</w:t>
            </w:r>
          </w:p>
        </w:tc>
        <w:tc>
          <w:tcPr>
            <w:tcW w:w="8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2016</w:t>
            </w:r>
          </w:p>
        </w:tc>
        <w:tc>
          <w:tcPr>
            <w:tcW w:w="66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2021</w:t>
            </w:r>
          </w:p>
        </w:tc>
        <w:tc>
          <w:tcPr>
            <w:tcW w:w="1150" w:type="dxa"/>
            <w:tcBorders/>
            <w:shd w:color="auto" w:fill="E2EFD9" w:themeFill="accent6" w:themeFillTint="33" w:val="clear"/>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 Change</w:t>
            </w:r>
          </w:p>
        </w:tc>
      </w:tr>
      <w:tr>
        <w:trPr/>
        <w:tc>
          <w:tcPr>
            <w:tcW w:w="2751"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Equal to &amp; Under 80% AMHI</w:t>
            </w:r>
          </w:p>
        </w:tc>
        <w:tc>
          <w:tcPr>
            <w:tcW w:w="827"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66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15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751"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Over 80% AMHI</w:t>
            </w:r>
          </w:p>
        </w:tc>
        <w:tc>
          <w:tcPr>
            <w:tcW w:w="827"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66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15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2751"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827" w:type="dxa"/>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661" w:type="dxa"/>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150" w:type="dxa"/>
            <w:tcBorders/>
            <w:shd w:color="auto" w:fill="E2EFD9" w:themeFill="accent6" w:themeFillTint="33" w:val="clear"/>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r>
    </w:tbl>
    <w:p>
      <w:pPr>
        <w:pStyle w:val="Caption1"/>
        <w:jc w:val="center"/>
        <w:rPr/>
      </w:pPr>
      <w:bookmarkStart w:id="23" w:name="_Ref151716362"/>
      <w:r>
        <w:rPr/>
        <w:t xml:space="preserve">Table </w:t>
      </w:r>
      <w:r>
        <w:rPr/>
        <w:fldChar w:fldCharType="begin"/>
      </w:r>
      <w:r>
        <w:rPr/>
        <w:instrText> SEQ Table \* ARABIC </w:instrText>
      </w:r>
      <w:r>
        <w:rPr/>
        <w:fldChar w:fldCharType="separate"/>
      </w:r>
      <w:r>
        <w:rPr/>
        <w:t>5</w:t>
      </w:r>
      <w:r>
        <w:rPr/>
        <w:fldChar w:fldCharType="end"/>
      </w:r>
      <w:bookmarkEnd w:id="23"/>
      <w:r>
        <w:rPr/>
        <w:t>: Change in number of households by income (under/over 80% of AMHI) for 2016 and 2021 – [</w:t>
      </w:r>
      <w:r>
        <w:rPr>
          <w:highlight w:val="yellow"/>
        </w:rPr>
        <w:t>Commuinity</w:t>
      </w:r>
      <w:r>
        <w:rPr/>
        <w:t>]</w:t>
      </w:r>
    </w:p>
    <w:p>
      <w:pPr>
        <w:pStyle w:val="Normal"/>
        <w:spacing w:lineRule="auto" w:line="259" w:before="0" w:after="160"/>
        <w:rPr>
          <w:i/>
          <w:i/>
          <w:iCs/>
          <w:color w:val="44546A" w:themeColor="text2"/>
          <w:sz w:val="18"/>
          <w:szCs w:val="18"/>
        </w:rPr>
      </w:pPr>
      <w:r>
        <w:rPr>
          <w:i/>
          <w:iCs/>
          <w:color w:val="44546A" w:themeColor="text2"/>
          <w:sz w:val="18"/>
          <w:szCs w:val="18"/>
        </w:rPr>
      </w:r>
      <w:r>
        <w:br w:type="page"/>
      </w:r>
    </w:p>
    <w:p>
      <w:pPr>
        <w:pStyle w:val="Heading2"/>
        <w:shd w:fill="FFFFFF" w:val="clear"/>
        <w:spacing w:before="280" w:after="280"/>
        <w:rPr/>
      </w:pPr>
      <w:bookmarkStart w:id="24" w:name="_Toc156309941"/>
      <w:r>
        <w:rPr/>
        <w:t>Households by Household Size</w:t>
      </w:r>
      <w:bookmarkEnd w:id="24"/>
    </w:p>
    <w:p>
      <w:pPr>
        <w:pStyle w:val="Normal"/>
        <w:rPr/>
      </w:pPr>
      <w:r>
        <w:rPr/>
      </w:r>
    </w:p>
    <w:tbl>
      <w:tblPr>
        <w:tblStyle w:val="TableGrid"/>
        <w:tblW w:w="872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50"/>
        <w:gridCol w:w="1335"/>
        <w:gridCol w:w="1439"/>
        <w:gridCol w:w="1441"/>
        <w:gridCol w:w="1529"/>
        <w:gridCol w:w="1530"/>
      </w:tblGrid>
      <w:tr>
        <w:trPr/>
        <w:tc>
          <w:tcPr>
            <w:tcW w:w="8724" w:type="dxa"/>
            <w:gridSpan w:val="6"/>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Households by Household Size – [</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450" w:type="dxa"/>
            <w:tcBorders/>
            <w:shd w:color="auto" w:fill="F2F2F2" w:themeFill="background1" w:themeFillShade="f2" w:val="clear"/>
            <w:vAlign w:val="bottom"/>
          </w:tcPr>
          <w:p>
            <w:pPr>
              <w:pStyle w:val="Normal"/>
              <w:widowControl/>
              <w:spacing w:before="0" w:after="0"/>
              <w:jc w:val="left"/>
              <w:rPr>
                <w:rFonts w:ascii="Arial" w:hAnsi="Arial" w:cs="Arial"/>
              </w:rPr>
            </w:pPr>
            <w:r>
              <w:rPr>
                <w:rFonts w:cs="Arial" w:ascii="Arial" w:hAnsi="Arial"/>
                <w:kern w:val="0"/>
                <w:sz w:val="20"/>
                <w:szCs w:val="20"/>
                <w:lang w:val="en-CA" w:eastAsia="zh-CN" w:bidi="ar-SA"/>
              </w:rPr>
              <w:t>HH Size</w:t>
              <w:br/>
              <w:t>(# of persons)</w:t>
            </w:r>
          </w:p>
        </w:tc>
        <w:tc>
          <w:tcPr>
            <w:tcW w:w="1335" w:type="dxa"/>
            <w:tcBorders/>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2006</w:t>
            </w:r>
          </w:p>
        </w:tc>
        <w:tc>
          <w:tcPr>
            <w:tcW w:w="1439" w:type="dxa"/>
            <w:tcBorders/>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2016</w:t>
            </w:r>
          </w:p>
        </w:tc>
        <w:tc>
          <w:tcPr>
            <w:tcW w:w="1441" w:type="dxa"/>
            <w:tcBorders/>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2021</w:t>
            </w:r>
          </w:p>
        </w:tc>
        <w:tc>
          <w:tcPr>
            <w:tcW w:w="1529" w:type="dxa"/>
            <w:tcBorders/>
            <w:shd w:color="auto" w:fill="E2EFD9" w:themeFill="accent6" w:themeFillTint="33" w:val="clear"/>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 2006-2016</w:t>
            </w:r>
          </w:p>
        </w:tc>
        <w:tc>
          <w:tcPr>
            <w:tcW w:w="1530" w:type="dxa"/>
            <w:tcBorders/>
            <w:shd w:color="auto" w:fill="E2EFD9" w:themeFill="accent6" w:themeFillTint="33" w:val="clear"/>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 2016-2021</w:t>
            </w:r>
          </w:p>
        </w:tc>
      </w:tr>
      <w:tr>
        <w:trPr/>
        <w:tc>
          <w:tcPr>
            <w:tcW w:w="14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335"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43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4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29"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4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335"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3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4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29"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3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4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335"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3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4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29"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3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4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335"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3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4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29"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3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450"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p.</w:t>
            </w:r>
          </w:p>
        </w:tc>
        <w:tc>
          <w:tcPr>
            <w:tcW w:w="1335" w:type="dxa"/>
            <w:tcBorders>
              <w:bottom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39" w:type="dxa"/>
            <w:tcBorders>
              <w:bottom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441" w:type="dxa"/>
            <w:tcBorders>
              <w:bottom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29"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53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1450" w:type="dxa"/>
            <w:tcBorders>
              <w:top w:val="single" w:sz="12" w:space="0" w:color="000000"/>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335" w:type="dxa"/>
            <w:tcBorders>
              <w:top w:val="single" w:sz="12" w:space="0" w:color="000000"/>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439" w:type="dxa"/>
            <w:tcBorders>
              <w:top w:val="single" w:sz="12" w:space="0" w:color="000000"/>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441" w:type="dxa"/>
            <w:tcBorders>
              <w:top w:val="single" w:sz="12" w:space="0" w:color="000000"/>
            </w:tcBorders>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529"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c>
          <w:tcPr>
            <w:tcW w:w="153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highlight w:val="yellow"/>
              </w:rPr>
            </w:pPr>
            <w:r>
              <w:rPr>
                <w:rFonts w:cs="Arial" w:ascii="Arial" w:hAnsi="Arial"/>
                <w:b/>
                <w:kern w:val="0"/>
                <w:sz w:val="20"/>
                <w:szCs w:val="20"/>
                <w:highlight w:val="yellow"/>
                <w:lang w:val="en-CA" w:eastAsia="zh-CN" w:bidi="ar-SA"/>
              </w:rPr>
            </w:r>
          </w:p>
        </w:tc>
      </w:tr>
    </w:tbl>
    <w:p>
      <w:pPr>
        <w:pStyle w:val="Caption1"/>
        <w:rPr/>
      </w:pPr>
      <w:r>
        <w:rPr/>
        <w:t xml:space="preserve">Table </w:t>
      </w:r>
      <w:r>
        <w:rPr/>
        <w:fldChar w:fldCharType="begin"/>
      </w:r>
      <w:r>
        <w:rPr/>
        <w:instrText> SEQ Table \* ARABIC </w:instrText>
      </w:r>
      <w:r>
        <w:rPr/>
        <w:fldChar w:fldCharType="separate"/>
      </w:r>
      <w:r>
        <w:rPr/>
        <w:t>6</w:t>
      </w:r>
      <w:r>
        <w:rPr/>
        <w:fldChar w:fldCharType="end"/>
      </w:r>
      <w:r>
        <w:rPr/>
        <w:t>: Change in number of households by household size between 2006, 2016, and 2021 – [Community].</w:t>
      </w:r>
    </w:p>
    <w:p>
      <w:pPr>
        <w:pStyle w:val="Normal"/>
        <w:rPr/>
      </w:pPr>
      <w:r>
        <w:rPr/>
      </w:r>
    </w:p>
    <w:p>
      <w:pPr>
        <w:pStyle w:val="Normal"/>
        <w:spacing w:lineRule="auto" w:line="259" w:before="0" w:after="160"/>
        <w:rPr>
          <w:rFonts w:ascii="Bahnschrift" w:hAnsi="Bahnschrift"/>
          <w:b/>
          <w:b/>
          <w:bCs/>
        </w:rPr>
      </w:pPr>
      <w:r>
        <w:rPr>
          <w:rFonts w:ascii="Bahnschrift" w:hAnsi="Bahnschrift"/>
          <w:b/>
          <w:bCs/>
        </w:rPr>
      </w:r>
      <w:bookmarkStart w:id="25" w:name="_Ref150343524"/>
      <w:bookmarkStart w:id="26" w:name="_Ref150343524"/>
      <w:r>
        <w:br w:type="page"/>
      </w:r>
    </w:p>
    <w:p>
      <w:pPr>
        <w:pStyle w:val="Heading2"/>
        <w:shd w:fill="FFFFFF" w:val="clear"/>
        <w:spacing w:before="280" w:after="280"/>
        <w:rPr/>
      </w:pPr>
      <w:bookmarkStart w:id="27" w:name="_Ref150343524"/>
      <w:bookmarkStart w:id="28" w:name="_Toc156309942"/>
      <w:r>
        <w:rPr/>
        <w:t>Households by Tenure, Subsidized Housing</w:t>
      </w:r>
      <w:bookmarkEnd w:id="27"/>
      <w:bookmarkEnd w:id="28"/>
    </w:p>
    <w:p>
      <w:pPr>
        <w:pStyle w:val="Normal"/>
        <w:rPr/>
      </w:pPr>
      <w:r>
        <w:rPr/>
      </w:r>
    </w:p>
    <w:tbl>
      <w:tblPr>
        <w:tblStyle w:val="TableGrid"/>
        <w:tblW w:w="53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27"/>
        <w:gridCol w:w="1296"/>
        <w:gridCol w:w="1296"/>
        <w:gridCol w:w="1296"/>
      </w:tblGrid>
      <w:tr>
        <w:trPr/>
        <w:tc>
          <w:tcPr>
            <w:tcW w:w="1427"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3888" w:type="dxa"/>
            <w:gridSpan w:val="3"/>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427"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Census Year</w:t>
            </w:r>
          </w:p>
        </w:tc>
        <w:tc>
          <w:tcPr>
            <w:tcW w:w="1296"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2006</w:t>
            </w:r>
          </w:p>
        </w:tc>
        <w:tc>
          <w:tcPr>
            <w:tcW w:w="1296"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2016</w:t>
            </w:r>
          </w:p>
        </w:tc>
        <w:tc>
          <w:tcPr>
            <w:tcW w:w="1296"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2021</w:t>
            </w:r>
          </w:p>
        </w:tc>
      </w:tr>
      <w:tr>
        <w:trPr/>
        <w:tc>
          <w:tcPr>
            <w:tcW w:w="1427" w:type="dxa"/>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Owner HHs</w:t>
            </w:r>
          </w:p>
        </w:tc>
        <w:tc>
          <w:tcPr>
            <w:tcW w:w="1296"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9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9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427" w:type="dxa"/>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Renter HHs</w:t>
            </w:r>
          </w:p>
        </w:tc>
        <w:tc>
          <w:tcPr>
            <w:tcW w:w="129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9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9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427" w:type="dxa"/>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 Owner</w:t>
            </w:r>
          </w:p>
        </w:tc>
        <w:tc>
          <w:tcPr>
            <w:tcW w:w="129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9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9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427" w:type="dxa"/>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 Renter</w:t>
            </w:r>
          </w:p>
        </w:tc>
        <w:tc>
          <w:tcPr>
            <w:tcW w:w="129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9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9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7</w:t>
      </w:r>
      <w:r>
        <w:rPr/>
        <w:fldChar w:fldCharType="end"/>
      </w:r>
      <w:r>
        <w:rPr/>
        <w:t>: Number of households by tenure (owner/renter) between 2006, 2016, and 2021 – [</w:t>
      </w:r>
      <w:r>
        <w:rPr>
          <w:highlight w:val="yellow"/>
        </w:rPr>
        <w:t>Community</w:t>
      </w:r>
      <w:r>
        <w:rPr/>
        <w:t>]</w:t>
      </w:r>
    </w:p>
    <w:p>
      <w:pPr>
        <w:pStyle w:val="Normal"/>
        <w:rPr/>
      </w:pPr>
      <w:r>
        <w:rPr/>
        <w:t xml:space="preserve">The census also allows for renter households to be split by those with subsidized housing and those without. This definition of subsidized housing includes rent geared to income, social housing, public housing, government-assisted housing, non-profit housing, rent supplements and housing allowances. </w:t>
      </w:r>
    </w:p>
    <w:p>
      <w:pPr>
        <w:pStyle w:val="Normal"/>
        <w:rPr/>
      </w:pPr>
      <w:r>
        <w:rPr/>
      </w:r>
    </w:p>
    <w:tbl>
      <w:tblPr>
        <w:tblStyle w:val="TableGrid"/>
        <w:tblW w:w="620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595"/>
        <w:gridCol w:w="1349"/>
        <w:gridCol w:w="1261"/>
      </w:tblGrid>
      <w:tr>
        <w:trPr/>
        <w:tc>
          <w:tcPr>
            <w:tcW w:w="3595"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610"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3595"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Census Year</w:t>
            </w:r>
          </w:p>
        </w:tc>
        <w:tc>
          <w:tcPr>
            <w:tcW w:w="1349"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2016</w:t>
            </w:r>
          </w:p>
        </w:tc>
        <w:tc>
          <w:tcPr>
            <w:tcW w:w="126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2021</w:t>
            </w:r>
          </w:p>
        </w:tc>
      </w:tr>
      <w:tr>
        <w:trPr/>
        <w:tc>
          <w:tcPr>
            <w:tcW w:w="3595" w:type="dxa"/>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 xml:space="preserve">Renter HHs in Subsidized Housing </w:t>
              <w:br/>
            </w:r>
            <w:r>
              <w:rPr>
                <w:rFonts w:cs="Arial" w:ascii="Arial" w:hAnsi="Arial"/>
                <w:b/>
                <w:kern w:val="0"/>
                <w:sz w:val="16"/>
                <w:szCs w:val="20"/>
                <w:lang w:val="en-CA" w:eastAsia="zh-CN" w:bidi="ar-SA"/>
              </w:rPr>
              <w:t>(Examined for CHN)</w:t>
            </w:r>
          </w:p>
        </w:tc>
        <w:tc>
          <w:tcPr>
            <w:tcW w:w="13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kern w:val="0"/>
                <w:sz w:val="20"/>
                <w:szCs w:val="20"/>
                <w:lang w:val="en-CA" w:eastAsia="zh-CN" w:bidi="ar-SA"/>
              </w:rPr>
              <w:br/>
            </w:r>
            <w:r>
              <w:rPr>
                <w:rFonts w:cs="Arial" w:ascii="Arial" w:hAnsi="Arial"/>
                <w:kern w:val="0"/>
                <w:sz w:val="16"/>
                <w:szCs w:val="20"/>
                <w:lang w:val="en-CA" w:eastAsia="zh-CN" w:bidi="ar-SA"/>
              </w:rPr>
              <w:t>(</w:t>
            </w:r>
            <w:r>
              <w:rPr>
                <w:rFonts w:cs="Arial" w:ascii="Arial" w:hAnsi="Arial"/>
                <w:kern w:val="0"/>
                <w:sz w:val="16"/>
                <w:szCs w:val="20"/>
                <w:highlight w:val="yellow"/>
                <w:lang w:val="en-CA" w:eastAsia="zh-CN" w:bidi="ar-SA"/>
              </w:rPr>
              <w:t>#,###</w:t>
            </w:r>
            <w:r>
              <w:rPr>
                <w:rFonts w:cs="Arial" w:ascii="Arial" w:hAnsi="Arial"/>
                <w:kern w:val="0"/>
                <w:sz w:val="16"/>
                <w:szCs w:val="20"/>
                <w:lang w:val="en-CA" w:eastAsia="zh-CN" w:bidi="ar-SA"/>
              </w:rPr>
              <w:t>)</w:t>
            </w:r>
          </w:p>
        </w:tc>
        <w:tc>
          <w:tcPr>
            <w:tcW w:w="126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 xml:space="preserve"> </w:t>
            </w:r>
          </w:p>
        </w:tc>
      </w:tr>
      <w:tr>
        <w:trPr/>
        <w:tc>
          <w:tcPr>
            <w:tcW w:w="3595" w:type="dxa"/>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 xml:space="preserve">Renter HHs not Subsidized </w:t>
            </w:r>
            <w:r>
              <w:rPr>
                <w:rFonts w:cs="Arial" w:ascii="Arial" w:hAnsi="Arial"/>
                <w:b/>
                <w:kern w:val="0"/>
                <w:sz w:val="16"/>
                <w:szCs w:val="20"/>
                <w:lang w:val="en-CA" w:eastAsia="zh-CN" w:bidi="ar-SA"/>
              </w:rPr>
              <w:t>(Examined for CHN)</w:t>
            </w:r>
          </w:p>
        </w:tc>
        <w:tc>
          <w:tcPr>
            <w:tcW w:w="134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261"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r>
      <w:tr>
        <w:trPr/>
        <w:tc>
          <w:tcPr>
            <w:tcW w:w="3595" w:type="dxa"/>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 Renters in Subsidized Housing</w:t>
            </w:r>
          </w:p>
        </w:tc>
        <w:tc>
          <w:tcPr>
            <w:tcW w:w="1349"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bookmarkStart w:id="29" w:name="_Hlk151978000"/>
            <w:bookmarkStart w:id="30" w:name="_Hlk151978000"/>
            <w:bookmarkEnd w:id="30"/>
          </w:p>
        </w:tc>
      </w:tr>
    </w:tbl>
    <w:p>
      <w:pPr>
        <w:pStyle w:val="Caption1"/>
        <w:jc w:val="center"/>
        <w:rPr/>
      </w:pPr>
      <w:r>
        <w:rPr/>
        <w:t xml:space="preserve">Table </w:t>
      </w:r>
      <w:r>
        <w:rPr/>
        <w:fldChar w:fldCharType="begin"/>
      </w:r>
      <w:r>
        <w:rPr/>
        <w:instrText> SEQ Table \* ARABIC </w:instrText>
      </w:r>
      <w:r>
        <w:rPr/>
        <w:fldChar w:fldCharType="separate"/>
      </w:r>
      <w:r>
        <w:rPr/>
        <w:t>8</w:t>
      </w:r>
      <w:r>
        <w:rPr/>
        <w:fldChar w:fldCharType="end"/>
      </w:r>
      <w:r>
        <w:rPr/>
        <w:t xml:space="preserve">: Change in renter households with subsidized housing, or not, between 2016 and 2021 – </w:t>
      </w:r>
      <w:r>
        <w:rPr>
          <w:rFonts w:cs="Arial" w:ascii="Arial" w:hAnsi="Arial"/>
        </w:rPr>
        <w:t>[</w:t>
      </w:r>
      <w:r>
        <w:rPr>
          <w:rFonts w:cs="Arial" w:ascii="Arial" w:hAnsi="Arial"/>
          <w:highlight w:val="yellow"/>
        </w:rPr>
        <w:t>Community</w:t>
      </w:r>
      <w:r>
        <w:rPr>
          <w:rFonts w:cs="Arial" w:ascii="Arial" w:hAnsi="Arial"/>
        </w:rPr>
        <w:t>]</w:t>
      </w:r>
      <w:r>
        <w:rPr/>
        <w:t xml:space="preserve">. Households Examined for CHN have been included in parenthesis to be referenced against </w:t>
      </w:r>
      <w:r>
        <w:rPr/>
        <w:fldChar w:fldCharType="begin"/>
      </w:r>
      <w:r>
        <w:rPr/>
        <w:instrText> REF _Ref150333895 \h </w:instrText>
      </w:r>
      <w:r>
        <w:rPr/>
        <w:fldChar w:fldCharType="separate"/>
      </w:r>
      <w:r>
        <w:rPr/>
        <w:t>Table 11</w:t>
      </w:r>
      <w:r>
        <w:rPr/>
        <w:fldChar w:fldCharType="end"/>
      </w:r>
      <w:r>
        <w:rPr/>
        <w:t>).</w:t>
      </w:r>
    </w:p>
    <w:p>
      <w:pPr>
        <w:pStyle w:val="Normal"/>
        <w:spacing w:lineRule="auto" w:line="259" w:before="0" w:after="160"/>
        <w:rPr>
          <w:i/>
          <w:i/>
          <w:iCs/>
          <w:color w:val="44546A" w:themeColor="text2"/>
          <w:sz w:val="18"/>
          <w:szCs w:val="18"/>
        </w:rPr>
      </w:pPr>
      <w:r>
        <w:rPr>
          <w:i/>
          <w:iCs/>
          <w:color w:val="44546A" w:themeColor="text2"/>
          <w:sz w:val="18"/>
          <w:szCs w:val="18"/>
        </w:rPr>
      </w:r>
      <w:r>
        <w:br w:type="page"/>
      </w:r>
    </w:p>
    <w:p>
      <w:pPr>
        <w:pStyle w:val="Heading2"/>
        <w:shd w:fill="FFFFFF" w:val="clear"/>
        <w:spacing w:before="280" w:after="280"/>
        <w:rPr/>
      </w:pPr>
      <w:bookmarkStart w:id="31" w:name="_Toc156309943"/>
      <w:r>
        <w:rPr/>
        <w:t>Households by Actual Shelter Cost</w:t>
      </w:r>
      <w:bookmarkEnd w:id="31"/>
    </w:p>
    <w:p>
      <w:pPr>
        <w:pStyle w:val="Normal"/>
        <w:rPr/>
      </w:pPr>
      <w:r>
        <w:rPr/>
        <w:t xml:space="preserve">HART’s census data order included a custom arrangement of households by the actual monthly shelter cost they report. This arrangement grouped households in a similar manner to HART’s income grouping above which starts with AMHI, but seeks to group households by shelter costs that would be affordable to each income category. For each income category we first multiple each value by 30%, our affordability benchmark, and then convert the </w:t>
      </w:r>
      <w:r>
        <w:rPr>
          <w:i/>
        </w:rPr>
        <w:t>annual</w:t>
      </w:r>
      <w:r>
        <w:rPr/>
        <w:t xml:space="preserve"> income value to a </w:t>
      </w:r>
      <w:r>
        <w:rPr>
          <w:i/>
        </w:rPr>
        <w:t>monthly</w:t>
      </w:r>
      <w:r>
        <w:rPr/>
        <w:t xml:space="preserve"> shelter cost by dividing by 12 months. This allows us to see how housing affordability has changed over time while accounting for any changes in income that may have occurred. </w:t>
      </w:r>
    </w:p>
    <w:p>
      <w:pPr>
        <w:pStyle w:val="Normal"/>
        <w:rPr/>
      </w:pPr>
      <w:r>
        <w:rPr/>
      </w:r>
    </w:p>
    <w:p>
      <w:pPr>
        <w:pStyle w:val="Normal"/>
        <w:rPr/>
      </w:pPr>
      <w:r>
        <w:rPr/>
        <w:fldChar w:fldCharType="begin"/>
      </w:r>
      <w:r>
        <w:rPr/>
        <w:instrText> REF _Ref150333182 \h </w:instrText>
      </w:r>
      <w:r>
        <w:rPr/>
        <w:fldChar w:fldCharType="separate"/>
      </w:r>
      <w:r>
        <w:rPr/>
        <w:t>Table 9</w:t>
      </w:r>
      <w:r>
        <w:rPr/>
        <w:fldChar w:fldCharType="end"/>
      </w:r>
      <w:r>
        <w:rPr/>
        <w:t xml:space="preserve"> </w:t>
      </w:r>
      <w:r>
        <w:rPr/>
        <w:t xml:space="preserve">looks at the distribution of households by shelter costs paid, looking all private households (i.e. “Total HHs”). </w:t>
      </w:r>
    </w:p>
    <w:p>
      <w:pPr>
        <w:pStyle w:val="Normal"/>
        <w:rPr/>
      </w:pPr>
      <w:r>
        <w:rPr/>
      </w:r>
    </w:p>
    <w:tbl>
      <w:tblPr>
        <w:tblStyle w:val="TableGrid"/>
        <w:tblW w:w="93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35"/>
        <w:gridCol w:w="1529"/>
        <w:gridCol w:w="1621"/>
        <w:gridCol w:w="1710"/>
        <w:gridCol w:w="1619"/>
        <w:gridCol w:w="1435"/>
      </w:tblGrid>
      <w:tr>
        <w:trPr/>
        <w:tc>
          <w:tcPr>
            <w:tcW w:w="9349" w:type="dxa"/>
            <w:gridSpan w:val="6"/>
            <w:tcBorders>
              <w:bottom w:val="nil"/>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Total HHs by Actual Shelter Cost – [</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4585" w:type="dxa"/>
            <w:gridSpan w:val="3"/>
            <w:tcBorders>
              <w:bottom w:val="nil"/>
            </w:tcBorders>
            <w:shd w:color="auto" w:fill="F2F2F2" w:themeFill="background1" w:themeFillShade="f2" w:val="clear"/>
          </w:tcPr>
          <w:p>
            <w:pPr>
              <w:pStyle w:val="Normal"/>
              <w:widowControl/>
              <w:spacing w:before="0" w:after="0"/>
              <w:jc w:val="center"/>
              <w:rPr>
                <w:rFonts w:ascii="Arial" w:hAnsi="Arial" w:cs="Arial"/>
              </w:rPr>
            </w:pPr>
            <w:r>
              <w:rPr>
                <w:rFonts w:cs="Arial" w:ascii="Arial" w:hAnsi="Arial"/>
                <w:kern w:val="0"/>
                <w:sz w:val="20"/>
                <w:szCs w:val="20"/>
                <w:lang w:val="en-CA" w:eastAsia="zh-CN" w:bidi="ar-SA"/>
              </w:rPr>
              <w:t>Actual monthly shelter cost</w:t>
            </w:r>
          </w:p>
        </w:tc>
        <w:tc>
          <w:tcPr>
            <w:tcW w:w="4764" w:type="dxa"/>
            <w:gridSpan w:val="3"/>
            <w:tcBorders/>
          </w:tcPr>
          <w:p>
            <w:pPr>
              <w:pStyle w:val="Normal"/>
              <w:widowControl/>
              <w:spacing w:before="0" w:after="0"/>
              <w:jc w:val="center"/>
              <w:rPr>
                <w:rFonts w:ascii="Arial" w:hAnsi="Arial" w:cs="Arial"/>
              </w:rPr>
            </w:pPr>
            <w:r>
              <w:rPr>
                <w:rFonts w:cs="Arial" w:ascii="Arial" w:hAnsi="Arial"/>
                <w:kern w:val="0"/>
                <w:sz w:val="20"/>
                <w:szCs w:val="20"/>
                <w:lang w:val="en-CA" w:eastAsia="zh-CN" w:bidi="ar-SA"/>
              </w:rPr>
              <w:t>Number of Households</w:t>
            </w:r>
          </w:p>
        </w:tc>
      </w:tr>
      <w:tr>
        <w:trPr/>
        <w:tc>
          <w:tcPr>
            <w:tcW w:w="1435" w:type="dxa"/>
            <w:tcBorders/>
            <w:shd w:color="auto" w:fill="F2F2F2" w:themeFill="background1" w:themeFillShade="f2" w:val="clear"/>
            <w:vAlign w:val="center"/>
          </w:tcPr>
          <w:p>
            <w:pPr>
              <w:pStyle w:val="Normal"/>
              <w:widowControl/>
              <w:spacing w:before="0" w:after="0"/>
              <w:jc w:val="center"/>
              <w:rPr>
                <w:rFonts w:ascii="Arial" w:hAnsi="Arial" w:cs="Arial"/>
                <w:b/>
                <w:b/>
                <w:sz w:val="16"/>
              </w:rPr>
            </w:pPr>
            <w:r>
              <w:rPr>
                <w:rFonts w:cs="Arial" w:ascii="Arial" w:hAnsi="Arial"/>
                <w:b/>
                <w:kern w:val="0"/>
                <w:sz w:val="16"/>
                <w:szCs w:val="20"/>
                <w:lang w:val="en-CA" w:eastAsia="zh-CN" w:bidi="ar-SA"/>
              </w:rPr>
              <w:t>Affordable to income group</w:t>
            </w:r>
          </w:p>
        </w:tc>
        <w:tc>
          <w:tcPr>
            <w:tcW w:w="1529" w:type="dxa"/>
            <w:tcBorders/>
            <w:shd w:color="auto" w:fill="F2F2F2" w:themeFill="background1" w:themeFillShade="f2" w:val="clear"/>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2016</w:t>
              <w:br/>
            </w:r>
            <w:r>
              <w:rPr>
                <w:rFonts w:cs="Arial" w:ascii="Arial" w:hAnsi="Arial"/>
                <w:kern w:val="0"/>
                <w:sz w:val="16"/>
                <w:szCs w:val="20"/>
                <w:lang w:val="en-CA" w:eastAsia="zh-CN" w:bidi="ar-SA"/>
              </w:rPr>
              <w:t>(AMHI = $</w:t>
            </w:r>
            <w:r>
              <w:rPr>
                <w:rFonts w:cs="Arial" w:ascii="Arial" w:hAnsi="Arial"/>
                <w:kern w:val="0"/>
                <w:sz w:val="16"/>
                <w:szCs w:val="20"/>
                <w:highlight w:val="yellow"/>
                <w:lang w:val="en-CA" w:eastAsia="zh-CN" w:bidi="ar-SA"/>
              </w:rPr>
              <w:t>##,###</w:t>
            </w:r>
            <w:r>
              <w:rPr>
                <w:rFonts w:cs="Arial" w:ascii="Arial" w:hAnsi="Arial"/>
                <w:kern w:val="0"/>
                <w:sz w:val="16"/>
                <w:szCs w:val="20"/>
                <w:lang w:val="en-CA" w:eastAsia="zh-CN" w:bidi="ar-SA"/>
              </w:rPr>
              <w:t>)</w:t>
            </w:r>
          </w:p>
        </w:tc>
        <w:tc>
          <w:tcPr>
            <w:tcW w:w="1621" w:type="dxa"/>
            <w:tcBorders/>
            <w:shd w:color="auto" w:fill="F2F2F2" w:themeFill="background1" w:themeFillShade="f2" w:val="clear"/>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2021</w:t>
              <w:br/>
            </w:r>
            <w:r>
              <w:rPr>
                <w:rFonts w:cs="Arial" w:ascii="Arial" w:hAnsi="Arial"/>
                <w:kern w:val="0"/>
                <w:sz w:val="16"/>
                <w:szCs w:val="20"/>
                <w:lang w:val="en-CA" w:eastAsia="zh-CN" w:bidi="ar-SA"/>
              </w:rPr>
              <w:t>(AMHI = $</w:t>
            </w:r>
            <w:r>
              <w:rPr>
                <w:rFonts w:cs="Arial" w:ascii="Arial" w:hAnsi="Arial"/>
                <w:kern w:val="0"/>
                <w:sz w:val="16"/>
                <w:szCs w:val="20"/>
                <w:highlight w:val="yellow"/>
                <w:lang w:val="en-CA" w:eastAsia="zh-CN" w:bidi="ar-SA"/>
              </w:rPr>
              <w:t>##,###</w:t>
            </w:r>
            <w:r>
              <w:rPr>
                <w:rFonts w:cs="Arial" w:ascii="Arial" w:hAnsi="Arial"/>
                <w:kern w:val="0"/>
                <w:sz w:val="16"/>
                <w:szCs w:val="20"/>
                <w:lang w:val="en-CA" w:eastAsia="zh-CN" w:bidi="ar-SA"/>
              </w:rPr>
              <w:t>)</w:t>
            </w:r>
          </w:p>
        </w:tc>
        <w:tc>
          <w:tcPr>
            <w:tcW w:w="1710"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2016</w:t>
            </w:r>
          </w:p>
        </w:tc>
        <w:tc>
          <w:tcPr>
            <w:tcW w:w="1619" w:type="dxa"/>
            <w:tcBorders/>
            <w:shd w:color="auto" w:fill="auto" w:val="clear"/>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2021</w:t>
            </w:r>
          </w:p>
        </w:tc>
        <w:tc>
          <w:tcPr>
            <w:tcW w:w="1435" w:type="dxa"/>
            <w:tcBorders/>
            <w:shd w:color="auto" w:fill="E2EFD9" w:themeFill="accent6" w:themeFillTint="33" w:val="clear"/>
            <w:vAlign w:val="center"/>
          </w:tcPr>
          <w:p>
            <w:pPr>
              <w:pStyle w:val="Normal"/>
              <w:widowControl/>
              <w:spacing w:before="0" w:after="0"/>
              <w:jc w:val="right"/>
              <w:rPr>
                <w:rFonts w:ascii="Arial" w:hAnsi="Arial" w:cs="Arial"/>
              </w:rPr>
            </w:pPr>
            <w:r>
              <w:rPr>
                <w:rFonts w:cs="Arial" w:ascii="Arial" w:hAnsi="Arial"/>
                <w:kern w:val="0"/>
                <w:sz w:val="20"/>
                <w:szCs w:val="20"/>
                <w:lang w:val="en-CA" w:eastAsia="zh-CN" w:bidi="ar-SA"/>
              </w:rPr>
              <w:t>%∆ 2016-2021</w:t>
            </w:r>
          </w:p>
        </w:tc>
      </w:tr>
      <w:tr>
        <w:trPr/>
        <w:tc>
          <w:tcPr>
            <w:tcW w:w="1435" w:type="dxa"/>
            <w:tcBorders/>
            <w:shd w:color="auto" w:fill="F2F2F2" w:themeFill="background1" w:themeFillShade="f2" w:val="clear"/>
          </w:tcPr>
          <w:p>
            <w:pPr>
              <w:pStyle w:val="Normal"/>
              <w:widowControl/>
              <w:spacing w:before="0" w:after="0"/>
              <w:jc w:val="center"/>
              <w:rPr>
                <w:rFonts w:ascii="Arial" w:hAnsi="Arial" w:cs="Arial"/>
                <w:sz w:val="16"/>
              </w:rPr>
            </w:pPr>
            <w:r>
              <w:rPr>
                <w:rFonts w:cs="Arial" w:ascii="Arial" w:hAnsi="Arial"/>
                <w:kern w:val="0"/>
                <w:sz w:val="16"/>
                <w:szCs w:val="20"/>
                <w:lang w:val="en-CA" w:eastAsia="zh-CN" w:bidi="ar-SA"/>
              </w:rPr>
              <w:t>Very Low</w:t>
            </w:r>
          </w:p>
        </w:tc>
        <w:tc>
          <w:tcPr>
            <w:tcW w:w="1529" w:type="dxa"/>
            <w:tcBorders/>
            <w:shd w:color="auto" w:fill="F2F2F2" w:themeFill="background1" w:themeFillShade="f2" w:val="clear"/>
          </w:tcPr>
          <w:p>
            <w:pPr>
              <w:pStyle w:val="Normal"/>
              <w:widowControl/>
              <w:spacing w:before="0" w:after="0"/>
              <w:jc w:val="center"/>
              <w:rPr>
                <w:rFonts w:ascii="Arial" w:hAnsi="Arial" w:cs="Arial"/>
                <w:highlight w:val="yellow"/>
              </w:rPr>
            </w:pPr>
            <w:r>
              <w:rPr>
                <w:rFonts w:cs="Arial" w:ascii="Arial" w:hAnsi="Arial"/>
                <w:kern w:val="0"/>
                <w:sz w:val="20"/>
                <w:szCs w:val="20"/>
                <w:highlight w:val="yellow"/>
                <w:lang w:val="en-CA" w:eastAsia="zh-CN" w:bidi="ar-SA"/>
              </w:rPr>
              <w:t>&lt; $#,###</w:t>
            </w:r>
          </w:p>
        </w:tc>
        <w:tc>
          <w:tcPr>
            <w:tcW w:w="1621" w:type="dxa"/>
            <w:tcBorders/>
            <w:shd w:color="auto" w:fill="F2F2F2" w:themeFill="background1" w:themeFillShade="f2" w:val="clear"/>
          </w:tcPr>
          <w:p>
            <w:pPr>
              <w:pStyle w:val="Normal"/>
              <w:widowControl/>
              <w:spacing w:before="0" w:after="0"/>
              <w:jc w:val="center"/>
              <w:rPr>
                <w:rFonts w:ascii="Arial" w:hAnsi="Arial" w:cs="Arial"/>
              </w:rPr>
            </w:pPr>
            <w:r>
              <w:rPr>
                <w:rFonts w:cs="Arial" w:ascii="Arial" w:hAnsi="Arial"/>
                <w:kern w:val="0"/>
                <w:sz w:val="20"/>
                <w:szCs w:val="20"/>
                <w:highlight w:val="yellow"/>
                <w:lang w:val="en-CA" w:eastAsia="zh-CN" w:bidi="ar-SA"/>
              </w:rPr>
              <w:t>&lt; $#,###</w:t>
            </w:r>
          </w:p>
        </w:tc>
        <w:tc>
          <w:tcPr>
            <w:tcW w:w="171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619"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435" w:type="dxa"/>
            <w:tcBorders/>
            <w:shd w:color="auto" w:fill="E2EFD9" w:themeFill="accent6" w:themeFillTint="33" w:val="clear"/>
          </w:tcPr>
          <w:p>
            <w:pPr>
              <w:pStyle w:val="Normal"/>
              <w:widowControl/>
              <w:spacing w:before="0" w:after="0"/>
              <w:jc w:val="right"/>
              <w:rPr>
                <w:rFonts w:ascii="Arial" w:hAnsi="Arial" w:cs="Arial"/>
                <w:color w:val="C00000"/>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1435" w:type="dxa"/>
            <w:tcBorders/>
            <w:shd w:color="auto" w:fill="F2F2F2" w:themeFill="background1" w:themeFillShade="f2" w:val="clear"/>
          </w:tcPr>
          <w:p>
            <w:pPr>
              <w:pStyle w:val="Normal"/>
              <w:widowControl/>
              <w:spacing w:before="0" w:after="0"/>
              <w:jc w:val="center"/>
              <w:rPr>
                <w:rFonts w:ascii="Arial" w:hAnsi="Arial" w:cs="Arial"/>
                <w:sz w:val="16"/>
              </w:rPr>
            </w:pPr>
            <w:r>
              <w:rPr>
                <w:rFonts w:cs="Arial" w:ascii="Arial" w:hAnsi="Arial"/>
                <w:kern w:val="0"/>
                <w:sz w:val="16"/>
                <w:szCs w:val="20"/>
                <w:lang w:val="en-CA" w:eastAsia="zh-CN" w:bidi="ar-SA"/>
              </w:rPr>
              <w:t>Low</w:t>
            </w:r>
          </w:p>
        </w:tc>
        <w:tc>
          <w:tcPr>
            <w:tcW w:w="1529" w:type="dxa"/>
            <w:tcBorders/>
            <w:shd w:color="auto" w:fill="F2F2F2" w:themeFill="background1" w:themeFillShade="f2" w:val="clear"/>
          </w:tcPr>
          <w:p>
            <w:pPr>
              <w:pStyle w:val="Normal"/>
              <w:widowControl/>
              <w:spacing w:before="0" w:after="0"/>
              <w:jc w:val="center"/>
              <w:rPr>
                <w:rFonts w:ascii="Arial" w:hAnsi="Arial" w:cs="Arial"/>
                <w:highlight w:val="yellow"/>
              </w:rPr>
            </w:pPr>
            <w:r>
              <w:rPr>
                <w:rFonts w:cs="Arial" w:ascii="Arial" w:hAnsi="Arial"/>
                <w:kern w:val="0"/>
                <w:sz w:val="20"/>
                <w:szCs w:val="20"/>
                <w:highlight w:val="yellow"/>
                <w:lang w:val="en-CA" w:eastAsia="zh-CN" w:bidi="ar-SA"/>
              </w:rPr>
              <w:t>$#,###-$#,###</w:t>
            </w:r>
          </w:p>
        </w:tc>
        <w:tc>
          <w:tcPr>
            <w:tcW w:w="1621" w:type="dxa"/>
            <w:tcBorders/>
            <w:shd w:color="auto" w:fill="F2F2F2" w:themeFill="background1" w:themeFillShade="f2" w:val="clear"/>
          </w:tcPr>
          <w:p>
            <w:pPr>
              <w:pStyle w:val="Normal"/>
              <w:widowControl/>
              <w:spacing w:before="0" w:after="0"/>
              <w:jc w:val="center"/>
              <w:rPr>
                <w:rFonts w:ascii="Arial" w:hAnsi="Arial" w:cs="Arial"/>
              </w:rPr>
            </w:pPr>
            <w:r>
              <w:rPr>
                <w:rFonts w:cs="Arial" w:ascii="Arial" w:hAnsi="Arial"/>
                <w:kern w:val="0"/>
                <w:sz w:val="20"/>
                <w:szCs w:val="20"/>
                <w:highlight w:val="yellow"/>
                <w:lang w:val="en-CA" w:eastAsia="zh-CN" w:bidi="ar-SA"/>
              </w:rPr>
              <w:t>$#,###-$#,###</w:t>
            </w:r>
          </w:p>
        </w:tc>
        <w:tc>
          <w:tcPr>
            <w:tcW w:w="171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619"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43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435" w:type="dxa"/>
            <w:tcBorders/>
            <w:shd w:color="auto" w:fill="F2F2F2" w:themeFill="background1" w:themeFillShade="f2" w:val="clear"/>
          </w:tcPr>
          <w:p>
            <w:pPr>
              <w:pStyle w:val="Normal"/>
              <w:widowControl/>
              <w:spacing w:before="0" w:after="0"/>
              <w:jc w:val="center"/>
              <w:rPr>
                <w:rFonts w:ascii="Arial" w:hAnsi="Arial" w:cs="Arial"/>
                <w:sz w:val="16"/>
              </w:rPr>
            </w:pPr>
            <w:r>
              <w:rPr>
                <w:rFonts w:cs="Arial" w:ascii="Arial" w:hAnsi="Arial"/>
                <w:kern w:val="0"/>
                <w:sz w:val="16"/>
                <w:szCs w:val="20"/>
                <w:lang w:val="en-CA" w:eastAsia="zh-CN" w:bidi="ar-SA"/>
              </w:rPr>
              <w:t>Moderate</w:t>
            </w:r>
          </w:p>
        </w:tc>
        <w:tc>
          <w:tcPr>
            <w:tcW w:w="1529" w:type="dxa"/>
            <w:tcBorders/>
            <w:shd w:color="auto" w:fill="F2F2F2" w:themeFill="background1" w:themeFillShade="f2" w:val="clear"/>
          </w:tcPr>
          <w:p>
            <w:pPr>
              <w:pStyle w:val="Normal"/>
              <w:widowControl/>
              <w:spacing w:before="0" w:after="0"/>
              <w:jc w:val="center"/>
              <w:rPr>
                <w:rFonts w:ascii="Arial" w:hAnsi="Arial" w:cs="Arial"/>
                <w:highlight w:val="yellow"/>
              </w:rPr>
            </w:pPr>
            <w:r>
              <w:rPr>
                <w:rFonts w:cs="Arial" w:ascii="Arial" w:hAnsi="Arial"/>
                <w:kern w:val="0"/>
                <w:sz w:val="20"/>
                <w:szCs w:val="20"/>
                <w:highlight w:val="yellow"/>
                <w:lang w:val="en-CA" w:eastAsia="zh-CN" w:bidi="ar-SA"/>
              </w:rPr>
              <w:t>$#,###-$#,###</w:t>
            </w:r>
          </w:p>
        </w:tc>
        <w:tc>
          <w:tcPr>
            <w:tcW w:w="1621" w:type="dxa"/>
            <w:tcBorders/>
            <w:shd w:color="auto" w:fill="F2F2F2" w:themeFill="background1" w:themeFillShade="f2" w:val="clear"/>
          </w:tcPr>
          <w:p>
            <w:pPr>
              <w:pStyle w:val="Normal"/>
              <w:widowControl/>
              <w:spacing w:before="0" w:after="0"/>
              <w:jc w:val="center"/>
              <w:rPr>
                <w:rFonts w:ascii="Arial" w:hAnsi="Arial" w:cs="Arial"/>
              </w:rPr>
            </w:pPr>
            <w:r>
              <w:rPr>
                <w:rFonts w:cs="Arial" w:ascii="Arial" w:hAnsi="Arial"/>
                <w:kern w:val="0"/>
                <w:sz w:val="20"/>
                <w:szCs w:val="20"/>
                <w:highlight w:val="yellow"/>
                <w:lang w:val="en-CA" w:eastAsia="zh-CN" w:bidi="ar-SA"/>
              </w:rPr>
              <w:t>$#,###-$#,###</w:t>
            </w:r>
          </w:p>
        </w:tc>
        <w:tc>
          <w:tcPr>
            <w:tcW w:w="171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619"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43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435" w:type="dxa"/>
            <w:tcBorders/>
            <w:shd w:color="auto" w:fill="F2F2F2" w:themeFill="background1" w:themeFillShade="f2" w:val="clear"/>
          </w:tcPr>
          <w:p>
            <w:pPr>
              <w:pStyle w:val="Normal"/>
              <w:widowControl/>
              <w:spacing w:before="0" w:after="0"/>
              <w:jc w:val="center"/>
              <w:rPr>
                <w:rFonts w:ascii="Arial" w:hAnsi="Arial" w:cs="Arial"/>
                <w:sz w:val="16"/>
              </w:rPr>
            </w:pPr>
            <w:r>
              <w:rPr>
                <w:rFonts w:cs="Arial" w:ascii="Arial" w:hAnsi="Arial"/>
                <w:kern w:val="0"/>
                <w:sz w:val="16"/>
                <w:szCs w:val="20"/>
                <w:lang w:val="en-CA" w:eastAsia="zh-CN" w:bidi="ar-SA"/>
              </w:rPr>
              <w:t>Median</w:t>
            </w:r>
          </w:p>
        </w:tc>
        <w:tc>
          <w:tcPr>
            <w:tcW w:w="1529" w:type="dxa"/>
            <w:tcBorders/>
            <w:shd w:color="auto" w:fill="F2F2F2" w:themeFill="background1" w:themeFillShade="f2" w:val="clear"/>
          </w:tcPr>
          <w:p>
            <w:pPr>
              <w:pStyle w:val="Normal"/>
              <w:widowControl/>
              <w:spacing w:before="0" w:after="0"/>
              <w:jc w:val="center"/>
              <w:rPr>
                <w:rFonts w:ascii="Arial" w:hAnsi="Arial" w:cs="Arial"/>
                <w:highlight w:val="yellow"/>
              </w:rPr>
            </w:pPr>
            <w:r>
              <w:rPr>
                <w:rFonts w:cs="Arial" w:ascii="Arial" w:hAnsi="Arial"/>
                <w:kern w:val="0"/>
                <w:sz w:val="20"/>
                <w:szCs w:val="20"/>
                <w:highlight w:val="yellow"/>
                <w:lang w:val="en-CA" w:eastAsia="zh-CN" w:bidi="ar-SA"/>
              </w:rPr>
              <w:t>$#,###-$#,###</w:t>
            </w:r>
          </w:p>
        </w:tc>
        <w:tc>
          <w:tcPr>
            <w:tcW w:w="1621" w:type="dxa"/>
            <w:tcBorders/>
            <w:shd w:color="auto" w:fill="F2F2F2" w:themeFill="background1" w:themeFillShade="f2" w:val="clear"/>
          </w:tcPr>
          <w:p>
            <w:pPr>
              <w:pStyle w:val="Normal"/>
              <w:widowControl/>
              <w:spacing w:before="0" w:after="0"/>
              <w:jc w:val="center"/>
              <w:rPr>
                <w:rFonts w:ascii="Arial" w:hAnsi="Arial" w:cs="Arial"/>
              </w:rPr>
            </w:pPr>
            <w:r>
              <w:rPr>
                <w:rFonts w:cs="Arial" w:ascii="Arial" w:hAnsi="Arial"/>
                <w:kern w:val="0"/>
                <w:sz w:val="20"/>
                <w:szCs w:val="20"/>
                <w:highlight w:val="yellow"/>
                <w:lang w:val="en-CA" w:eastAsia="zh-CN" w:bidi="ar-SA"/>
              </w:rPr>
              <w:t>$#,###-$#,###</w:t>
            </w:r>
          </w:p>
        </w:tc>
        <w:tc>
          <w:tcPr>
            <w:tcW w:w="171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619"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43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435" w:type="dxa"/>
            <w:tcBorders>
              <w:bottom w:val="single" w:sz="12" w:space="0" w:color="000000"/>
            </w:tcBorders>
            <w:shd w:color="auto" w:fill="F2F2F2" w:themeFill="background1" w:themeFillShade="f2" w:val="clear"/>
          </w:tcPr>
          <w:p>
            <w:pPr>
              <w:pStyle w:val="Normal"/>
              <w:widowControl/>
              <w:spacing w:before="0" w:after="0"/>
              <w:jc w:val="center"/>
              <w:rPr>
                <w:rFonts w:ascii="Arial" w:hAnsi="Arial" w:cs="Arial"/>
                <w:sz w:val="16"/>
              </w:rPr>
            </w:pPr>
            <w:r>
              <w:rPr>
                <w:rFonts w:cs="Arial" w:ascii="Arial" w:hAnsi="Arial"/>
                <w:kern w:val="0"/>
                <w:sz w:val="16"/>
                <w:szCs w:val="20"/>
                <w:lang w:val="en-CA" w:eastAsia="zh-CN" w:bidi="ar-SA"/>
              </w:rPr>
              <w:t>High</w:t>
            </w:r>
          </w:p>
        </w:tc>
        <w:tc>
          <w:tcPr>
            <w:tcW w:w="1529" w:type="dxa"/>
            <w:tcBorders>
              <w:bottom w:val="single" w:sz="12" w:space="0" w:color="000000"/>
            </w:tcBorders>
            <w:shd w:color="auto" w:fill="F2F2F2" w:themeFill="background1" w:themeFillShade="f2" w:val="clear"/>
          </w:tcPr>
          <w:p>
            <w:pPr>
              <w:pStyle w:val="Normal"/>
              <w:widowControl/>
              <w:spacing w:before="0" w:after="0"/>
              <w:jc w:val="center"/>
              <w:rPr>
                <w:rFonts w:ascii="Arial" w:hAnsi="Arial" w:cs="Arial"/>
                <w:highlight w:val="yellow"/>
              </w:rPr>
            </w:pPr>
            <w:r>
              <w:rPr>
                <w:rFonts w:cs="Arial" w:ascii="Arial" w:hAnsi="Arial"/>
                <w:kern w:val="0"/>
                <w:sz w:val="20"/>
                <w:szCs w:val="20"/>
                <w:highlight w:val="yellow"/>
                <w:lang w:val="en-CA" w:eastAsia="zh-CN" w:bidi="ar-SA"/>
              </w:rPr>
              <w:t>&gt; $#,###</w:t>
            </w:r>
          </w:p>
        </w:tc>
        <w:tc>
          <w:tcPr>
            <w:tcW w:w="1621" w:type="dxa"/>
            <w:tcBorders>
              <w:bottom w:val="single" w:sz="12" w:space="0" w:color="000000"/>
            </w:tcBorders>
            <w:shd w:color="auto" w:fill="F2F2F2" w:themeFill="background1" w:themeFillShade="f2" w:val="clear"/>
          </w:tcPr>
          <w:p>
            <w:pPr>
              <w:pStyle w:val="Normal"/>
              <w:widowControl/>
              <w:spacing w:before="0" w:after="0"/>
              <w:jc w:val="center"/>
              <w:rPr>
                <w:rFonts w:ascii="Arial" w:hAnsi="Arial" w:cs="Arial"/>
              </w:rPr>
            </w:pPr>
            <w:r>
              <w:rPr>
                <w:rFonts w:cs="Arial" w:ascii="Arial" w:hAnsi="Arial"/>
                <w:kern w:val="0"/>
                <w:sz w:val="20"/>
                <w:szCs w:val="20"/>
                <w:highlight w:val="yellow"/>
                <w:lang w:val="en-CA" w:eastAsia="zh-CN" w:bidi="ar-SA"/>
              </w:rPr>
              <w:t>&gt; $#,###</w:t>
            </w:r>
          </w:p>
        </w:tc>
        <w:tc>
          <w:tcPr>
            <w:tcW w:w="1710"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619" w:type="dxa"/>
            <w:tcBorders>
              <w:bottom w:val="single" w:sz="12" w:space="0" w:color="000000"/>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435"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4585" w:type="dxa"/>
            <w:gridSpan w:val="3"/>
            <w:tcBorders>
              <w:top w:val="single" w:sz="12" w:space="0" w:color="000000"/>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Total</w:t>
            </w:r>
          </w:p>
        </w:tc>
        <w:tc>
          <w:tcPr>
            <w:tcW w:w="1710"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619" w:type="dxa"/>
            <w:tcBorders>
              <w:top w:val="single" w:sz="12" w:space="0" w:color="000000"/>
            </w:tcBorders>
            <w:shd w:color="auto" w:fill="auto"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435"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bookmarkStart w:id="32" w:name="_Ref150333182"/>
      <w:r>
        <w:rPr/>
        <w:t xml:space="preserve">Table </w:t>
      </w:r>
      <w:r>
        <w:rPr/>
        <w:fldChar w:fldCharType="begin"/>
      </w:r>
      <w:r>
        <w:rPr/>
        <w:instrText> SEQ Table \* ARABIC </w:instrText>
      </w:r>
      <w:r>
        <w:rPr/>
        <w:fldChar w:fldCharType="separate"/>
      </w:r>
      <w:r>
        <w:rPr/>
        <w:t>9</w:t>
      </w:r>
      <w:r>
        <w:rPr/>
        <w:fldChar w:fldCharType="end"/>
      </w:r>
      <w:bookmarkEnd w:id="32"/>
      <w:r>
        <w:rPr/>
        <w:t>: Total households by actual monthly shelter cost paid in 2016 vs 2021 – [</w:t>
      </w:r>
      <w:r>
        <w:rPr>
          <w:highlight w:val="yellow"/>
        </w:rPr>
        <w:t>Community</w:t>
      </w:r>
      <w:r>
        <w:rPr/>
        <w:t>].</w:t>
      </w:r>
    </w:p>
    <w:p>
      <w:pPr>
        <w:pStyle w:val="Normal"/>
        <w:spacing w:lineRule="auto" w:line="259" w:before="0" w:after="160"/>
        <w:rPr/>
      </w:pPr>
      <w:r>
        <w:rPr/>
      </w:r>
      <w:r>
        <w:br w:type="page"/>
      </w:r>
    </w:p>
    <w:p>
      <w:pPr>
        <w:pStyle w:val="Normal"/>
        <w:rPr/>
      </w:pPr>
      <w:r>
        <w:rPr/>
        <w:t xml:space="preserve">We can compare how the change in median shelter cost against the change in median household income by looking at the median shelter costs indicated in the census profile on Statistics Canada’s website. The median shelter costs listed there are split by owner and renter households, but we can estimate the median shelter cost for all dwellings as the weighted average of those shelter costs, weighted by the number of renter and owner households – see </w:t>
      </w:r>
      <w:r>
        <w:rPr/>
        <w:fldChar w:fldCharType="begin"/>
      </w:r>
      <w:r>
        <w:rPr/>
        <w:instrText> REF _Ref151979329 \h </w:instrText>
      </w:r>
      <w:r>
        <w:rPr/>
        <w:fldChar w:fldCharType="separate"/>
      </w:r>
      <w:r>
        <w:rPr/>
        <w:t>Table 10</w:t>
      </w:r>
      <w:r>
        <w:rPr/>
        <w:fldChar w:fldCharType="end"/>
      </w:r>
      <w:r>
        <w:rPr/>
        <w:t xml:space="preserve"> below. </w:t>
      </w:r>
    </w:p>
    <w:p>
      <w:pPr>
        <w:pStyle w:val="Normal"/>
        <w:rPr/>
      </w:pPr>
      <w:r>
        <w:rPr/>
      </w:r>
    </w:p>
    <w:p>
      <w:pPr>
        <w:pStyle w:val="Normal"/>
        <w:rPr/>
      </w:pPr>
      <w:r>
        <w:rPr/>
      </w:r>
    </w:p>
    <w:tbl>
      <w:tblPr>
        <w:tblStyle w:val="TableGrid"/>
        <w:tblW w:w="79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144"/>
        <w:gridCol w:w="1620"/>
        <w:gridCol w:w="1530"/>
        <w:gridCol w:w="1620"/>
      </w:tblGrid>
      <w:tr>
        <w:trPr/>
        <w:tc>
          <w:tcPr>
            <w:tcW w:w="7914" w:type="dxa"/>
            <w:gridSpan w:val="4"/>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3144"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Census Year</w:t>
            </w:r>
          </w:p>
        </w:tc>
        <w:tc>
          <w:tcPr>
            <w:tcW w:w="1620"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2016</w:t>
            </w:r>
          </w:p>
        </w:tc>
        <w:tc>
          <w:tcPr>
            <w:tcW w:w="1530"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2021</w:t>
            </w:r>
          </w:p>
        </w:tc>
        <w:tc>
          <w:tcPr>
            <w:tcW w:w="1620"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2016-2021</w:t>
            </w:r>
          </w:p>
        </w:tc>
      </w:tr>
      <w:tr>
        <w:trPr/>
        <w:tc>
          <w:tcPr>
            <w:tcW w:w="3144" w:type="dxa"/>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Owner HHs (#)</w:t>
            </w:r>
          </w:p>
        </w:tc>
        <w:tc>
          <w:tcPr>
            <w:tcW w:w="1620"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620"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3144" w:type="dxa"/>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Median monthly shelter cost – Owned dwellings ($)</w:t>
            </w:r>
          </w:p>
        </w:tc>
        <w:tc>
          <w:tcPr>
            <w:tcW w:w="162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62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3144" w:type="dxa"/>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Renter HHs (#)</w:t>
            </w:r>
          </w:p>
        </w:tc>
        <w:tc>
          <w:tcPr>
            <w:tcW w:w="1620"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62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3144" w:type="dxa"/>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Median monthly shelter cost – Renter dwellings ($)</w:t>
            </w:r>
          </w:p>
        </w:tc>
        <w:tc>
          <w:tcPr>
            <w:tcW w:w="162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53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r>
          </w:p>
        </w:tc>
        <w:tc>
          <w:tcPr>
            <w:tcW w:w="162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3144" w:type="dxa"/>
            <w:tcBorders/>
            <w:shd w:color="auto" w:fill="538135" w:themeFill="accent6" w:themeFillShade="bf" w:val="clear"/>
          </w:tcPr>
          <w:p>
            <w:pPr>
              <w:pStyle w:val="Normal"/>
              <w:widowControl/>
              <w:spacing w:before="0" w:after="0"/>
              <w:jc w:val="left"/>
              <w:rPr>
                <w:rFonts w:ascii="Arial" w:hAnsi="Arial" w:cs="Arial"/>
                <w:b/>
                <w:b/>
                <w:color w:val="FFFFFF" w:themeColor="background1"/>
              </w:rPr>
            </w:pPr>
            <w:r>
              <w:rPr>
                <w:rFonts w:cs="Arial" w:ascii="Arial" w:hAnsi="Arial"/>
                <w:b/>
                <w:color w:val="FFFFFF" w:themeColor="background1"/>
                <w:kern w:val="0"/>
                <w:sz w:val="20"/>
                <w:szCs w:val="20"/>
                <w:lang w:val="en-CA" w:eastAsia="zh-CN" w:bidi="ar-SA"/>
              </w:rPr>
              <w:t>Implied median monthly shelter cost – All dwellings ($)</w:t>
            </w:r>
          </w:p>
        </w:tc>
        <w:tc>
          <w:tcPr>
            <w:tcW w:w="1620" w:type="dxa"/>
            <w:tcBorders/>
            <w:shd w:color="auto" w:fill="538135" w:themeFill="accent6" w:themeFillShade="bf" w:val="clear"/>
          </w:tcPr>
          <w:p>
            <w:pPr>
              <w:pStyle w:val="Normal"/>
              <w:widowControl/>
              <w:spacing w:before="0" w:after="0"/>
              <w:jc w:val="right"/>
              <w:rPr>
                <w:rFonts w:ascii="Arial" w:hAnsi="Arial" w:cs="Arial"/>
                <w:b/>
                <w:b/>
                <w:color w:val="FFFFFF" w:themeColor="background1"/>
                <w:highlight w:val="black"/>
              </w:rPr>
            </w:pPr>
            <w:r>
              <w:rPr>
                <w:rFonts w:cs="Arial" w:ascii="Arial" w:hAnsi="Arial"/>
                <w:b/>
                <w:color w:val="FFFFFF" w:themeColor="background1"/>
                <w:kern w:val="0"/>
                <w:sz w:val="20"/>
                <w:szCs w:val="20"/>
                <w:highlight w:val="black"/>
                <w:lang w:val="en-CA" w:eastAsia="zh-CN" w:bidi="ar-SA"/>
              </w:rPr>
              <w:t>$#,###</w:t>
            </w:r>
          </w:p>
        </w:tc>
        <w:tc>
          <w:tcPr>
            <w:tcW w:w="1530" w:type="dxa"/>
            <w:tcBorders/>
            <w:shd w:color="auto" w:fill="538135" w:themeFill="accent6" w:themeFillShade="bf" w:val="clear"/>
          </w:tcPr>
          <w:p>
            <w:pPr>
              <w:pStyle w:val="Normal"/>
              <w:widowControl/>
              <w:spacing w:before="0" w:after="0"/>
              <w:jc w:val="right"/>
              <w:rPr>
                <w:rFonts w:ascii="Arial" w:hAnsi="Arial" w:cs="Arial"/>
                <w:b/>
                <w:b/>
                <w:color w:val="FFFFFF" w:themeColor="background1"/>
              </w:rPr>
            </w:pPr>
            <w:r>
              <w:rPr>
                <w:rFonts w:cs="Arial" w:ascii="Arial" w:hAnsi="Arial"/>
                <w:b/>
                <w:color w:val="FFFFFF" w:themeColor="background1"/>
                <w:kern w:val="0"/>
                <w:sz w:val="20"/>
                <w:szCs w:val="20"/>
                <w:lang w:val="en-CA" w:eastAsia="zh-CN" w:bidi="ar-SA"/>
              </w:rPr>
            </w:r>
          </w:p>
        </w:tc>
        <w:tc>
          <w:tcPr>
            <w:tcW w:w="1620" w:type="dxa"/>
            <w:tcBorders/>
            <w:shd w:color="auto" w:fill="538135" w:themeFill="accent6" w:themeFillShade="bf" w:val="clear"/>
          </w:tcPr>
          <w:p>
            <w:pPr>
              <w:pStyle w:val="Normal"/>
              <w:keepNext w:val="true"/>
              <w:widowControl/>
              <w:spacing w:before="0" w:after="0"/>
              <w:jc w:val="right"/>
              <w:rPr>
                <w:rFonts w:ascii="Arial" w:hAnsi="Arial" w:cs="Arial"/>
                <w:b/>
                <w:b/>
                <w:color w:val="FFFFFF" w:themeColor="background1"/>
              </w:rPr>
            </w:pPr>
            <w:r>
              <w:rPr>
                <w:rFonts w:cs="Arial" w:ascii="Arial" w:hAnsi="Arial"/>
                <w:b/>
                <w:color w:val="FFFFFF" w:themeColor="background1"/>
                <w:kern w:val="0"/>
                <w:sz w:val="20"/>
                <w:szCs w:val="20"/>
                <w:lang w:val="en-CA" w:eastAsia="zh-CN" w:bidi="ar-SA"/>
              </w:rPr>
            </w:r>
          </w:p>
        </w:tc>
      </w:tr>
    </w:tbl>
    <w:p>
      <w:pPr>
        <w:pStyle w:val="Caption1"/>
        <w:jc w:val="center"/>
        <w:rPr/>
      </w:pPr>
      <w:bookmarkStart w:id="33" w:name="_Ref151979329"/>
      <w:r>
        <w:rPr/>
        <w:t xml:space="preserve">Table </w:t>
      </w:r>
      <w:r>
        <w:rPr/>
        <w:fldChar w:fldCharType="begin"/>
      </w:r>
      <w:r>
        <w:rPr/>
        <w:instrText> SEQ Table \* ARABIC </w:instrText>
      </w:r>
      <w:r>
        <w:rPr/>
        <w:fldChar w:fldCharType="separate"/>
      </w:r>
      <w:r>
        <w:rPr/>
        <w:t>10</w:t>
      </w:r>
      <w:r>
        <w:rPr/>
        <w:fldChar w:fldCharType="end"/>
      </w:r>
      <w:bookmarkEnd w:id="33"/>
      <w:r>
        <w:rPr/>
        <w:t>: Implied median monthly shelter cost in 2016 vs 2021 – [</w:t>
      </w:r>
      <w:r>
        <w:rPr>
          <w:highlight w:val="yellow"/>
        </w:rPr>
        <w:t>Community</w:t>
      </w:r>
      <w:r>
        <w:rPr/>
        <w:t>]</w:t>
      </w:r>
    </w:p>
    <w:p>
      <w:pPr>
        <w:pStyle w:val="Normal"/>
        <w:spacing w:lineRule="auto" w:line="259" w:before="0" w:after="160"/>
        <w:rPr>
          <w:rFonts w:ascii="Bahnschrift" w:hAnsi="Bahnschrift" w:eastAsia="等线 Light" w:cs="" w:cstheme="majorBidi" w:eastAsiaTheme="majorEastAsia"/>
          <w:color w:val="00B0F0"/>
          <w:sz w:val="32"/>
          <w:szCs w:val="32"/>
        </w:rPr>
      </w:pPr>
      <w:r>
        <w:rPr>
          <w:rFonts w:eastAsia="等线 Light" w:cs="" w:cstheme="majorBidi" w:eastAsiaTheme="majorEastAsia" w:ascii="Bahnschrift" w:hAnsi="Bahnschrift"/>
          <w:color w:val="00B0F0"/>
          <w:sz w:val="32"/>
          <w:szCs w:val="32"/>
        </w:rPr>
      </w:r>
      <w:r>
        <w:br w:type="page"/>
      </w:r>
    </w:p>
    <w:p>
      <w:pPr>
        <w:pStyle w:val="Heading1"/>
        <w:rPr/>
      </w:pPr>
      <w:bookmarkStart w:id="34" w:name="_Toc156309944"/>
      <w:r>
        <w:rPr/>
        <w:t>Part 2: Existing Housing Need in 2021</w:t>
      </w:r>
      <w:bookmarkEnd w:id="34"/>
    </w:p>
    <w:p>
      <w:pPr>
        <w:pStyle w:val="Normal"/>
        <w:rPr/>
      </w:pPr>
      <w:r>
        <w:rPr/>
      </w:r>
    </w:p>
    <w:p>
      <w:pPr>
        <w:pStyle w:val="Normal"/>
        <w:rPr/>
      </w:pPr>
      <w:r>
        <w:rPr/>
        <w:t xml:space="preserve">This section will explore Core Housing Need (CHN) at the CSD level for those communities in </w:t>
      </w:r>
      <w:r>
        <w:rPr/>
        <w:fldChar w:fldCharType="begin"/>
      </w:r>
      <w:r>
        <w:rPr/>
        <w:instrText> REF _Ref150334055 \h </w:instrText>
      </w:r>
      <w:r>
        <w:rPr/>
        <w:fldChar w:fldCharType="separate"/>
      </w:r>
      <w:r>
        <w:rPr/>
        <w:t>Table 2</w:t>
      </w:r>
      <w:r>
        <w:rPr/>
        <w:fldChar w:fldCharType="end"/>
      </w:r>
      <w:r>
        <w:rPr/>
        <w:t>. CHN will be explored from several different dimensions: affordability, size of household, tenure, and amongst vulnerable populations.</w:t>
      </w:r>
    </w:p>
    <w:p>
      <w:pPr>
        <w:pStyle w:val="Normal"/>
        <w:rPr/>
      </w:pPr>
      <w:r>
        <w:rPr/>
      </w:r>
    </w:p>
    <w:p>
      <w:pPr>
        <w:pStyle w:val="Normal"/>
        <w:rPr/>
      </w:pPr>
      <w:r>
        <w:rPr/>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pPr>
        <w:pStyle w:val="Normal"/>
        <w:rPr/>
      </w:pPr>
      <w:r>
        <w:rPr/>
      </w:r>
    </w:p>
    <w:p>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Very low income:</w:t>
      </w:r>
      <w:r>
        <w:rPr>
          <w:rStyle w:val="Emphasisblue"/>
          <w:rFonts w:ascii="Bahnschrift Light" w:hAnsi="Bahnschrift Light"/>
          <w:sz w:val="20"/>
          <w:szCs w:val="20"/>
        </w:rPr>
        <w:t xml:space="preserve"> </w:t>
      </w:r>
      <w:r>
        <w:rPr>
          <w:rFonts w:ascii="Bahnschrift Light" w:hAnsi="Bahnschrift Light"/>
          <w:sz w:val="20"/>
          <w:szCs w:val="20"/>
        </w:rPr>
        <w:t xml:space="preserve">20% or less of Area Median Income (AMHI), generally equivalent to shelter allowance for welfare recipients. </w:t>
      </w:r>
    </w:p>
    <w:p>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Low income:</w:t>
      </w:r>
      <w:r>
        <w:rPr>
          <w:rFonts w:ascii="Bahnschrift Light" w:hAnsi="Bahnschrift Light"/>
          <w:sz w:val="20"/>
          <w:szCs w:val="20"/>
        </w:rPr>
        <w:t xml:space="preserve"> 21-50% AMHI, equivalent to one full-time minimum wage job. </w:t>
      </w:r>
    </w:p>
    <w:p>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Moderate income:</w:t>
      </w:r>
      <w:r>
        <w:rPr>
          <w:rFonts w:ascii="Bahnschrift Light" w:hAnsi="Bahnschrift Light"/>
          <w:sz w:val="20"/>
          <w:szCs w:val="20"/>
        </w:rPr>
        <w:t xml:space="preserve"> 51-80% AMHI, equivalent to starting salary for a professional job.</w:t>
      </w:r>
    </w:p>
    <w:p>
      <w:pPr>
        <w:pStyle w:val="Bullets"/>
        <w:numPr>
          <w:ilvl w:val="0"/>
          <w:numId w:val="4"/>
        </w:numPr>
        <w:rPr>
          <w:rFonts w:ascii="Bahnschrift Light" w:hAnsi="Bahnschrift Light"/>
          <w:i/>
          <w:i/>
          <w:iCs/>
          <w:sz w:val="20"/>
          <w:szCs w:val="20"/>
        </w:rPr>
      </w:pPr>
      <w:r>
        <w:rPr>
          <w:rStyle w:val="Emphasisgreen"/>
          <w:rFonts w:ascii="Bahnschrift Light" w:hAnsi="Bahnschrift Light"/>
          <w:sz w:val="20"/>
          <w:szCs w:val="20"/>
        </w:rPr>
        <w:t>Average Income:</w:t>
      </w:r>
      <w:r>
        <w:rPr>
          <w:rFonts w:ascii="Bahnschrift Light" w:hAnsi="Bahnschrift Light"/>
          <w:sz w:val="20"/>
          <w:szCs w:val="20"/>
        </w:rPr>
        <w:t xml:space="preserve"> 81-120% AMHI, representing about 20% of total Canadian households. </w:t>
      </w:r>
    </w:p>
    <w:p>
      <w:pPr>
        <w:pStyle w:val="Bullets"/>
        <w:numPr>
          <w:ilvl w:val="0"/>
          <w:numId w:val="4"/>
        </w:numPr>
        <w:rPr>
          <w:rFonts w:ascii="Bahnschrift Light" w:hAnsi="Bahnschrift Light" w:eastAsia="Times New Roman" w:cs="Times New Roman"/>
          <w:color w:val="auto"/>
          <w:sz w:val="20"/>
          <w:szCs w:val="20"/>
        </w:rPr>
      </w:pPr>
      <w:r>
        <w:rPr>
          <w:rStyle w:val="Emphasisgreen"/>
          <w:rFonts w:eastAsia="等线 Light" w:ascii="Bahnschrift Light" w:hAnsi="Bahnschrift Light" w:eastAsiaTheme="majorEastAsia"/>
          <w:sz w:val="20"/>
          <w:szCs w:val="20"/>
        </w:rPr>
        <w:t>High Income:</w:t>
      </w:r>
      <w:r>
        <w:rPr>
          <w:rFonts w:ascii="Bahnschrift Light" w:hAnsi="Bahnschrift Light"/>
          <w:sz w:val="20"/>
          <w:szCs w:val="20"/>
        </w:rPr>
        <w:t xml:space="preserve"> More than 120% AMHI, approximately 40% of Canadian households.</w:t>
      </w:r>
    </w:p>
    <w:p>
      <w:pPr>
        <w:pStyle w:val="Normal"/>
        <w:rPr/>
      </w:pPr>
      <w:r>
        <w:rPr/>
        <w:br/>
        <w:t>To calculate the affordable shelter cost for each group we apply the 30% shelter-cost-to-income benchmark to the range of household incomes captured in each income group. We also convert the annual incomes into monthly affordable shelter costs since rents, mortgages, and utilities are usually paid monthly. Appendix A has the complete tables of incomes and affordable shelter costs for each income group, by community, for census years 2016 and 2021.</w:t>
      </w:r>
    </w:p>
    <w:p>
      <w:pPr>
        <w:pStyle w:val="Normal"/>
        <w:rPr/>
      </w:pPr>
      <w:r>
        <w:rPr/>
      </w:r>
    </w:p>
    <w:p>
      <w:pPr>
        <w:pStyle w:val="Normal"/>
        <w:rPr>
          <w:i/>
          <w:i/>
        </w:rPr>
      </w:pPr>
      <w:r>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Heading2"/>
        <w:shd w:fill="FFFFFF" w:val="clear"/>
        <w:spacing w:before="280" w:after="280"/>
        <w:rPr/>
      </w:pPr>
      <w:bookmarkStart w:id="35" w:name="_Toc156309945"/>
      <w:r>
        <w:rPr/>
        <w:t>Note on Private Households vs Households Examined for Core Housing Need</w:t>
      </w:r>
      <w:bookmarkEnd w:id="35"/>
    </w:p>
    <w:p>
      <w:pPr>
        <w:pStyle w:val="Normal"/>
        <w:rPr/>
      </w:pPr>
      <w:r>
        <w:rPr/>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Pr>
          <w:u w:val="single"/>
        </w:rPr>
        <w:t>rate of CHN</w:t>
      </w:r>
      <w:r>
        <w:rPr/>
        <w:t xml:space="preserve">, it is more accurate to compare those HHs in CHN with those HHs that were </w:t>
      </w:r>
      <w:r>
        <w:rPr>
          <w:u w:val="single"/>
        </w:rPr>
        <w:t>examined for CHN</w:t>
      </w:r>
      <w:r>
        <w:rPr/>
        <w:t xml:space="preserve">. The difference is trivial sometimes, but other times there may be a significant difference between the two. Looking at </w:t>
      </w:r>
      <w:r>
        <w:rPr/>
        <w:fldChar w:fldCharType="begin"/>
      </w:r>
      <w:r>
        <w:rPr/>
        <w:instrText> REF _Ref150333895 \h </w:instrText>
      </w:r>
      <w:r>
        <w:rPr/>
        <w:fldChar w:fldCharType="separate"/>
      </w:r>
      <w:r>
        <w:rPr/>
        <w:t>Table 11</w:t>
      </w:r>
      <w:r>
        <w:rPr/>
        <w:fldChar w:fldCharType="end"/>
      </w:r>
      <w:r>
        <w:rPr/>
        <w:t xml:space="preserve"> </w:t>
      </w:r>
      <w:r>
        <w:rPr/>
        <w:fldChar w:fldCharType="begin"/>
      </w:r>
      <w:r>
        <w:rPr/>
        <w:instrText> REF _Ref150333905 \p \h </w:instrText>
      </w:r>
      <w:r>
        <w:rPr/>
        <w:fldChar w:fldCharType="separate"/>
      </w:r>
      <w:r>
        <w:rPr/>
        <w:t>below</w:t>
      </w:r>
      <w:r>
        <w:rPr/>
        <w:fldChar w:fldCharType="end"/>
      </w:r>
      <w:r>
        <w:rPr/>
        <w:t xml:space="preserve"> for example, Lennox and Addington had about 270 private households that were not examined for CHN in 2016.</w:t>
      </w:r>
    </w:p>
    <w:p>
      <w:pPr>
        <w:pStyle w:val="Normal"/>
        <w:rPr/>
      </w:pPr>
      <w:r>
        <w:rPr/>
      </w:r>
    </w:p>
    <w:tbl>
      <w:tblPr>
        <w:tblStyle w:val="TableGrid"/>
        <w:tblW w:w="560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68"/>
        <w:gridCol w:w="1868"/>
        <w:gridCol w:w="1868"/>
      </w:tblGrid>
      <w:tr>
        <w:trPr/>
        <w:tc>
          <w:tcPr>
            <w:tcW w:w="1868" w:type="dxa"/>
            <w:tcBorders>
              <w:right w:val="single" w:sz="12" w:space="0" w:color="000000"/>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3736" w:type="dxa"/>
            <w:gridSpan w:val="2"/>
            <w:tcBorders>
              <w:top w:val="single" w:sz="12" w:space="0" w:color="000000"/>
              <w:left w:val="single" w:sz="12" w:space="0" w:color="000000"/>
              <w:right w:val="single" w:sz="12" w:space="0" w:color="000000"/>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868" w:type="dxa"/>
            <w:tcBorders>
              <w:right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Census Year</w:t>
            </w:r>
          </w:p>
        </w:tc>
        <w:tc>
          <w:tcPr>
            <w:tcW w:w="1868" w:type="dxa"/>
            <w:tcBorders>
              <w:left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2016</w:t>
            </w:r>
          </w:p>
        </w:tc>
        <w:tc>
          <w:tcPr>
            <w:tcW w:w="1868" w:type="dxa"/>
            <w:tcBorders>
              <w:right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2021</w:t>
            </w:r>
          </w:p>
        </w:tc>
      </w:tr>
      <w:tr>
        <w:trPr/>
        <w:tc>
          <w:tcPr>
            <w:tcW w:w="1868" w:type="dxa"/>
            <w:tcBorders>
              <w:right w:val="single" w:sz="12" w:space="0" w:color="000000"/>
            </w:tcBorders>
            <w:shd w:color="auto" w:fill="FFFFFF" w:themeFill="background1"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 – Private HHs</w:t>
            </w:r>
          </w:p>
        </w:tc>
        <w:tc>
          <w:tcPr>
            <w:tcW w:w="1868" w:type="dxa"/>
            <w:tcBorders>
              <w:left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right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68" w:type="dxa"/>
            <w:tcBorders>
              <w:right w:val="single" w:sz="12" w:space="0" w:color="000000"/>
            </w:tcBorders>
            <w:shd w:color="auto" w:fill="FFFFFF" w:themeFill="background1"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HHs Examined for CHN</w:t>
            </w:r>
          </w:p>
        </w:tc>
        <w:tc>
          <w:tcPr>
            <w:tcW w:w="1868" w:type="dxa"/>
            <w:tcBorders>
              <w:left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right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68" w:type="dxa"/>
            <w:tcBorders>
              <w:right w:val="single" w:sz="12" w:space="0" w:color="000000"/>
            </w:tcBorders>
            <w:shd w:color="auto" w:fill="FFFFFF" w:themeFill="background1"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HHs in CHN</w:t>
            </w:r>
          </w:p>
        </w:tc>
        <w:tc>
          <w:tcPr>
            <w:tcW w:w="1868" w:type="dxa"/>
            <w:tcBorders>
              <w:left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right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68" w:type="dxa"/>
            <w:tcBorders>
              <w:right w:val="single" w:sz="12" w:space="0" w:color="000000"/>
            </w:tcBorders>
            <w:shd w:color="auto" w:fill="FFFFFF" w:themeFill="background1"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 of HHs in CHN</w:t>
            </w:r>
          </w:p>
        </w:tc>
        <w:tc>
          <w:tcPr>
            <w:tcW w:w="1868" w:type="dxa"/>
            <w:tcBorders>
              <w:left w:val="single" w:sz="12" w:space="0" w:color="000000"/>
              <w:bottom w:val="single" w:sz="12" w:space="0" w:color="000000"/>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868" w:type="dxa"/>
            <w:tcBorders>
              <w:bottom w:val="single" w:sz="12" w:space="0" w:color="000000"/>
              <w:right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bl>
    <w:p>
      <w:pPr>
        <w:pStyle w:val="Caption1"/>
        <w:jc w:val="center"/>
        <w:rPr/>
      </w:pPr>
      <w:bookmarkStart w:id="36" w:name="_Ref150333905"/>
      <w:bookmarkStart w:id="37" w:name="_Ref150333895"/>
      <w:r>
        <w:rPr/>
        <w:t xml:space="preserve">Table </w:t>
      </w:r>
      <w:r>
        <w:rPr/>
        <w:fldChar w:fldCharType="begin"/>
      </w:r>
      <w:r>
        <w:rPr/>
        <w:instrText> SEQ Table \* ARABIC </w:instrText>
      </w:r>
      <w:r>
        <w:rPr/>
        <w:fldChar w:fldCharType="separate"/>
      </w:r>
      <w:r>
        <w:rPr/>
        <w:t>11</w:t>
      </w:r>
      <w:r>
        <w:rPr/>
        <w:fldChar w:fldCharType="end"/>
      </w:r>
      <w:bookmarkEnd w:id="37"/>
      <w:r>
        <w:rPr/>
        <w:t xml:space="preserve">: Total Private Households, Households Examined for CHN, and HHs in CHN for 2016 and 2021 – </w:t>
      </w:r>
      <w:bookmarkEnd w:id="36"/>
      <w:r>
        <w:rPr/>
        <w:t>[</w:t>
      </w:r>
      <w:r>
        <w:rPr>
          <w:highlight w:val="yellow"/>
        </w:rPr>
        <w:t>Community</w:t>
      </w:r>
      <w:r>
        <w:rPr/>
        <w:t>]</w:t>
      </w:r>
    </w:p>
    <w:p>
      <w:pPr>
        <w:pStyle w:val="Normal"/>
        <w:spacing w:lineRule="auto" w:line="259" w:before="0" w:after="160"/>
        <w:rPr>
          <w:i/>
          <w:i/>
          <w:iCs/>
          <w:color w:val="44546A" w:themeColor="text2"/>
          <w:sz w:val="18"/>
          <w:szCs w:val="18"/>
        </w:rPr>
      </w:pPr>
      <w:r>
        <w:rPr>
          <w:i/>
          <w:iCs/>
          <w:color w:val="44546A" w:themeColor="text2"/>
          <w:sz w:val="18"/>
          <w:szCs w:val="18"/>
        </w:rPr>
      </w:r>
      <w:r>
        <w:br w:type="page"/>
      </w:r>
    </w:p>
    <w:p>
      <w:pPr>
        <w:pStyle w:val="Heading2"/>
        <w:shd w:fill="FFFFFF" w:val="clear"/>
        <w:spacing w:before="280" w:after="280"/>
        <w:rPr/>
      </w:pPr>
      <w:bookmarkStart w:id="38" w:name="_Toc156309946"/>
      <w:r>
        <w:rPr/>
        <w:t>Core Housing Need by Income/Affordability</w:t>
      </w:r>
      <w:bookmarkEnd w:id="38"/>
    </w:p>
    <w:p>
      <w:pPr>
        <w:pStyle w:val="Normal"/>
        <w:rPr>
          <w:highlight w:val="yellow"/>
        </w:rPr>
      </w:pPr>
      <w:r>
        <w:rPr>
          <w:highlight w:val="yellow"/>
        </w:rPr>
      </w:r>
    </w:p>
    <w:tbl>
      <w:tblPr>
        <w:tblStyle w:val="TableGrid"/>
        <w:tblW w:w="386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64"/>
        <w:gridCol w:w="1541"/>
        <w:gridCol w:w="1260"/>
      </w:tblGrid>
      <w:tr>
        <w:trPr/>
        <w:tc>
          <w:tcPr>
            <w:tcW w:w="2605" w:type="dxa"/>
            <w:gridSpan w:val="2"/>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1 of 2) – CDs</w:t>
            </w:r>
          </w:p>
        </w:tc>
        <w:tc>
          <w:tcPr>
            <w:tcW w:w="126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064"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801"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r>
      <w:tr>
        <w:trPr/>
        <w:tc>
          <w:tcPr>
            <w:tcW w:w="1064"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Income</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1541"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541"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26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12</w:t>
      </w:r>
      <w:r>
        <w:rPr/>
        <w:fldChar w:fldCharType="end"/>
      </w:r>
      <w:r>
        <w:rPr/>
        <w:t>: Households in core housing need, and the rate of core housing need, by income in 2016 – [</w:t>
      </w:r>
      <w:r>
        <w:rPr>
          <w:highlight w:val="yellow"/>
        </w:rPr>
        <w:t>Community</w:t>
      </w:r>
      <w:r>
        <w:rPr/>
        <w:t>].</w:t>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20"/>
        <w:gridCol w:w="1114"/>
        <w:gridCol w:w="1080"/>
        <w:gridCol w:w="990"/>
        <w:gridCol w:w="990"/>
        <w:gridCol w:w="1080"/>
        <w:gridCol w:w="901"/>
        <w:gridCol w:w="990"/>
        <w:gridCol w:w="984"/>
      </w:tblGrid>
      <w:tr>
        <w:trPr/>
        <w:tc>
          <w:tcPr>
            <w:tcW w:w="3414" w:type="dxa"/>
            <w:gridSpan w:val="3"/>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2 of 2) – CSDs</w:t>
            </w:r>
          </w:p>
        </w:tc>
        <w:tc>
          <w:tcPr>
            <w:tcW w:w="99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9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8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0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9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84" w:type="dxa"/>
            <w:tcBorders>
              <w:lef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22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94"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0"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1"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74"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r>
      <w:tr>
        <w:trPr/>
        <w:tc>
          <w:tcPr>
            <w:tcW w:w="1220"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Income</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1114"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08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1114"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bottom w:val="single" w:sz="12" w:space="0" w:color="000000"/>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bottom w:val="single" w:sz="12" w:space="0" w:color="000000"/>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114"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8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90"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9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80" w:type="dxa"/>
            <w:tcBorders>
              <w:top w:val="single" w:sz="12" w:space="0" w:color="000000"/>
            </w:tcBorders>
            <w:shd w:color="auto" w:fill="auto"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90" w:type="dxa"/>
            <w:tcBorders>
              <w:top w:val="single" w:sz="12" w:space="0" w:color="000000"/>
            </w:tcBorders>
            <w:shd w:color="auto" w:fill="auto"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84"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13</w:t>
      </w:r>
      <w:r>
        <w:rPr/>
        <w:fldChar w:fldCharType="end"/>
      </w:r>
      <w:r>
        <w:rPr/>
        <w:t>: Households in core housing need, and the rate of core housing need, by income in 2016 – [</w:t>
      </w:r>
      <w:r>
        <w:rPr>
          <w:highlight w:val="yellow"/>
        </w:rPr>
        <w:t>Community</w:t>
      </w:r>
      <w:r>
        <w:rPr/>
        <w:t>]</w:t>
      </w:r>
    </w:p>
    <w:p>
      <w:pPr>
        <w:pStyle w:val="Normal"/>
        <w:spacing w:lineRule="auto" w:line="259" w:before="0" w:after="160"/>
        <w:rPr/>
      </w:pPr>
      <w:r>
        <w:rPr/>
      </w:r>
      <w:r>
        <w:br w:type="page"/>
      </w:r>
    </w:p>
    <w:p>
      <w:pPr>
        <w:pStyle w:val="Normal"/>
        <w:rPr>
          <w:highlight w:val="yellow"/>
        </w:rPr>
      </w:pPr>
      <w:r>
        <w:rPr>
          <w:highlight w:val="yellow"/>
        </w:rPr>
      </w:r>
    </w:p>
    <w:tbl>
      <w:tblPr>
        <w:tblStyle w:val="TableGrid"/>
        <w:tblW w:w="386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64"/>
        <w:gridCol w:w="1541"/>
        <w:gridCol w:w="1260"/>
      </w:tblGrid>
      <w:tr>
        <w:trPr/>
        <w:tc>
          <w:tcPr>
            <w:tcW w:w="2605" w:type="dxa"/>
            <w:gridSpan w:val="2"/>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1 of 2) – CDs</w:t>
            </w:r>
          </w:p>
        </w:tc>
        <w:tc>
          <w:tcPr>
            <w:tcW w:w="126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064"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801"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064"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Income</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r>
              <w:rPr>
                <w:rFonts w:cs="Arial" w:ascii="Arial" w:hAnsi="Arial"/>
                <w:color w:val="FF0000"/>
                <w:kern w:val="0"/>
                <w:sz w:val="20"/>
                <w:szCs w:val="20"/>
                <w:highlight w:val="yellow"/>
                <w:lang w:val="en-CA" w:eastAsia="zh-CN" w:bidi="ar-SA"/>
              </w:rPr>
              <w:t>-##%</w:t>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154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1541"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064"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541"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26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14</w:t>
      </w:r>
      <w:r>
        <w:rPr/>
        <w:fldChar w:fldCharType="end"/>
      </w:r>
      <w:r>
        <w:rPr/>
        <w:t>: Households in core housing need, and the rate of core housing need, by income in 2021 – [</w:t>
      </w:r>
      <w:r>
        <w:rPr>
          <w:highlight w:val="yellow"/>
        </w:rPr>
        <w:t>Community</w:t>
      </w:r>
      <w:r>
        <w:rPr/>
        <w:t>].</w:t>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20"/>
        <w:gridCol w:w="1114"/>
        <w:gridCol w:w="1080"/>
        <w:gridCol w:w="990"/>
        <w:gridCol w:w="990"/>
        <w:gridCol w:w="1080"/>
        <w:gridCol w:w="901"/>
        <w:gridCol w:w="990"/>
        <w:gridCol w:w="984"/>
      </w:tblGrid>
      <w:tr>
        <w:trPr/>
        <w:tc>
          <w:tcPr>
            <w:tcW w:w="3414" w:type="dxa"/>
            <w:gridSpan w:val="3"/>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2 of 2) – CSDs</w:t>
            </w:r>
          </w:p>
        </w:tc>
        <w:tc>
          <w:tcPr>
            <w:tcW w:w="99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9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8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0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9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84" w:type="dxa"/>
            <w:tcBorders>
              <w:lef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22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94"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0"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81"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c>
          <w:tcPr>
            <w:tcW w:w="1974"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w:t>
            </w:r>
            <w:r>
              <w:rPr>
                <w:rFonts w:cs="Arial" w:ascii="Arial" w:hAnsi="Arial"/>
                <w:b/>
                <w:kern w:val="0"/>
                <w:sz w:val="20"/>
                <w:szCs w:val="20"/>
                <w:lang w:val="en-CA" w:eastAsia="zh-CN" w:bidi="ar-SA"/>
              </w:rPr>
              <w:t>]</w:t>
            </w:r>
          </w:p>
        </w:tc>
      </w:tr>
      <w:tr>
        <w:trPr/>
        <w:tc>
          <w:tcPr>
            <w:tcW w:w="1220"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Income</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1114"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080"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111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1114"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80" w:type="dxa"/>
            <w:tcBorders>
              <w:bottom w:val="single" w:sz="12" w:space="0" w:color="000000"/>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90" w:type="dxa"/>
            <w:tcBorders>
              <w:bottom w:val="single" w:sz="12" w:space="0" w:color="000000"/>
            </w:tcBorders>
            <w:shd w:color="auto" w:fill="auto"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84"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220"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114"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8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90"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9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80" w:type="dxa"/>
            <w:tcBorders>
              <w:top w:val="single" w:sz="12" w:space="0" w:color="000000"/>
            </w:tcBorders>
            <w:shd w:color="auto" w:fill="auto"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90" w:type="dxa"/>
            <w:tcBorders>
              <w:top w:val="single" w:sz="12" w:space="0" w:color="000000"/>
            </w:tcBorders>
            <w:shd w:color="auto" w:fill="auto"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84"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15</w:t>
      </w:r>
      <w:r>
        <w:rPr/>
        <w:fldChar w:fldCharType="end"/>
      </w:r>
      <w:r>
        <w:rPr/>
        <w:t>: Households in core housing need, and the rate of core housing need, by income in 2021 – [</w:t>
      </w:r>
      <w:r>
        <w:rPr>
          <w:highlight w:val="yellow"/>
        </w:rPr>
        <w:t>Community</w:t>
      </w:r>
      <w:r>
        <w:rPr/>
        <w:t>]</w:t>
      </w:r>
    </w:p>
    <w:p>
      <w:pPr>
        <w:pStyle w:val="Normal"/>
        <w:spacing w:lineRule="auto" w:line="259" w:before="0" w:after="160"/>
        <w:rPr/>
      </w:pPr>
      <w:r>
        <w:rPr/>
      </w:r>
    </w:p>
    <w:p>
      <w:pPr>
        <w:pStyle w:val="Normal"/>
        <w:rPr>
          <w:rFonts w:ascii="Bahnschrift" w:hAnsi="Bahnschrift"/>
        </w:rPr>
      </w:pPr>
      <w:r>
        <w:rPr>
          <w:rFonts w:ascii="Bahnschrift" w:hAnsi="Bahnschrift"/>
        </w:rPr>
      </w:r>
      <w:r>
        <w:br w:type="page"/>
      </w:r>
    </w:p>
    <w:p>
      <w:pPr>
        <w:pStyle w:val="Heading2"/>
        <w:shd w:fill="FFFFFF" w:val="clear"/>
        <w:spacing w:before="280" w:after="280"/>
        <w:rPr/>
      </w:pPr>
      <w:bookmarkStart w:id="39" w:name="_Toc156309947"/>
      <w:r>
        <w:rPr/>
        <w:t>Core Housing Need by Household Size</w:t>
      </w:r>
      <w:bookmarkEnd w:id="39"/>
    </w:p>
    <w:p>
      <w:pPr>
        <w:pStyle w:val="Caption1"/>
        <w:jc w:val="center"/>
        <w:rPr/>
      </w:pPr>
      <w:r>
        <w:rPr/>
      </w:r>
    </w:p>
    <w:tbl>
      <w:tblPr>
        <w:tblStyle w:val="TableGrid"/>
        <w:tblW w:w="463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850"/>
        <w:gridCol w:w="1527"/>
        <w:gridCol w:w="1261"/>
      </w:tblGrid>
      <w:tr>
        <w:trPr/>
        <w:tc>
          <w:tcPr>
            <w:tcW w:w="3377" w:type="dxa"/>
            <w:gridSpan w:val="2"/>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1 of 2) – CDs</w:t>
            </w:r>
          </w:p>
        </w:tc>
        <w:tc>
          <w:tcPr>
            <w:tcW w:w="126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85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788"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highlight w:val="yellow"/>
                <w:lang w:val="en-CA" w:eastAsia="zh-CN" w:bidi="ar-SA"/>
              </w:rPr>
              <w:t>[Community CD]</w:t>
            </w:r>
          </w:p>
        </w:tc>
      </w:tr>
      <w:tr>
        <w:trPr/>
        <w:tc>
          <w:tcPr>
            <w:tcW w:w="1850"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or more</w:t>
            </w:r>
          </w:p>
        </w:tc>
        <w:tc>
          <w:tcPr>
            <w:tcW w:w="1527"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527"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26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16</w:t>
      </w:r>
      <w:r>
        <w:rPr/>
        <w:fldChar w:fldCharType="end"/>
      </w:r>
      <w:r>
        <w:rPr/>
        <w:t>: Households in core housing need, and the rate of core housing need, by household size in 2016 – [</w:t>
      </w:r>
      <w:r>
        <w:rPr>
          <w:highlight w:val="yellow"/>
        </w:rPr>
        <w:t>Community</w:t>
      </w:r>
      <w:r>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24"/>
        <w:gridCol w:w="1067"/>
        <w:gridCol w:w="915"/>
        <w:gridCol w:w="1036"/>
        <w:gridCol w:w="911"/>
        <w:gridCol w:w="1036"/>
        <w:gridCol w:w="913"/>
        <w:gridCol w:w="1036"/>
        <w:gridCol w:w="911"/>
      </w:tblGrid>
      <w:tr>
        <w:trPr/>
        <w:tc>
          <w:tcPr>
            <w:tcW w:w="2591" w:type="dxa"/>
            <w:gridSpan w:val="2"/>
            <w:tcBorders>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2016 (table 2 of 2) - CSDs</w:t>
            </w:r>
          </w:p>
        </w:tc>
        <w:tc>
          <w:tcPr>
            <w:tcW w:w="915"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3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1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3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13"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3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11" w:type="dxa"/>
            <w:tcBorders>
              <w:lef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524"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982"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highlight w:val="yellow"/>
                <w:lang w:val="en-CA" w:eastAsia="zh-CN" w:bidi="ar-SA"/>
              </w:rPr>
              <w:t>[Community CSD]</w:t>
            </w:r>
          </w:p>
        </w:tc>
        <w:tc>
          <w:tcPr>
            <w:tcW w:w="1947"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49"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47"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067"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915" w:type="dxa"/>
            <w:tcBorders/>
            <w:shd w:color="auto" w:fill="E2EFD9" w:themeFill="accent6" w:themeFillTint="33"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or more</w:t>
            </w:r>
          </w:p>
        </w:tc>
        <w:tc>
          <w:tcPr>
            <w:tcW w:w="1067"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067"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5"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36"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36"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3"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36"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1"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17</w:t>
      </w:r>
      <w:r>
        <w:rPr/>
        <w:fldChar w:fldCharType="end"/>
      </w:r>
      <w:r>
        <w:rPr/>
        <w:t>: HHs in CHN, and the rate of CHN, by household size in 2016 [</w:t>
      </w:r>
      <w:r>
        <w:rPr>
          <w:highlight w:val="yellow"/>
        </w:rPr>
        <w:t>Community</w:t>
      </w:r>
      <w:r>
        <w:rPr/>
        <w:t>]</w:t>
      </w:r>
    </w:p>
    <w:p>
      <w:pPr>
        <w:pStyle w:val="Normal"/>
        <w:rPr/>
      </w:pPr>
      <w:r>
        <w:rPr/>
      </w:r>
    </w:p>
    <w:p>
      <w:pPr>
        <w:pStyle w:val="Normal"/>
        <w:spacing w:lineRule="auto" w:line="259" w:before="0" w:after="160"/>
        <w:rPr/>
      </w:pPr>
      <w:r>
        <w:rPr/>
      </w:r>
      <w:r>
        <w:br w:type="page"/>
      </w:r>
    </w:p>
    <w:tbl>
      <w:tblPr>
        <w:tblStyle w:val="TableGrid"/>
        <w:tblW w:w="463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850"/>
        <w:gridCol w:w="1527"/>
        <w:gridCol w:w="1261"/>
      </w:tblGrid>
      <w:tr>
        <w:trPr/>
        <w:tc>
          <w:tcPr>
            <w:tcW w:w="3377" w:type="dxa"/>
            <w:gridSpan w:val="2"/>
            <w:tcBorders>
              <w:right w:val="nil"/>
            </w:tcBorders>
          </w:tcPr>
          <w:p>
            <w:pPr>
              <w:pStyle w:val="Normal"/>
              <w:pageBreakBefore/>
              <w:widowControl/>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1 of 2) – CDs</w:t>
            </w:r>
          </w:p>
        </w:tc>
        <w:tc>
          <w:tcPr>
            <w:tcW w:w="126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85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788"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highlight w:val="yellow"/>
                <w:lang w:val="en-CA" w:eastAsia="zh-CN" w:bidi="ar-SA"/>
              </w:rPr>
              <w:t>[Community CD]</w:t>
            </w:r>
          </w:p>
        </w:tc>
      </w:tr>
      <w:tr>
        <w:trPr/>
        <w:tc>
          <w:tcPr>
            <w:tcW w:w="1850"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5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or more</w:t>
            </w:r>
          </w:p>
        </w:tc>
        <w:tc>
          <w:tcPr>
            <w:tcW w:w="1527"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26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850"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527"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26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18</w:t>
      </w:r>
      <w:r>
        <w:rPr/>
        <w:fldChar w:fldCharType="end"/>
      </w:r>
      <w:r>
        <w:rPr/>
        <w:t>: Households in core housing need, and the rate of core housing need, by household size in 2021 – [</w:t>
      </w:r>
      <w:r>
        <w:rPr>
          <w:highlight w:val="yellow"/>
        </w:rPr>
        <w:t>Community</w:t>
      </w:r>
      <w:r>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524"/>
        <w:gridCol w:w="1067"/>
        <w:gridCol w:w="915"/>
        <w:gridCol w:w="1036"/>
        <w:gridCol w:w="911"/>
        <w:gridCol w:w="1036"/>
        <w:gridCol w:w="913"/>
        <w:gridCol w:w="1036"/>
        <w:gridCol w:w="911"/>
      </w:tblGrid>
      <w:tr>
        <w:trPr/>
        <w:tc>
          <w:tcPr>
            <w:tcW w:w="2591" w:type="dxa"/>
            <w:gridSpan w:val="2"/>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2 of 2) - CSDs</w:t>
            </w:r>
          </w:p>
        </w:tc>
        <w:tc>
          <w:tcPr>
            <w:tcW w:w="915"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3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1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3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13"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3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11" w:type="dxa"/>
            <w:tcBorders>
              <w:lef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524"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982"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highlight w:val="yellow"/>
                <w:lang w:val="en-CA" w:eastAsia="zh-CN" w:bidi="ar-SA"/>
              </w:rPr>
              <w:t>[Community CSD]</w:t>
            </w:r>
          </w:p>
        </w:tc>
        <w:tc>
          <w:tcPr>
            <w:tcW w:w="1947"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49"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47"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06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or more</w:t>
            </w:r>
          </w:p>
        </w:tc>
        <w:tc>
          <w:tcPr>
            <w:tcW w:w="1067"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5"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3"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36"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1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524" w:type="dxa"/>
            <w:tcBorders>
              <w:top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067"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5"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36"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36"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3"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36"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11"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19</w:t>
      </w:r>
      <w:r>
        <w:rPr/>
        <w:fldChar w:fldCharType="end"/>
      </w:r>
      <w:r>
        <w:rPr/>
        <w:t>: Households in core housing need, and the rate of core housing need, by household size in 2021 – [</w:t>
      </w:r>
      <w:r>
        <w:rPr>
          <w:highlight w:val="yellow"/>
        </w:rPr>
        <w:t>Community</w:t>
      </w:r>
      <w:r>
        <w:rPr/>
        <w:t>].</w:t>
      </w:r>
    </w:p>
    <w:p>
      <w:pPr>
        <w:pStyle w:val="Caption1"/>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Bahnschrift" w:hAnsi="Bahnschrift"/>
        </w:rPr>
      </w:pPr>
      <w:r>
        <w:rPr>
          <w:rFonts w:ascii="Bahnschrift" w:hAnsi="Bahnschrift"/>
        </w:rPr>
      </w:r>
      <w:r>
        <w:br w:type="page"/>
      </w:r>
    </w:p>
    <w:p>
      <w:pPr>
        <w:pStyle w:val="Heading2"/>
        <w:shd w:fill="FFFFFF" w:val="clear"/>
        <w:spacing w:before="280" w:after="280"/>
        <w:rPr/>
      </w:pPr>
      <w:bookmarkStart w:id="40" w:name="_Toc156309948"/>
      <w:bookmarkStart w:id="41" w:name="_Ref151980675"/>
      <w:r>
        <w:rPr/>
        <w:t>Core Housing Need by Tenure</w:t>
      </w:r>
      <w:bookmarkEnd w:id="40"/>
      <w:bookmarkEnd w:id="41"/>
    </w:p>
    <w:p>
      <w:pPr>
        <w:pStyle w:val="Normal"/>
        <w:rPr/>
      </w:pPr>
      <w:r>
        <w:rPr/>
      </w:r>
    </w:p>
    <w:tbl>
      <w:tblPr>
        <w:tblStyle w:val="TableGrid"/>
        <w:tblW w:w="43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50"/>
        <w:gridCol w:w="1305"/>
        <w:gridCol w:w="1095"/>
      </w:tblGrid>
      <w:tr>
        <w:trPr/>
        <w:tc>
          <w:tcPr>
            <w:tcW w:w="3255" w:type="dxa"/>
            <w:gridSpan w:val="2"/>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1 of 2)</w:t>
            </w:r>
          </w:p>
        </w:tc>
        <w:tc>
          <w:tcPr>
            <w:tcW w:w="1095"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95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400"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950" w:type="dxa"/>
            <w:tcBorders/>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Tenure</w:t>
            </w:r>
          </w:p>
        </w:tc>
        <w:tc>
          <w:tcPr>
            <w:tcW w:w="1305"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09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950"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Owner</w:t>
            </w:r>
          </w:p>
        </w:tc>
        <w:tc>
          <w:tcPr>
            <w:tcW w:w="1305"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9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9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 mortgage</w:t>
            </w:r>
          </w:p>
        </w:tc>
        <w:tc>
          <w:tcPr>
            <w:tcW w:w="1305"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9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0"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Without mortgage</w:t>
            </w:r>
          </w:p>
        </w:tc>
        <w:tc>
          <w:tcPr>
            <w:tcW w:w="1305"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9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0"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Renter</w:t>
            </w:r>
          </w:p>
        </w:tc>
        <w:tc>
          <w:tcPr>
            <w:tcW w:w="1305"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9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0"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305"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9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0"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 xml:space="preserve">Not subsidized </w:t>
            </w:r>
          </w:p>
        </w:tc>
        <w:tc>
          <w:tcPr>
            <w:tcW w:w="1305"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95"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0" w:type="dxa"/>
            <w:tcBorders>
              <w:top w:val="single" w:sz="12" w:space="0" w:color="000000"/>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305"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95"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20</w:t>
      </w:r>
      <w:r>
        <w:rPr/>
        <w:fldChar w:fldCharType="end"/>
      </w:r>
      <w:r>
        <w:rPr/>
        <w:t>: Households in core housing need, and the rate of core housing need, by tenure in 2016 – [</w:t>
      </w:r>
      <w:r>
        <w:rPr>
          <w:highlight w:val="yellow"/>
        </w:rPr>
        <w:t>Community CD</w:t>
      </w:r>
      <w:r>
        <w:rPr/>
        <w:t>]. Note, categories may not match totals due to random rounding in data.</w:t>
      </w:r>
    </w:p>
    <w:p>
      <w:pPr>
        <w:pStyle w:val="Normal"/>
        <w:rPr/>
      </w:pPr>
      <w:r>
        <w:rPr/>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22"/>
        <w:gridCol w:w="1054"/>
        <w:gridCol w:w="905"/>
        <w:gridCol w:w="1021"/>
        <w:gridCol w:w="902"/>
        <w:gridCol w:w="1021"/>
        <w:gridCol w:w="901"/>
        <w:gridCol w:w="1021"/>
        <w:gridCol w:w="902"/>
      </w:tblGrid>
      <w:tr>
        <w:trPr/>
        <w:tc>
          <w:tcPr>
            <w:tcW w:w="2676" w:type="dxa"/>
            <w:gridSpan w:val="2"/>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2016</w:t>
            </w:r>
            <w:r>
              <w:rPr>
                <w:rFonts w:cs="Arial" w:ascii="Arial" w:hAnsi="Arial"/>
                <w:kern w:val="0"/>
                <w:sz w:val="20"/>
                <w:szCs w:val="20"/>
                <w:lang w:val="en-CA" w:eastAsia="zh-CN" w:bidi="ar-SA"/>
              </w:rPr>
              <w:t xml:space="preserve"> (table 2 of 2)</w:t>
            </w:r>
          </w:p>
        </w:tc>
        <w:tc>
          <w:tcPr>
            <w:tcW w:w="905"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2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02"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2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0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2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02" w:type="dxa"/>
            <w:tcBorders>
              <w:lef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622"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959"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923"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22"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23"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r>
      <w:tr>
        <w:trPr/>
        <w:tc>
          <w:tcPr>
            <w:tcW w:w="1622" w:type="dxa"/>
            <w:tcBorders/>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Tenure</w:t>
            </w:r>
          </w:p>
        </w:tc>
        <w:tc>
          <w:tcPr>
            <w:tcW w:w="105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0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622"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Owner</w:t>
            </w:r>
          </w:p>
        </w:tc>
        <w:tc>
          <w:tcPr>
            <w:tcW w:w="1054"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0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22"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 mortgage</w:t>
            </w:r>
          </w:p>
        </w:tc>
        <w:tc>
          <w:tcPr>
            <w:tcW w:w="1054"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22"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Without mortgage</w:t>
            </w:r>
          </w:p>
        </w:tc>
        <w:tc>
          <w:tcPr>
            <w:tcW w:w="1054"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22"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Renter</w:t>
            </w:r>
          </w:p>
        </w:tc>
        <w:tc>
          <w:tcPr>
            <w:tcW w:w="1054"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22"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054"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5"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22"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 xml:space="preserve">Not subsidized </w:t>
            </w:r>
          </w:p>
        </w:tc>
        <w:tc>
          <w:tcPr>
            <w:tcW w:w="1054"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5"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21"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2"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22" w:type="dxa"/>
            <w:tcBorders>
              <w:top w:val="single" w:sz="12" w:space="0" w:color="000000"/>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054"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5"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21"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2"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21"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21"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2"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21</w:t>
      </w:r>
      <w:r>
        <w:rPr/>
        <w:fldChar w:fldCharType="end"/>
      </w:r>
      <w:r>
        <w:rPr/>
        <w:t>: Households in core housing need, and the rate of core housing need, by tenure in 2016 – [</w:t>
      </w:r>
      <w:r>
        <w:rPr>
          <w:highlight w:val="yellow"/>
        </w:rPr>
        <w:t>Community CSD</w:t>
      </w:r>
      <w:r>
        <w:rPr/>
        <w:t>] Note, categories may not match totals due to random rounding in data.</w:t>
      </w:r>
    </w:p>
    <w:p>
      <w:pPr>
        <w:pStyle w:val="Normal"/>
        <w:rPr/>
      </w:pPr>
      <w:r>
        <w:rPr/>
      </w:r>
    </w:p>
    <w:tbl>
      <w:tblPr>
        <w:tblStyle w:val="TableGrid"/>
        <w:tblW w:w="45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51"/>
        <w:gridCol w:w="1305"/>
        <w:gridCol w:w="1306"/>
      </w:tblGrid>
      <w:tr>
        <w:trPr/>
        <w:tc>
          <w:tcPr>
            <w:tcW w:w="3256" w:type="dxa"/>
            <w:gridSpan w:val="2"/>
            <w:tcBorders>
              <w:right w:val="nil"/>
            </w:tcBorders>
          </w:tcPr>
          <w:p>
            <w:pPr>
              <w:pStyle w:val="Normal"/>
              <w:widowControl/>
              <w:spacing w:before="0" w:after="0"/>
              <w:jc w:val="left"/>
              <w:rPr>
                <w:rFonts w:ascii="Arial" w:hAnsi="Arial" w:cs="Arial"/>
              </w:rPr>
            </w:pPr>
            <w:r>
              <w:rPr>
                <w:rFonts w:cs="Arial" w:ascii="Arial" w:hAnsi="Arial"/>
                <w:b/>
                <w:kern w:val="0"/>
                <w:sz w:val="20"/>
                <w:szCs w:val="20"/>
                <w:lang w:val="en-CA" w:eastAsia="zh-CN" w:bidi="ar-SA"/>
              </w:rPr>
              <w:t>2021</w:t>
            </w:r>
            <w:r>
              <w:rPr>
                <w:rFonts w:cs="Arial" w:ascii="Arial" w:hAnsi="Arial"/>
                <w:kern w:val="0"/>
                <w:sz w:val="20"/>
                <w:szCs w:val="20"/>
                <w:lang w:val="en-CA" w:eastAsia="zh-CN" w:bidi="ar-SA"/>
              </w:rPr>
              <w:t xml:space="preserve"> (table 1 of 2)</w:t>
            </w:r>
          </w:p>
        </w:tc>
        <w:tc>
          <w:tcPr>
            <w:tcW w:w="130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951"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611"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CD</w:t>
            </w:r>
            <w:r>
              <w:rPr>
                <w:rFonts w:cs="Arial" w:ascii="Arial" w:hAnsi="Arial"/>
                <w:b/>
                <w:kern w:val="0"/>
                <w:sz w:val="20"/>
                <w:szCs w:val="20"/>
                <w:lang w:val="en-CA" w:eastAsia="zh-CN" w:bidi="ar-SA"/>
              </w:rPr>
              <w:t>]</w:t>
            </w:r>
          </w:p>
        </w:tc>
      </w:tr>
      <w:tr>
        <w:trPr/>
        <w:tc>
          <w:tcPr>
            <w:tcW w:w="1951" w:type="dxa"/>
            <w:tcBorders/>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Tenure</w:t>
            </w:r>
          </w:p>
        </w:tc>
        <w:tc>
          <w:tcPr>
            <w:tcW w:w="1305"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130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r>
      <w:tr>
        <w:trPr/>
        <w:tc>
          <w:tcPr>
            <w:tcW w:w="1951"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Owner</w:t>
            </w:r>
          </w:p>
        </w:tc>
        <w:tc>
          <w:tcPr>
            <w:tcW w:w="1305"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30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1951"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 mortgage</w:t>
            </w:r>
          </w:p>
        </w:tc>
        <w:tc>
          <w:tcPr>
            <w:tcW w:w="1305"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30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1"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Without mortgage</w:t>
            </w:r>
          </w:p>
        </w:tc>
        <w:tc>
          <w:tcPr>
            <w:tcW w:w="1305"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30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1"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Renter</w:t>
            </w:r>
          </w:p>
        </w:tc>
        <w:tc>
          <w:tcPr>
            <w:tcW w:w="1305"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30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1"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305"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306"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1"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 xml:space="preserve">Not subsidized </w:t>
            </w:r>
          </w:p>
        </w:tc>
        <w:tc>
          <w:tcPr>
            <w:tcW w:w="1305"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306"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951" w:type="dxa"/>
            <w:tcBorders>
              <w:top w:val="single" w:sz="12" w:space="0" w:color="000000"/>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305"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306"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rPr/>
      </w:pPr>
      <w:r>
        <w:rPr/>
        <w:t xml:space="preserve">Table </w:t>
      </w:r>
      <w:r>
        <w:rPr/>
        <w:fldChar w:fldCharType="begin"/>
      </w:r>
      <w:r>
        <w:rPr/>
        <w:instrText> SEQ Table \* ARABIC </w:instrText>
      </w:r>
      <w:r>
        <w:rPr/>
        <w:fldChar w:fldCharType="separate"/>
      </w:r>
      <w:r>
        <w:rPr/>
        <w:t>22</w:t>
      </w:r>
      <w:r>
        <w:rPr/>
        <w:fldChar w:fldCharType="end"/>
      </w:r>
      <w:r>
        <w:rPr/>
        <w:t>: Households in core housing need, and the rate of core housing need, by tenure in 2021 – [</w:t>
      </w:r>
      <w:r>
        <w:rPr>
          <w:highlight w:val="yellow"/>
        </w:rPr>
        <w:t>Community</w:t>
      </w:r>
      <w:r>
        <w:rPr/>
        <w:t>]. Note, categories may not match totals due to random rounding in data.</w:t>
      </w:r>
    </w:p>
    <w:p>
      <w:pPr>
        <w:pStyle w:val="Normal"/>
        <w:rPr/>
      </w:pPr>
      <w:r>
        <w:rPr/>
      </w:r>
    </w:p>
    <w:p>
      <w:pPr>
        <w:pStyle w:val="Normal"/>
        <w:rPr/>
      </w:pPr>
      <w:r>
        <w:rPr/>
      </w:r>
    </w:p>
    <w:p>
      <w:pPr>
        <w:pStyle w:val="Normal"/>
        <w:rPr/>
      </w:pPr>
      <w:r>
        <w:rPr/>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17"/>
        <w:gridCol w:w="1053"/>
        <w:gridCol w:w="901"/>
        <w:gridCol w:w="1017"/>
        <w:gridCol w:w="900"/>
        <w:gridCol w:w="1046"/>
        <w:gridCol w:w="900"/>
        <w:gridCol w:w="1017"/>
        <w:gridCol w:w="898"/>
      </w:tblGrid>
      <w:tr>
        <w:trPr/>
        <w:tc>
          <w:tcPr>
            <w:tcW w:w="2670" w:type="dxa"/>
            <w:gridSpan w:val="2"/>
            <w:tcBorders>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2021 (table 2 of 2)</w:t>
            </w:r>
          </w:p>
        </w:tc>
        <w:tc>
          <w:tcPr>
            <w:tcW w:w="901"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17"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0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46"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900"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017" w:type="dxa"/>
            <w:tcBorders>
              <w:left w:val="nil"/>
              <w:righ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898" w:type="dxa"/>
            <w:tcBorders>
              <w:left w:val="nil"/>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r>
      <w:tr>
        <w:trPr/>
        <w:tc>
          <w:tcPr>
            <w:tcW w:w="1617"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1954"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917"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46" w:type="dxa"/>
            <w:gridSpan w:val="2"/>
            <w:tcBorders/>
            <w:vAlign w:val="center"/>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c>
          <w:tcPr>
            <w:tcW w:w="1915" w:type="dxa"/>
            <w:gridSpan w:val="2"/>
            <w:tcBorders/>
          </w:tcPr>
          <w:p>
            <w:pPr>
              <w:pStyle w:val="Normal"/>
              <w:widowControl/>
              <w:spacing w:before="0" w:after="0"/>
              <w:jc w:val="center"/>
              <w:rPr>
                <w:rFonts w:ascii="Arial" w:hAnsi="Arial" w:cs="Arial"/>
                <w:b/>
                <w:b/>
              </w:rPr>
            </w:pPr>
            <w:r>
              <w:rPr>
                <w:rFonts w:cs="Arial" w:ascii="Arial" w:hAnsi="Arial"/>
                <w:b/>
                <w:kern w:val="0"/>
                <w:sz w:val="20"/>
                <w:szCs w:val="20"/>
                <w:lang w:val="en-CA" w:eastAsia="zh-CN" w:bidi="ar-SA"/>
              </w:rPr>
            </w:r>
          </w:p>
        </w:tc>
      </w:tr>
      <w:tr>
        <w:trPr/>
        <w:tc>
          <w:tcPr>
            <w:tcW w:w="1617" w:type="dxa"/>
            <w:tcBorders/>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Tenure</w:t>
            </w:r>
          </w:p>
        </w:tc>
        <w:tc>
          <w:tcPr>
            <w:tcW w:w="1053"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1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4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c>
          <w:tcPr>
            <w:tcW w:w="101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HHs in CHN</w:t>
            </w:r>
          </w:p>
        </w:tc>
        <w:tc>
          <w:tcPr>
            <w:tcW w:w="898"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t>% in CHN</w:t>
            </w:r>
          </w:p>
        </w:tc>
      </w:tr>
      <w:tr>
        <w:trPr/>
        <w:tc>
          <w:tcPr>
            <w:tcW w:w="1617"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Owner</w:t>
            </w:r>
          </w:p>
        </w:tc>
        <w:tc>
          <w:tcPr>
            <w:tcW w:w="1053"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1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46"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101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898"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7"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 mortgage</w:t>
            </w:r>
          </w:p>
        </w:tc>
        <w:tc>
          <w:tcPr>
            <w:tcW w:w="1053"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46"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898"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7"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Without mortgage</w:t>
            </w:r>
          </w:p>
        </w:tc>
        <w:tc>
          <w:tcPr>
            <w:tcW w:w="1053"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46"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898"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7" w:type="dxa"/>
            <w:tcBorders/>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Renter</w:t>
            </w:r>
          </w:p>
        </w:tc>
        <w:tc>
          <w:tcPr>
            <w:tcW w:w="1053"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46"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898"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7" w:type="dxa"/>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Subsidized housing</w:t>
            </w:r>
          </w:p>
        </w:tc>
        <w:tc>
          <w:tcPr>
            <w:tcW w:w="1053"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46"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898" w:type="dxa"/>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7"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b/>
                <w:b/>
              </w:rPr>
            </w:pPr>
            <w:r>
              <w:rPr>
                <w:rFonts w:cs="Arial" w:ascii="Arial" w:hAnsi="Arial"/>
                <w:kern w:val="0"/>
                <w:sz w:val="20"/>
                <w:szCs w:val="20"/>
                <w:lang w:val="en-CA" w:eastAsia="zh-CN" w:bidi="ar-SA"/>
              </w:rPr>
              <w:t xml:space="preserve">Not subsidized </w:t>
            </w:r>
          </w:p>
        </w:tc>
        <w:tc>
          <w:tcPr>
            <w:tcW w:w="1053"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1"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46"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900"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017" w:type="dxa"/>
            <w:tcBorders>
              <w:bottom w:val="single" w:sz="12" w:space="0" w:color="000000"/>
            </w:tcBorders>
            <w:shd w:color="auto" w:fill="F2F2F2" w:themeFill="background1" w:themeFillShade="f2"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898" w:type="dxa"/>
            <w:tcBorders>
              <w:bottom w:val="single" w:sz="12" w:space="0" w:color="000000"/>
            </w:tcBorders>
            <w:shd w:color="auto" w:fill="E2EFD9" w:themeFill="accent6" w:themeFillTint="33"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7" w:type="dxa"/>
            <w:tcBorders>
              <w:top w:val="single" w:sz="12" w:space="0" w:color="000000"/>
            </w:tcBorders>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053"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17"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46"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90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017" w:type="dxa"/>
            <w:tcBorders>
              <w:top w:val="single" w:sz="12" w:space="0" w:color="000000"/>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898"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23</w:t>
      </w:r>
      <w:r>
        <w:rPr/>
        <w:fldChar w:fldCharType="end"/>
      </w:r>
      <w:r>
        <w:rPr/>
        <w:t>: Households in core housing need, and the rate of core housing need, by tenure in 2021 – [</w:t>
      </w:r>
      <w:r>
        <w:rPr>
          <w:highlight w:val="yellow"/>
        </w:rPr>
        <w:t>Community</w:t>
      </w:r>
      <w:r>
        <w:rPr/>
        <w:t>]. Note, categories may not match totals due to random rounding in data.</w:t>
      </w:r>
    </w:p>
    <w:p>
      <w:pPr>
        <w:pStyle w:val="Normal"/>
        <w:spacing w:lineRule="auto" w:line="259" w:before="0" w:after="160"/>
        <w:rPr>
          <w:rFonts w:ascii="Bahnschrift" w:hAnsi="Bahnschrift"/>
          <w:b/>
          <w:b/>
          <w:bCs/>
        </w:rPr>
      </w:pPr>
      <w:r>
        <w:rPr>
          <w:rFonts w:ascii="Bahnschrift" w:hAnsi="Bahnschrift"/>
          <w:b/>
          <w:bCs/>
        </w:rPr>
      </w:r>
      <w:r>
        <w:br w:type="page"/>
      </w:r>
    </w:p>
    <w:p>
      <w:pPr>
        <w:pStyle w:val="Heading2"/>
        <w:shd w:fill="FFFFFF" w:val="clear"/>
        <w:spacing w:before="280" w:after="280"/>
        <w:rPr/>
      </w:pPr>
      <w:bookmarkStart w:id="42" w:name="_Toc156309949"/>
      <w:r>
        <w:rPr/>
        <w:t>Core Housing Need by Priority Populations</w:t>
      </w:r>
      <w:bookmarkEnd w:id="42"/>
    </w:p>
    <w:p>
      <w:pPr>
        <w:pStyle w:val="Normal"/>
        <w:rPr>
          <w:i/>
          <w:i/>
        </w:rPr>
      </w:pPr>
      <w:r>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pPr>
        <w:pStyle w:val="Normal"/>
        <w:rPr/>
      </w:pPr>
      <w:r>
        <w:rPr/>
      </w:r>
    </w:p>
    <w:p>
      <w:pPr>
        <w:pStyle w:val="Normal"/>
        <w:rPr/>
      </w:pPr>
      <w:r>
        <w:rPr/>
        <w:t xml:space="preserve">A description of each population is provided in </w:t>
      </w:r>
      <w:r>
        <w:rPr/>
        <w:fldChar w:fldCharType="begin"/>
      </w:r>
      <w:r>
        <w:rPr/>
        <w:instrText> REF _Ref150346690 \h </w:instrText>
      </w:r>
      <w:r>
        <w:rPr/>
        <w:fldChar w:fldCharType="separate"/>
      </w:r>
      <w:r>
        <w:rPr/>
        <w:t xml:space="preserve">Appendix E: </w:t>
      </w:r>
      <w:r>
        <w:rPr/>
        <w:fldChar w:fldCharType="end"/>
      </w:r>
    </w:p>
    <w:p>
      <w:pPr>
        <w:pStyle w:val="Normal"/>
        <w:rPr>
          <w:highlight w:val="yellow"/>
        </w:rPr>
      </w:pPr>
      <w:r>
        <w:rPr>
          <w:highlight w:val="yellow"/>
        </w:rPr>
      </w:r>
    </w:p>
    <w:p>
      <w:pPr>
        <w:pStyle w:val="Normal"/>
        <w:rPr>
          <w:i/>
          <w:i/>
        </w:rPr>
      </w:pPr>
      <w:r>
        <w:rPr>
          <w:i/>
        </w:rPr>
        <w:t>Note: The population with the highest rate of CHN in each municipality has been highlighted in dark green.</w:t>
      </w:r>
    </w:p>
    <w:tbl>
      <w:tblPr>
        <w:tblStyle w:val="TableGrid"/>
        <w:tblW w:w="623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27"/>
        <w:gridCol w:w="1088"/>
        <w:gridCol w:w="920"/>
      </w:tblGrid>
      <w:tr>
        <w:trPr/>
        <w:tc>
          <w:tcPr>
            <w:tcW w:w="4227" w:type="dxa"/>
            <w:tcBorders>
              <w:right w:val="nil"/>
            </w:tcBorders>
          </w:tcPr>
          <w:p>
            <w:pPr>
              <w:pStyle w:val="Normal"/>
              <w:widowControl/>
              <w:spacing w:before="0" w:after="0"/>
              <w:jc w:val="left"/>
              <w:rPr>
                <w:rFonts w:ascii="Arial" w:hAnsi="Arial" w:cs="Arial"/>
                <w:sz w:val="16"/>
                <w:szCs w:val="16"/>
              </w:rPr>
            </w:pPr>
            <w:r>
              <w:rPr>
                <w:rFonts w:cs="Arial" w:ascii="Arial" w:hAnsi="Arial"/>
                <w:b/>
                <w:kern w:val="0"/>
                <w:sz w:val="16"/>
                <w:szCs w:val="16"/>
                <w:lang w:val="en-CA" w:eastAsia="zh-CN" w:bidi="ar-SA"/>
              </w:rPr>
              <w:t>2016</w:t>
            </w:r>
            <w:r>
              <w:rPr>
                <w:rFonts w:cs="Arial" w:ascii="Arial" w:hAnsi="Arial"/>
                <w:kern w:val="0"/>
                <w:sz w:val="16"/>
                <w:szCs w:val="16"/>
                <w:lang w:val="en-CA" w:eastAsia="zh-CN" w:bidi="ar-SA"/>
              </w:rPr>
              <w:t xml:space="preserve"> (table 1 of 2)</w:t>
            </w:r>
          </w:p>
        </w:tc>
        <w:tc>
          <w:tcPr>
            <w:tcW w:w="1088"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920"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r>
      <w:tr>
        <w:trPr/>
        <w:tc>
          <w:tcPr>
            <w:tcW w:w="4227" w:type="dxa"/>
            <w:tcBorders>
              <w:bottom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2008" w:type="dxa"/>
            <w:gridSpan w:val="2"/>
            <w:tcBorders/>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w:t>
            </w:r>
            <w:r>
              <w:rPr>
                <w:rFonts w:cs="Arial" w:ascii="Arial" w:hAnsi="Arial"/>
                <w:b/>
                <w:kern w:val="0"/>
                <w:sz w:val="16"/>
                <w:szCs w:val="16"/>
                <w:highlight w:val="yellow"/>
                <w:lang w:val="en-CA" w:eastAsia="zh-CN" w:bidi="ar-SA"/>
              </w:rPr>
              <w:t>Community CD</w:t>
            </w:r>
            <w:r>
              <w:rPr>
                <w:rFonts w:cs="Arial" w:ascii="Arial" w:hAnsi="Arial"/>
                <w:b/>
                <w:kern w:val="0"/>
                <w:sz w:val="16"/>
                <w:szCs w:val="16"/>
                <w:lang w:val="en-CA" w:eastAsia="zh-CN" w:bidi="ar-SA"/>
              </w:rPr>
              <w:t>]</w:t>
            </w:r>
          </w:p>
        </w:tc>
      </w:tr>
      <w:tr>
        <w:trPr/>
        <w:tc>
          <w:tcPr>
            <w:tcW w:w="4227" w:type="dxa"/>
            <w:tcBorders>
              <w:top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1088" w:type="dxa"/>
            <w:tcBorders/>
          </w:tcPr>
          <w:p>
            <w:pPr>
              <w:pStyle w:val="Normal"/>
              <w:widowControl/>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bookmarkStart w:id="43" w:name="_Hlk151113792"/>
            <w:bookmarkStart w:id="44" w:name="_Hlk151113792"/>
            <w:bookmarkEnd w:id="44"/>
          </w:p>
        </w:tc>
      </w:tr>
    </w:tbl>
    <w:p>
      <w:pPr>
        <w:pStyle w:val="Caption1"/>
        <w:jc w:val="center"/>
        <w:rPr>
          <w:b/>
          <w:b/>
        </w:rPr>
      </w:pPr>
      <w:r>
        <w:rPr/>
        <w:t xml:space="preserve">Table </w:t>
      </w:r>
      <w:r>
        <w:rPr/>
        <w:fldChar w:fldCharType="begin"/>
      </w:r>
      <w:r>
        <w:rPr/>
        <w:instrText> SEQ Table \* ARABIC </w:instrText>
      </w:r>
      <w:r>
        <w:rPr/>
        <w:fldChar w:fldCharType="separate"/>
      </w:r>
      <w:r>
        <w:rPr/>
        <w:t>24</w:t>
      </w:r>
      <w:r>
        <w:rPr/>
        <w:fldChar w:fldCharType="end"/>
      </w:r>
      <w:r>
        <w:rPr/>
        <w:t>: Households in core housing need, and the rate of core housing need, by priority population in 2016 – [</w:t>
      </w:r>
      <w:r>
        <w:rPr>
          <w:highlight w:val="yellow"/>
        </w:rPr>
        <w:t>Community CD</w:t>
      </w:r>
      <w:r>
        <w:rPr/>
        <w:t>].</w:t>
      </w:r>
    </w:p>
    <w:tbl>
      <w:tblPr>
        <w:tblStyle w:val="TableGrid"/>
        <w:tblW w:w="93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83"/>
        <w:gridCol w:w="898"/>
        <w:gridCol w:w="828"/>
        <w:gridCol w:w="750"/>
        <w:gridCol w:w="770"/>
        <w:gridCol w:w="814"/>
        <w:gridCol w:w="811"/>
        <w:gridCol w:w="901"/>
        <w:gridCol w:w="894"/>
      </w:tblGrid>
      <w:tr>
        <w:trPr/>
        <w:tc>
          <w:tcPr>
            <w:tcW w:w="2683" w:type="dxa"/>
            <w:tcBorders>
              <w:right w:val="nil"/>
            </w:tcBorders>
          </w:tcPr>
          <w:p>
            <w:pPr>
              <w:pStyle w:val="Normal"/>
              <w:widowControl/>
              <w:spacing w:before="0" w:after="0"/>
              <w:jc w:val="left"/>
              <w:rPr>
                <w:rFonts w:ascii="Arial" w:hAnsi="Arial" w:cs="Arial"/>
                <w:sz w:val="16"/>
                <w:szCs w:val="16"/>
              </w:rPr>
            </w:pPr>
            <w:r>
              <w:rPr>
                <w:rFonts w:cs="Arial" w:ascii="Arial" w:hAnsi="Arial"/>
                <w:b/>
                <w:kern w:val="0"/>
                <w:sz w:val="16"/>
                <w:szCs w:val="16"/>
                <w:lang w:val="en-CA" w:eastAsia="zh-CN" w:bidi="ar-SA"/>
              </w:rPr>
              <w:t>2016</w:t>
            </w:r>
            <w:r>
              <w:rPr>
                <w:rFonts w:cs="Arial" w:ascii="Arial" w:hAnsi="Arial"/>
                <w:kern w:val="0"/>
                <w:sz w:val="16"/>
                <w:szCs w:val="16"/>
                <w:lang w:val="en-CA" w:eastAsia="zh-CN" w:bidi="ar-SA"/>
              </w:rPr>
              <w:t xml:space="preserve"> (table 2 of 2)</w:t>
            </w:r>
          </w:p>
        </w:tc>
        <w:tc>
          <w:tcPr>
            <w:tcW w:w="898"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28"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750"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770"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14"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11"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901"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94" w:type="dxa"/>
            <w:tcBorders>
              <w:lef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r>
      <w:tr>
        <w:trPr/>
        <w:tc>
          <w:tcPr>
            <w:tcW w:w="2683" w:type="dxa"/>
            <w:tcBorders>
              <w:bottom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1726" w:type="dxa"/>
            <w:gridSpan w:val="2"/>
            <w:tcBorders/>
            <w:vAlign w:val="center"/>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[Community CSD]</w:t>
            </w:r>
          </w:p>
        </w:tc>
        <w:tc>
          <w:tcPr>
            <w:tcW w:w="1520" w:type="dxa"/>
            <w:gridSpan w:val="2"/>
            <w:tcBorders/>
            <w:vAlign w:val="center"/>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r>
          </w:p>
        </w:tc>
        <w:tc>
          <w:tcPr>
            <w:tcW w:w="1625" w:type="dxa"/>
            <w:gridSpan w:val="2"/>
            <w:tcBorders/>
            <w:vAlign w:val="center"/>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r>
          </w:p>
        </w:tc>
        <w:tc>
          <w:tcPr>
            <w:tcW w:w="1795" w:type="dxa"/>
            <w:gridSpan w:val="2"/>
            <w:tcBorders/>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r>
          </w:p>
        </w:tc>
      </w:tr>
      <w:tr>
        <w:trPr/>
        <w:tc>
          <w:tcPr>
            <w:tcW w:w="2683" w:type="dxa"/>
            <w:tcBorders>
              <w:top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898" w:type="dxa"/>
            <w:tcBorders/>
          </w:tcPr>
          <w:p>
            <w:pPr>
              <w:pStyle w:val="Normal"/>
              <w:widowControl/>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683"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89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2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5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7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4"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11"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94" w:type="dxa"/>
            <w:tcBorders/>
            <w:shd w:color="auto" w:fill="E2EFD9" w:themeFill="accent6" w:themeFillTint="33" w:val="clear"/>
          </w:tcPr>
          <w:p>
            <w:pPr>
              <w:pStyle w:val="Normal"/>
              <w:keepNext w:val="true"/>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25</w:t>
      </w:r>
      <w:r>
        <w:rPr/>
        <w:fldChar w:fldCharType="end"/>
      </w:r>
      <w:r>
        <w:rPr/>
        <w:t>: Households in core housing need, and the rate of core housing need, by priority population in 2016 – [</w:t>
      </w:r>
      <w:r>
        <w:rPr>
          <w:highlight w:val="yellow"/>
        </w:rPr>
        <w:t>Community CSD</w:t>
      </w:r>
      <w:r>
        <w:rPr/>
        <w:t>].</w:t>
      </w:r>
    </w:p>
    <w:p>
      <w:pPr>
        <w:pStyle w:val="Normal"/>
        <w:rPr/>
      </w:pPr>
      <w:r>
        <w:rPr/>
      </w:r>
    </w:p>
    <w:tbl>
      <w:tblPr>
        <w:tblStyle w:val="TableGrid"/>
        <w:tblW w:w="623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227"/>
        <w:gridCol w:w="1088"/>
        <w:gridCol w:w="920"/>
      </w:tblGrid>
      <w:tr>
        <w:trPr/>
        <w:tc>
          <w:tcPr>
            <w:tcW w:w="4227" w:type="dxa"/>
            <w:tcBorders>
              <w:right w:val="nil"/>
            </w:tcBorders>
          </w:tcPr>
          <w:p>
            <w:pPr>
              <w:pStyle w:val="Normal"/>
              <w:widowControl/>
              <w:spacing w:before="0" w:after="0"/>
              <w:jc w:val="left"/>
              <w:rPr>
                <w:rFonts w:ascii="Arial" w:hAnsi="Arial" w:cs="Arial"/>
                <w:sz w:val="16"/>
                <w:szCs w:val="16"/>
              </w:rPr>
            </w:pPr>
            <w:r>
              <w:rPr>
                <w:rFonts w:cs="Arial" w:ascii="Arial" w:hAnsi="Arial"/>
                <w:b/>
                <w:kern w:val="0"/>
                <w:sz w:val="16"/>
                <w:szCs w:val="16"/>
                <w:lang w:val="en-CA" w:eastAsia="zh-CN" w:bidi="ar-SA"/>
              </w:rPr>
              <w:t>2021</w:t>
            </w:r>
            <w:r>
              <w:rPr>
                <w:rFonts w:cs="Arial" w:ascii="Arial" w:hAnsi="Arial"/>
                <w:kern w:val="0"/>
                <w:sz w:val="16"/>
                <w:szCs w:val="16"/>
                <w:lang w:val="en-CA" w:eastAsia="zh-CN" w:bidi="ar-SA"/>
              </w:rPr>
              <w:t xml:space="preserve"> (table 1 of 2)</w:t>
            </w:r>
          </w:p>
        </w:tc>
        <w:tc>
          <w:tcPr>
            <w:tcW w:w="1088"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920"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r>
      <w:tr>
        <w:trPr/>
        <w:tc>
          <w:tcPr>
            <w:tcW w:w="4227" w:type="dxa"/>
            <w:tcBorders>
              <w:bottom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2008" w:type="dxa"/>
            <w:gridSpan w:val="2"/>
            <w:tcBorders/>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Lennox and Addington</w:t>
            </w:r>
          </w:p>
        </w:tc>
      </w:tr>
      <w:tr>
        <w:trPr/>
        <w:tc>
          <w:tcPr>
            <w:tcW w:w="4227" w:type="dxa"/>
            <w:tcBorders>
              <w:top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4227"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108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20"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26</w:t>
      </w:r>
      <w:r>
        <w:rPr/>
        <w:fldChar w:fldCharType="end"/>
      </w:r>
      <w:r>
        <w:rPr/>
        <w:t>: Households in core housing need, and the rate of core housing need, by priority population in 2021 – [</w:t>
      </w:r>
      <w:r>
        <w:rPr>
          <w:highlight w:val="yellow"/>
        </w:rPr>
        <w:t>Community CD</w:t>
      </w:r>
      <w:r>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825"/>
        <w:gridCol w:w="885"/>
        <w:gridCol w:w="764"/>
        <w:gridCol w:w="861"/>
        <w:gridCol w:w="764"/>
        <w:gridCol w:w="861"/>
        <w:gridCol w:w="764"/>
        <w:gridCol w:w="861"/>
        <w:gridCol w:w="764"/>
      </w:tblGrid>
      <w:tr>
        <w:trPr/>
        <w:tc>
          <w:tcPr>
            <w:tcW w:w="2825" w:type="dxa"/>
            <w:tcBorders>
              <w:right w:val="nil"/>
            </w:tcBorders>
          </w:tcPr>
          <w:p>
            <w:pPr>
              <w:pStyle w:val="Normal"/>
              <w:widowControl/>
              <w:spacing w:before="0" w:after="0"/>
              <w:jc w:val="left"/>
              <w:rPr>
                <w:rFonts w:ascii="Arial" w:hAnsi="Arial" w:cs="Arial"/>
                <w:sz w:val="16"/>
                <w:szCs w:val="16"/>
              </w:rPr>
            </w:pPr>
            <w:r>
              <w:rPr>
                <w:rFonts w:cs="Arial" w:ascii="Arial" w:hAnsi="Arial"/>
                <w:b/>
                <w:kern w:val="0"/>
                <w:sz w:val="16"/>
                <w:szCs w:val="16"/>
                <w:lang w:val="en-CA" w:eastAsia="zh-CN" w:bidi="ar-SA"/>
              </w:rPr>
              <w:t>2021</w:t>
            </w:r>
            <w:r>
              <w:rPr>
                <w:rFonts w:cs="Arial" w:ascii="Arial" w:hAnsi="Arial"/>
                <w:kern w:val="0"/>
                <w:sz w:val="16"/>
                <w:szCs w:val="16"/>
                <w:lang w:val="en-CA" w:eastAsia="zh-CN" w:bidi="ar-SA"/>
              </w:rPr>
              <w:t xml:space="preserve"> (table 2 of 2)</w:t>
            </w:r>
          </w:p>
        </w:tc>
        <w:tc>
          <w:tcPr>
            <w:tcW w:w="885"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764"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61"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764"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61"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764"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61" w:type="dxa"/>
            <w:tcBorders>
              <w:left w:val="nil"/>
              <w:righ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764" w:type="dxa"/>
            <w:tcBorders>
              <w:left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r>
      <w:tr>
        <w:trPr/>
        <w:tc>
          <w:tcPr>
            <w:tcW w:w="2825" w:type="dxa"/>
            <w:tcBorders>
              <w:bottom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1649" w:type="dxa"/>
            <w:gridSpan w:val="2"/>
            <w:tcBorders/>
            <w:vAlign w:val="center"/>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Loyalist</w:t>
            </w:r>
          </w:p>
        </w:tc>
        <w:tc>
          <w:tcPr>
            <w:tcW w:w="1625" w:type="dxa"/>
            <w:gridSpan w:val="2"/>
            <w:tcBorders/>
            <w:vAlign w:val="center"/>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Greater Napanee</w:t>
            </w:r>
          </w:p>
        </w:tc>
        <w:tc>
          <w:tcPr>
            <w:tcW w:w="1625" w:type="dxa"/>
            <w:gridSpan w:val="2"/>
            <w:tcBorders/>
            <w:vAlign w:val="center"/>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Stone Mills</w:t>
            </w:r>
          </w:p>
        </w:tc>
        <w:tc>
          <w:tcPr>
            <w:tcW w:w="1625" w:type="dxa"/>
            <w:gridSpan w:val="2"/>
            <w:tcBorders/>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Addington Highlands</w:t>
            </w:r>
          </w:p>
        </w:tc>
      </w:tr>
      <w:tr>
        <w:trPr/>
        <w:tc>
          <w:tcPr>
            <w:tcW w:w="2825" w:type="dxa"/>
            <w:tcBorders>
              <w:top w:val="nil"/>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HHs in CHN</w:t>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in CHN</w:t>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physical activity limitation</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highlight w:val="yellow"/>
                <w:lang w:val="en-CA" w:eastAsia="zh-CN" w:bidi="ar-SA"/>
              </w:rPr>
              <w:t>##%</w:t>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with cognitive, mental, or addictions activity limitation</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Indigenous HH</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Visible minority HH</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Women-led</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Black-led HH</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New migrant-led HH</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Refugee claimant-led HH</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Single mother-led HH</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under 25</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65</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2825" w:type="dxa"/>
            <w:tcBorders/>
            <w:vAlign w:val="bottom"/>
          </w:tcPr>
          <w:p>
            <w:pPr>
              <w:pStyle w:val="Normal"/>
              <w:widowControl/>
              <w:spacing w:before="0" w:after="0"/>
              <w:jc w:val="left"/>
              <w:rPr>
                <w:rFonts w:ascii="Arial" w:hAnsi="Arial" w:cs="Arial"/>
                <w:b/>
                <w:b/>
                <w:sz w:val="16"/>
                <w:szCs w:val="16"/>
              </w:rPr>
            </w:pPr>
            <w:r>
              <w:rPr>
                <w:rFonts w:cs="Arial" w:ascii="Arial" w:hAnsi="Arial"/>
                <w:kern w:val="0"/>
                <w:sz w:val="16"/>
                <w:szCs w:val="16"/>
                <w:lang w:val="en-CA" w:eastAsia="zh-CN" w:bidi="ar-SA"/>
              </w:rPr>
              <w:t>HH head over 85</w:t>
            </w:r>
          </w:p>
        </w:tc>
        <w:tc>
          <w:tcPr>
            <w:tcW w:w="88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86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764" w:type="dxa"/>
            <w:tcBorders/>
            <w:shd w:color="auto" w:fill="E2EFD9" w:themeFill="accent6" w:themeFillTint="33" w:val="clear"/>
          </w:tcPr>
          <w:p>
            <w:pPr>
              <w:pStyle w:val="Normal"/>
              <w:keepNext w:val="true"/>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27</w:t>
      </w:r>
      <w:r>
        <w:rPr/>
        <w:fldChar w:fldCharType="end"/>
      </w:r>
      <w:r>
        <w:rPr/>
        <w:t>: Households in core housing need, and the rate of core housing need, by priority population in 2021 – [</w:t>
      </w:r>
      <w:r>
        <w:rPr>
          <w:highlight w:val="yellow"/>
        </w:rPr>
        <w:t>Community CSD</w:t>
      </w:r>
      <w:r>
        <w:rPr/>
        <w:t>].</w:t>
      </w:r>
    </w:p>
    <w:p>
      <w:pPr>
        <w:pStyle w:val="Normal"/>
        <w:spacing w:lineRule="auto" w:line="259" w:before="0" w:after="160"/>
        <w:rPr/>
      </w:pPr>
      <w:r>
        <w:rPr/>
      </w:r>
      <w:r>
        <w:br w:type="page"/>
      </w:r>
    </w:p>
    <w:p>
      <w:pPr>
        <w:pStyle w:val="Heading1"/>
        <w:rPr/>
      </w:pPr>
      <w:bookmarkStart w:id="45" w:name="_Toc156309950"/>
      <w:r>
        <w:rPr/>
        <w:t>Part 3: Future Housing Need in 2031</w:t>
      </w:r>
      <w:bookmarkEnd w:id="45"/>
    </w:p>
    <w:p>
      <w:pPr>
        <w:pStyle w:val="Normal"/>
        <w:rPr/>
      </w:pPr>
      <w:r>
        <w:rPr/>
      </w:r>
    </w:p>
    <w:p>
      <w:pPr>
        <w:pStyle w:val="Normal"/>
        <w:spacing w:before="0" w:after="160"/>
        <w:rPr/>
      </w:pPr>
      <w:r>
        <w:rPr/>
        <w:t>The aim of this section is to help municipalities identify the type of homes that need to be built in order to set targets that address the existing and future housing needs of the community they represent. Our formula for estimating housing need in 2031 is:</w:t>
      </w:r>
    </w:p>
    <w:p>
      <w:pPr>
        <w:pStyle w:val="Normal"/>
        <w:spacing w:lineRule="auto" w:line="259" w:before="0" w:after="160"/>
        <w:rPr/>
      </w:pPr>
      <w:r>
        <w:rPr/>
      </w:r>
    </w:p>
    <w:p>
      <w:pPr>
        <w:pStyle w:val="Normal"/>
        <w:jc w:val="center"/>
        <w:rPr>
          <w:rFonts w:ascii="Arial" w:hAnsi="Arial" w:cs="Arial"/>
        </w:rPr>
      </w:pPr>
      <w:r>
        <w:rPr/>
      </w:r>
      <m:oMathPara xmlns:m="http://schemas.openxmlformats.org/officeDocument/2006/math">
        <m:oMathParaPr>
          <m:jc m:val="center"/>
        </m:oMathParaPr>
        <m:oMath>
          <m:r>
            <w:rPr>
              <w:rFonts w:ascii="Cambria Math" w:hAnsi="Cambria Math"/>
            </w:rPr>
            <m:t xml:space="preserve">Housing</m:t>
          </m:r>
          <m:r>
            <w:rPr>
              <w:rFonts w:ascii="Cambria Math" w:hAnsi="Cambria Math"/>
            </w:rPr>
            <m:t xml:space="preserve">Need</m:t>
          </m:r>
          <m:r>
            <w:rPr>
              <w:rFonts w:ascii="Cambria Math" w:hAnsi="Cambria Math"/>
            </w:rPr>
            <m:t xml:space="preserve">∈</m:t>
          </m:r>
          <m:r>
            <w:rPr>
              <w:rFonts w:ascii="Cambria Math" w:hAnsi="Cambria Math"/>
            </w:rPr>
            <m:t xml:space="preserve">2031</m:t>
          </m:r>
          <m:r>
            <w:rPr>
              <w:rFonts w:ascii="Cambria Math" w:hAnsi="Cambria Math"/>
            </w:rPr>
            <m:t xml:space="preserve">=</m:t>
          </m:r>
        </m:oMath>
      </m:oMathPara>
    </w:p>
    <w:p>
      <w:pPr>
        <w:pStyle w:val="Normal"/>
        <w:jc w:val="center"/>
        <w:rPr>
          <w:rFonts w:ascii="Arial" w:hAnsi="Arial" w:cs="Arial"/>
        </w:rPr>
      </w:pPr>
      <w:r>
        <w:rPr/>
      </w:r>
      <m:oMath xmlns:m="http://schemas.openxmlformats.org/officeDocument/2006/math">
        <m:r>
          <w:rPr>
            <w:rFonts w:ascii="Cambria Math" w:hAnsi="Cambria Math"/>
          </w:rPr>
          <m:t xml:space="preserve">Actual</m:t>
        </m:r>
        <m:r>
          <w:rPr>
            <w:rFonts w:ascii="Cambria Math" w:hAnsi="Cambria Math"/>
          </w:rPr>
          <m:t xml:space="preserve">Core</m:t>
        </m:r>
        <m:r>
          <w:rPr>
            <w:rFonts w:ascii="Cambria Math" w:hAnsi="Cambria Math"/>
          </w:rPr>
          <m:t xml:space="preserve">Housing</m:t>
        </m:r>
        <m:r>
          <w:rPr>
            <w:rFonts w:ascii="Cambria Math" w:hAnsi="Cambria Math"/>
          </w:rPr>
          <m:t xml:space="preserve">Need</m:t>
        </m:r>
        <m:r>
          <w:rPr>
            <w:rFonts w:ascii="Cambria Math" w:hAnsi="Cambria Math"/>
          </w:rPr>
          <m:t xml:space="preserve">∈</m:t>
        </m:r>
        <m:r>
          <w:rPr>
            <w:rFonts w:ascii="Cambria Math" w:hAnsi="Cambria Math"/>
          </w:rPr>
          <m:t xml:space="preserve">2021</m:t>
        </m:r>
        <m:r>
          <w:rPr>
            <w:rFonts w:ascii="Cambria Math" w:hAnsi="Cambria Math"/>
          </w:rPr>
          <m:t xml:space="preserve">+</m:t>
        </m:r>
      </m:oMath>
      <w:r>
        <w:rPr/>
      </w:r>
      <m:oMath xmlns:m="http://schemas.openxmlformats.org/officeDocument/2006/math">
        <m:r>
          <w:rPr>
            <w:rFonts w:ascii="Cambria Math" w:hAnsi="Cambria Math"/>
          </w:rPr>
          <m:t xml:space="preserve">Estimated</m:t>
        </m:r>
        <m:r>
          <w:rPr>
            <w:rFonts w:ascii="Cambria Math" w:hAnsi="Cambria Math"/>
          </w:rPr>
          <m:t xml:space="preserve">Growth</m:t>
        </m:r>
        <m:r>
          <w:rPr>
            <w:rFonts w:ascii="Cambria Math" w:hAnsi="Cambria Math"/>
          </w:rPr>
          <m:t xml:space="preserve">∈</m:t>
        </m:r>
        <m:r>
          <w:rPr>
            <w:rFonts w:ascii="Cambria Math" w:hAnsi="Cambria Math"/>
          </w:rPr>
          <m:t xml:space="preserve">HHs</m:t>
        </m:r>
        <m:d>
          <m:dPr>
            <m:begChr m:val="("/>
            <m:endChr m:val=")"/>
          </m:dPr>
          <m:e>
            <m:r>
              <w:rPr>
                <w:rFonts w:ascii="Cambria Math" w:hAnsi="Cambria Math"/>
              </w:rPr>
              <m:t xml:space="preserve">2021</m:t>
            </m:r>
          </m:e>
          <m:e/>
          <m:e>
            <m:r>
              <w:rPr>
                <w:rFonts w:ascii="Cambria Math" w:hAnsi="Cambria Math"/>
              </w:rPr>
              <m:t xml:space="preserve">2031</m:t>
            </m:r>
          </m:e>
        </m:d>
        <m:r>
          <w:rPr>
            <w:rFonts w:ascii="Cambria Math" w:hAnsi="Cambria Math"/>
          </w:rPr>
          <m:t xml:space="preserve">+</m:t>
        </m:r>
      </m:oMath>
      <w:r>
        <w:rPr/>
      </w:r>
      <m:oMath xmlns:m="http://schemas.openxmlformats.org/officeDocument/2006/math">
        <m:d>
          <m:dPr>
            <m:begChr m:val="["/>
            <m:endChr m:val="]"/>
          </m:dPr>
          <m:e>
            <m:r>
              <w:rPr>
                <w:rFonts w:ascii="Cambria Math" w:hAnsi="Cambria Math"/>
              </w:rPr>
              <m:t xml:space="preserve">Estimated</m:t>
            </m:r>
            <m:r>
              <w:rPr>
                <w:rFonts w:ascii="Cambria Math" w:hAnsi="Cambria Math"/>
              </w:rPr>
              <m:t xml:space="preserve">Demolitions</m:t>
            </m:r>
            <m:d>
              <m:dPr>
                <m:begChr m:val="("/>
                <m:endChr m:val=")"/>
              </m:dPr>
              <m:e>
                <m:r>
                  <w:rPr>
                    <w:rFonts w:ascii="Cambria Math" w:hAnsi="Cambria Math"/>
                  </w:rPr>
                  <m:t xml:space="preserve">2021</m:t>
                </m:r>
              </m:e>
              <m:e/>
              <m:e>
                <m:r>
                  <w:rPr>
                    <w:rFonts w:ascii="Cambria Math" w:hAnsi="Cambria Math"/>
                  </w:rPr>
                  <m:t xml:space="preserve">2031</m:t>
                </m:r>
              </m:e>
            </m:d>
          </m:e>
        </m:d>
      </m:oMath>
    </w:p>
    <w:p>
      <w:pPr>
        <w:pStyle w:val="Normal"/>
        <w:rPr/>
      </w:pPr>
      <w:r>
        <w:rPr/>
      </w:r>
    </w:p>
    <w:p>
      <w:pPr>
        <w:pStyle w:val="Normal"/>
        <w:rPr>
          <w:highlight w:val="yellow"/>
        </w:rPr>
      </w:pPr>
      <w:r>
        <w:rPr/>
        <w:t>Actual CHN in 2021 is identified in Part 2 above. National data on demolitions is limited in geography and quality, therefore this section does not attempt to estimate the number of dwellings needed to make up for any dwellings lost due to demolition. Ideally this can be estimated by a local expert to finalize the projection.</w:t>
      </w:r>
    </w:p>
    <w:p>
      <w:pPr>
        <w:pStyle w:val="Normal"/>
        <w:rPr>
          <w:highlight w:val="yellow"/>
        </w:rPr>
      </w:pPr>
      <w:r>
        <w:rPr>
          <w:highlight w:val="yellow"/>
        </w:rPr>
      </w:r>
    </w:p>
    <w:p>
      <w:pPr>
        <w:pStyle w:val="Normal"/>
        <w:rPr>
          <w:highlight w:val="yellow"/>
        </w:rPr>
      </w:pPr>
      <w:r>
        <w:rPr/>
        <w:t>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This process relies on census data as the most reliable dataset that covers all of Canada, and should be contextualized by local experts in each community based on potential immigration, demographic shifts, and changes in housing supply.</w:t>
      </w:r>
    </w:p>
    <w:p>
      <w:pPr>
        <w:pStyle w:val="Normal"/>
        <w:rPr>
          <w:highlight w:val="yellow"/>
        </w:rPr>
      </w:pPr>
      <w:r>
        <w:rPr>
          <w:highlight w:val="yellow"/>
        </w:rPr>
      </w:r>
    </w:p>
    <w:p>
      <w:pPr>
        <w:pStyle w:val="Normal"/>
        <w:rPr/>
      </w:pPr>
      <w:r>
        <w:rPr/>
        <w:t xml:space="preserve">HART’s method for projecting household growth, which is applied to each cross section of income category and household size, allows us to estimate the number of households, their size, and income, assuming ‘Business as Usual’ growth and policy. The estimation of growth uses a line of best fit for each income category and household size. </w:t>
      </w:r>
    </w:p>
    <w:p>
      <w:pPr>
        <w:pStyle w:val="Normal"/>
        <w:rPr/>
      </w:pPr>
      <w:r>
        <w:rPr/>
      </w:r>
    </w:p>
    <w:p>
      <w:pPr>
        <w:pStyle w:val="Normal"/>
        <w:rPr/>
      </w:pPr>
      <w:r>
        <w:rPr/>
        <w:t>In addition to income and household size, HART is able to estimate the household growth by family type, which allows our projections to be used for community planning by estimating the types of units required.</w:t>
      </w:r>
    </w:p>
    <w:p>
      <w:pPr>
        <w:pStyle w:val="Normal"/>
        <w:rPr/>
      </w:pPr>
      <w:r>
        <w:rPr/>
      </w:r>
    </w:p>
    <w:p>
      <w:pPr>
        <w:pStyle w:val="Normal"/>
        <w:rPr/>
      </w:pPr>
      <w:r>
        <w:rPr/>
      </w:r>
    </w:p>
    <w:p>
      <w:pPr>
        <w:pStyle w:val="BodyParagraphBlack"/>
        <w:jc w:val="left"/>
        <w:rPr>
          <w:rFonts w:ascii="Bahnschrift Light" w:hAnsi="Bahnschrift Light"/>
          <w:sz w:val="20"/>
          <w:szCs w:val="20"/>
        </w:rPr>
      </w:pPr>
      <w:r>
        <w:rPr>
          <w:rFonts w:ascii="Bahnschrift Light" w:hAnsi="Bahnschrift Light"/>
          <w:sz w:val="20"/>
          <w:szCs w:val="20"/>
        </w:rPr>
        <w:t xml:space="preserve">For the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pPr>
        <w:pStyle w:val="Bullets"/>
        <w:numPr>
          <w:ilvl w:val="0"/>
          <w:numId w:val="5"/>
        </w:numPr>
        <w:spacing w:before="0" w:after="80"/>
        <w:rPr>
          <w:rFonts w:ascii="Bahnschrift Light" w:hAnsi="Bahnschrift Light"/>
          <w:sz w:val="20"/>
          <w:szCs w:val="20"/>
        </w:rPr>
      </w:pPr>
      <w:r>
        <w:rPr>
          <w:rFonts w:ascii="Bahnschrift Light" w:hAnsi="Bahnschrift Light"/>
          <w:sz w:val="20"/>
          <w:szCs w:val="20"/>
        </w:rPr>
        <w:t xml:space="preserve">Census family households </w:t>
      </w:r>
    </w:p>
    <w:p>
      <w:pPr>
        <w:pStyle w:val="Subbullets"/>
        <w:numPr>
          <w:ilvl w:val="0"/>
          <w:numId w:val="5"/>
        </w:numPr>
        <w:spacing w:before="0" w:after="80"/>
        <w:rPr>
          <w:rFonts w:ascii="Bahnschrift Light" w:hAnsi="Bahnschrift Light"/>
        </w:rPr>
      </w:pPr>
      <w:r>
        <w:rPr>
          <w:rFonts w:ascii="Bahnschrift Light" w:hAnsi="Bahnschrift Light"/>
        </w:rPr>
        <w:t xml:space="preserve">One-census-family households without additional persons </w:t>
      </w:r>
    </w:p>
    <w:p>
      <w:pPr>
        <w:pStyle w:val="Subbullets"/>
        <w:numPr>
          <w:ilvl w:val="1"/>
          <w:numId w:val="5"/>
        </w:numPr>
        <w:spacing w:before="0" w:after="80"/>
        <w:rPr>
          <w:rFonts w:ascii="Bahnschrift Light" w:hAnsi="Bahnschrift Light"/>
        </w:rPr>
      </w:pPr>
      <w:r>
        <w:rPr>
          <w:rFonts w:ascii="Bahnschrift Light" w:hAnsi="Bahnschrift Light"/>
        </w:rPr>
        <w:t xml:space="preserve">One couple census family without other persons in the household </w:t>
      </w:r>
    </w:p>
    <w:p>
      <w:pPr>
        <w:pStyle w:val="Subbullets"/>
        <w:numPr>
          <w:ilvl w:val="2"/>
          <w:numId w:val="5"/>
        </w:numPr>
        <w:spacing w:before="0" w:after="80"/>
        <w:rPr>
          <w:rFonts w:ascii="Bahnschrift Light" w:hAnsi="Bahnschrift Light"/>
          <w:b/>
          <w:b/>
          <w:bCs/>
        </w:rPr>
      </w:pPr>
      <w:r>
        <w:rPr>
          <w:rFonts w:ascii="Bahnschrift Light" w:hAnsi="Bahnschrift Light"/>
          <w:b/>
          <w:bCs/>
        </w:rPr>
        <w:t xml:space="preserve">Without children </w:t>
      </w:r>
    </w:p>
    <w:p>
      <w:pPr>
        <w:pStyle w:val="Subbullets"/>
        <w:numPr>
          <w:ilvl w:val="2"/>
          <w:numId w:val="5"/>
        </w:numPr>
        <w:spacing w:before="0" w:after="80"/>
        <w:rPr>
          <w:rFonts w:ascii="Bahnschrift Light" w:hAnsi="Bahnschrift Light"/>
        </w:rPr>
      </w:pPr>
      <w:r>
        <w:rPr>
          <w:rFonts w:ascii="Bahnschrift Light" w:hAnsi="Bahnschrift Light"/>
          <w:b/>
          <w:bCs/>
        </w:rPr>
        <w:t xml:space="preserve">With children </w:t>
      </w:r>
    </w:p>
    <w:p>
      <w:pPr>
        <w:pStyle w:val="Subbullets"/>
        <w:numPr>
          <w:ilvl w:val="1"/>
          <w:numId w:val="5"/>
        </w:numPr>
        <w:spacing w:before="0" w:after="80"/>
        <w:rPr>
          <w:rFonts w:ascii="Bahnschrift Light" w:hAnsi="Bahnschrift Light"/>
          <w:b/>
          <w:b/>
          <w:bCs/>
        </w:rPr>
      </w:pPr>
      <w:r>
        <w:rPr>
          <w:rFonts w:ascii="Bahnschrift Light" w:hAnsi="Bahnschrift Light"/>
          <w:b/>
          <w:bCs/>
        </w:rPr>
        <w:t xml:space="preserve">One lone-parent census family without other persons in the household </w:t>
      </w:r>
    </w:p>
    <w:p>
      <w:pPr>
        <w:pStyle w:val="Subbullets"/>
        <w:numPr>
          <w:ilvl w:val="0"/>
          <w:numId w:val="5"/>
        </w:numPr>
        <w:spacing w:before="0" w:after="80"/>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pPr>
        <w:pStyle w:val="Subbullets"/>
        <w:numPr>
          <w:ilvl w:val="1"/>
          <w:numId w:val="5"/>
        </w:numPr>
        <w:spacing w:before="0" w:after="80"/>
        <w:rPr>
          <w:rFonts w:ascii="Bahnschrift Light" w:hAnsi="Bahnschrift Light"/>
        </w:rPr>
      </w:pPr>
      <w:r>
        <w:rPr>
          <w:rFonts w:ascii="Bahnschrift Light" w:hAnsi="Bahnschrift Light"/>
        </w:rPr>
        <w:t xml:space="preserve">One lone-parent census family with other persons in the household </w:t>
      </w:r>
    </w:p>
    <w:p>
      <w:pPr>
        <w:pStyle w:val="Subbullets"/>
        <w:numPr>
          <w:ilvl w:val="0"/>
          <w:numId w:val="5"/>
        </w:numPr>
        <w:spacing w:before="0" w:after="80"/>
        <w:rPr>
          <w:rFonts w:ascii="Bahnschrift Light" w:hAnsi="Bahnschrift Light"/>
          <w:b/>
          <w:b/>
          <w:bCs/>
        </w:rPr>
      </w:pPr>
      <w:r>
        <w:rPr>
          <w:rFonts w:ascii="Bahnschrift Light" w:hAnsi="Bahnschrift Light"/>
          <w:b/>
          <w:bCs/>
        </w:rPr>
        <w:t xml:space="preserve">Multiple-family households </w:t>
      </w:r>
    </w:p>
    <w:p>
      <w:pPr>
        <w:pStyle w:val="Bullets"/>
        <w:numPr>
          <w:ilvl w:val="0"/>
          <w:numId w:val="5"/>
        </w:numPr>
        <w:spacing w:before="0" w:after="80"/>
        <w:rPr>
          <w:rFonts w:ascii="Bahnschrift Light" w:hAnsi="Bahnschrift Light"/>
          <w:sz w:val="20"/>
          <w:szCs w:val="20"/>
        </w:rPr>
      </w:pPr>
      <w:r>
        <w:rPr>
          <w:rFonts w:ascii="Bahnschrift Light" w:hAnsi="Bahnschrift Light"/>
          <w:b/>
          <w:bCs/>
          <w:sz w:val="20"/>
          <w:szCs w:val="20"/>
        </w:rPr>
        <w:t>Non-census-family households</w:t>
      </w:r>
      <w:r>
        <w:rPr>
          <w:rFonts w:ascii="Bahnschrift Light" w:hAnsi="Bahnschrift Light"/>
          <w:sz w:val="20"/>
          <w:szCs w:val="20"/>
        </w:rPr>
        <w:t xml:space="preserve"> </w:t>
      </w:r>
    </w:p>
    <w:p>
      <w:pPr>
        <w:pStyle w:val="Subbullets"/>
        <w:numPr>
          <w:ilvl w:val="0"/>
          <w:numId w:val="5"/>
        </w:numPr>
        <w:spacing w:before="0" w:after="80"/>
        <w:rPr>
          <w:rFonts w:ascii="Bahnschrift Light" w:hAnsi="Bahnschrift Light"/>
        </w:rPr>
      </w:pPr>
      <w:r>
        <w:rPr>
          <w:rFonts w:ascii="Bahnschrift Light" w:hAnsi="Bahnschrift Light"/>
        </w:rPr>
        <w:t xml:space="preserve">Non-family households: One person only </w:t>
      </w:r>
    </w:p>
    <w:p>
      <w:pPr>
        <w:pStyle w:val="Subbullets"/>
        <w:numPr>
          <w:ilvl w:val="0"/>
          <w:numId w:val="5"/>
        </w:numPr>
        <w:spacing w:before="0" w:after="80"/>
        <w:rPr>
          <w:rFonts w:ascii="Bahnschrift Light" w:hAnsi="Bahnschrift Light"/>
        </w:rPr>
      </w:pPr>
      <w:r>
        <w:rPr>
          <w:rFonts w:ascii="Bahnschrift Light" w:hAnsi="Bahnschrift Light"/>
        </w:rPr>
        <w:t>Two-or-more person non-census-family household</w:t>
      </w:r>
    </w:p>
    <w:p>
      <w:pPr>
        <w:pStyle w:val="Normal"/>
        <w:rPr/>
      </w:pPr>
      <w:r>
        <w:rPr/>
      </w:r>
    </w:p>
    <w:p>
      <w:pPr>
        <w:pStyle w:val="Normal"/>
        <w:rPr/>
      </w:pPr>
      <w:r>
        <w:rPr/>
        <w:t xml:space="preserve">HART elected to use these groups because they account for all categories that would affect the type of unit needed to house them. For example, the aggregate category “non-census-family households” was chosen as both (i) one person households and (ii) two or more-person non-census-family households would have the same type of bedroom requirement, i.e., one bedroom per individual in the non-census-family household. </w:t>
      </w:r>
      <w:r>
        <w:rPr/>
        <w:fldChar w:fldCharType="begin"/>
      </w:r>
      <w:r>
        <w:rPr/>
        <w:instrText> REF _Ref150414785 \h </w:instrText>
      </w:r>
      <w:r>
        <w:rPr/>
        <w:fldChar w:fldCharType="separate"/>
      </w:r>
      <w:r>
        <w:rPr/>
        <w:t>Appendix C: Family type bedroom requirements</w:t>
      </w:r>
      <w:r>
        <w:rPr/>
        <w:fldChar w:fldCharType="end"/>
      </w:r>
      <w:r>
        <w:rPr/>
        <w:t xml:space="preserve"> describes how to convert household size and family type into number of bedrooms.</w:t>
      </w:r>
    </w:p>
    <w:p>
      <w:pPr>
        <w:pStyle w:val="Normal"/>
        <w:rPr/>
      </w:pPr>
      <w:r>
        <w:rPr/>
      </w:r>
    </w:p>
    <w:p>
      <w:pPr>
        <w:pStyle w:val="Normal"/>
        <w:rPr/>
      </w:pPr>
      <w:r>
        <w:rPr/>
        <w:t xml:space="preserve">Calculating household growth by income or household size is possible for most communities since we are only disaggregating by one dimension (i.e., total households split by income, or total households split by household size. To estimate the units needed by number of bedrooms however, we need to split by 3 dimensions: income, household size, and family type. Performing this split on small communities will result in most values being suppressed, and the estimate being inaccurate. Therefore, we generally only estimate the unit mix in 2031 for communities with over 10,000 total households. </w:t>
      </w:r>
      <w:r>
        <w:rPr/>
        <w:fldChar w:fldCharType="begin"/>
      </w:r>
      <w:r>
        <w:rPr/>
        <w:instrText> REF _Ref151458032 \h </w:instrText>
      </w:r>
      <w:r>
        <w:rPr/>
        <w:fldChar w:fldCharType="separate"/>
      </w:r>
      <w:r>
        <w:rPr/>
        <w:t>Appendix D: Methodology of Household growth between 2021 and 2031</w:t>
      </w:r>
      <w:r>
        <w:rPr/>
        <w:fldChar w:fldCharType="end"/>
      </w:r>
      <w:r>
        <w:rPr/>
        <w:t xml:space="preserve"> describes the methodology used to forecast the growth in households between 2021 and 2031.</w:t>
      </w:r>
    </w:p>
    <w:p>
      <w:pPr>
        <w:pStyle w:val="Normal"/>
        <w:rPr/>
      </w:pPr>
      <w:r>
        <w:rPr/>
      </w:r>
    </w:p>
    <w:p>
      <w:pPr>
        <w:pStyle w:val="Normal"/>
        <w:spacing w:lineRule="auto" w:line="259" w:before="0" w:after="160"/>
        <w:rPr>
          <w:rFonts w:ascii="Bahnschrift" w:hAnsi="Bahnschrift"/>
          <w:b/>
          <w:b/>
          <w:bCs/>
          <w:sz w:val="24"/>
        </w:rPr>
      </w:pPr>
      <w:r>
        <w:rPr>
          <w:rFonts w:ascii="Bahnschrift" w:hAnsi="Bahnschrift"/>
          <w:b/>
          <w:bCs/>
          <w:sz w:val="24"/>
        </w:rPr>
      </w:r>
      <w:r>
        <w:br w:type="page"/>
      </w:r>
    </w:p>
    <w:p>
      <w:pPr>
        <w:pStyle w:val="Heading2"/>
        <w:shd w:fill="FFFFFF" w:val="clear"/>
        <w:spacing w:before="280" w:after="280"/>
        <w:rPr>
          <w:sz w:val="24"/>
          <w:highlight w:val="yellow"/>
        </w:rPr>
      </w:pPr>
      <w:bookmarkStart w:id="46" w:name="_Toc156309951"/>
      <w:r>
        <w:rPr>
          <w:sz w:val="24"/>
        </w:rPr>
        <w:t>Future Housing Need in [</w:t>
      </w:r>
      <w:r>
        <w:rPr>
          <w:sz w:val="24"/>
          <w:highlight w:val="yellow"/>
        </w:rPr>
        <w:t>Community CD</w:t>
      </w:r>
      <w:r>
        <w:rPr>
          <w:sz w:val="24"/>
        </w:rPr>
        <w:t>]</w:t>
      </w:r>
      <w:bookmarkEnd w:id="46"/>
      <w:r>
        <w:rPr>
          <w:sz w:val="24"/>
        </w:rPr>
        <w:t xml:space="preserve"> </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number of bedrooms and income: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35"/>
        <w:gridCol w:w="1336"/>
        <w:gridCol w:w="1334"/>
        <w:gridCol w:w="1337"/>
        <w:gridCol w:w="1336"/>
        <w:gridCol w:w="1336"/>
        <w:gridCol w:w="1335"/>
      </w:tblGrid>
      <w:tr>
        <w:trPr/>
        <w:tc>
          <w:tcPr>
            <w:tcW w:w="9349" w:type="dxa"/>
            <w:gridSpan w:val="7"/>
            <w:tcBorders/>
          </w:tcPr>
          <w:p>
            <w:pPr>
              <w:pStyle w:val="BodyParagraphBlack"/>
              <w:widowControl/>
              <w:spacing w:before="0" w:after="160"/>
              <w:jc w:val="center"/>
              <w:rPr>
                <w:rFonts w:ascii="Arial" w:hAnsi="Arial" w:cs="Arial"/>
                <w:sz w:val="20"/>
                <w:szCs w:val="20"/>
              </w:rPr>
            </w:pPr>
            <w:r>
              <w:rPr>
                <w:rFonts w:cs="Arial" w:ascii="Arial" w:hAnsi="Arial"/>
                <w:kern w:val="0"/>
                <w:sz w:val="20"/>
                <w:szCs w:val="20"/>
                <w:lang w:bidi="ar-SA"/>
              </w:rPr>
              <w:t>2021 Households in CHN – [</w:t>
            </w:r>
            <w:r>
              <w:rPr>
                <w:rFonts w:cs="Arial" w:ascii="Arial" w:hAnsi="Arial"/>
                <w:kern w:val="0"/>
                <w:sz w:val="20"/>
                <w:szCs w:val="20"/>
                <w:highlight w:val="yellow"/>
                <w:lang w:bidi="ar-SA"/>
              </w:rPr>
              <w:t>Community CD</w:t>
            </w:r>
            <w:r>
              <w:rPr>
                <w:rFonts w:cs="Arial" w:ascii="Arial" w:hAnsi="Arial"/>
                <w:kern w:val="0"/>
                <w:sz w:val="20"/>
                <w:szCs w:val="20"/>
                <w:lang w:bidi="ar-SA"/>
              </w:rPr>
              <w:t>]</w:t>
            </w:r>
          </w:p>
        </w:tc>
      </w:tr>
      <w:tr>
        <w:trPr/>
        <w:tc>
          <w:tcPr>
            <w:tcW w:w="1335" w:type="dxa"/>
            <w:tcBorders/>
            <w:shd w:color="auto" w:fill="F2F2F2" w:themeFill="background1" w:themeFillShade="f2" w:val="clear"/>
            <w:vAlign w:val="center"/>
          </w:tcPr>
          <w:p>
            <w:pPr>
              <w:pStyle w:val="BodyParagraphBlack"/>
              <w:widowControl/>
              <w:spacing w:before="0" w:after="160"/>
              <w:jc w:val="left"/>
              <w:rPr>
                <w:rFonts w:ascii="Arial" w:hAnsi="Arial" w:cs="Arial"/>
                <w:sz w:val="20"/>
                <w:szCs w:val="20"/>
              </w:rPr>
            </w:pPr>
            <w:r>
              <w:rPr>
                <w:rFonts w:cs="Arial" w:ascii="Arial" w:hAnsi="Arial"/>
                <w:kern w:val="0"/>
                <w:sz w:val="20"/>
                <w:szCs w:val="20"/>
                <w:lang w:bidi="ar-SA"/>
              </w:rPr>
              <w:t># of Bedrooms</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Very Low Income</w:t>
            </w:r>
          </w:p>
        </w:tc>
        <w:tc>
          <w:tcPr>
            <w:tcW w:w="1334"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Low</w:t>
            </w:r>
          </w:p>
        </w:tc>
        <w:tc>
          <w:tcPr>
            <w:tcW w:w="1337"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Moderate</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Median</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High Income</w:t>
            </w:r>
          </w:p>
        </w:tc>
        <w:tc>
          <w:tcPr>
            <w:tcW w:w="1335" w:type="dxa"/>
            <w:tcBorders/>
            <w:shd w:color="auto" w:fill="E2EFD9" w:themeFill="accent6" w:themeFillTint="33" w:val="clear"/>
            <w:vAlign w:val="cente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t>Total</w:t>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1</w:t>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highlight w:val="yellow"/>
                <w:lang w:bidi="ar-SA"/>
              </w:rPr>
              <w:t xml:space="preserve">#,### / </w:t>
            </w:r>
            <w:r>
              <w:rPr>
                <w:rFonts w:cs="Arial" w:ascii="Arial" w:hAnsi="Arial"/>
                <w:color w:val="C00000"/>
                <w:kern w:val="0"/>
                <w:sz w:val="20"/>
                <w:szCs w:val="20"/>
                <w:highlight w:val="yellow"/>
                <w:lang w:bidi="ar-SA"/>
              </w:rPr>
              <w:t>-#,###</w:t>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2</w:t>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3</w:t>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4</w:t>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5+</w:t>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E2EFD9" w:themeFill="accent6" w:themeFillTint="33" w:val="clear"/>
          </w:tcPr>
          <w:p>
            <w:pPr>
              <w:pStyle w:val="BodyParagraphBlack"/>
              <w:widowControl/>
              <w:spacing w:before="0" w:after="160"/>
              <w:rPr>
                <w:rFonts w:ascii="Arial" w:hAnsi="Arial" w:cs="Arial"/>
                <w:b/>
                <w:b/>
                <w:sz w:val="20"/>
                <w:szCs w:val="20"/>
              </w:rPr>
            </w:pPr>
            <w:r>
              <w:rPr>
                <w:rFonts w:cs="Arial" w:ascii="Arial" w:hAnsi="Arial"/>
                <w:b/>
                <w:kern w:val="0"/>
                <w:sz w:val="20"/>
                <w:szCs w:val="20"/>
                <w:lang w:bidi="ar-SA"/>
              </w:rPr>
              <w:t>Total</w:t>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4"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7"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bl>
    <w:p>
      <w:pPr>
        <w:pStyle w:val="Caption1"/>
        <w:rPr/>
      </w:pPr>
      <w:r>
        <w:rPr/>
        <w:t xml:space="preserve">Table </w:t>
      </w:r>
      <w:r>
        <w:rPr/>
        <w:fldChar w:fldCharType="begin"/>
      </w:r>
      <w:r>
        <w:rPr/>
        <w:instrText> SEQ Table \* ARABIC </w:instrText>
      </w:r>
      <w:r>
        <w:rPr/>
        <w:fldChar w:fldCharType="separate"/>
      </w:r>
      <w:r>
        <w:rPr/>
        <w:t>28</w:t>
      </w:r>
      <w:r>
        <w:rPr/>
        <w:fldChar w:fldCharType="end"/>
      </w:r>
      <w:r>
        <w:rPr/>
        <w:t>: Actual number of households in core housing need in 2021, by income and number of bedrooms – [</w:t>
      </w:r>
      <w:r>
        <w:rPr>
          <w:highlight w:val="yellow"/>
        </w:rPr>
        <w:t>Community CD</w:t>
      </w:r>
      <w:r>
        <w:rPr/>
        <w:t>].</w:t>
      </w:r>
    </w:p>
    <w:p>
      <w:pPr>
        <w:pStyle w:val="BodyParagraphBlack"/>
        <w:jc w:val="left"/>
        <w:rPr>
          <w:rFonts w:ascii="Bahnschrift Light" w:hAnsi="Bahnschrift Light"/>
          <w:color w:val="00B0F0"/>
          <w:sz w:val="20"/>
          <w:szCs w:val="20"/>
        </w:rPr>
      </w:pPr>
      <w:r>
        <w:rPr>
          <w:rFonts w:ascii="Bahnschrift Light" w:hAnsi="Bahnschrift Light"/>
          <w:color w:val="00B0F0"/>
          <w:sz w:val="24"/>
          <w:szCs w:val="20"/>
        </w:rPr>
        <w:t xml:space="preserve">Step 2. Estimate change in number of Total Households between 2021 and 2031 by number of bedrooms and income (see </w:t>
      </w:r>
      <w:r>
        <w:rPr>
          <w:rFonts w:ascii="Bahnschrift Light" w:hAnsi="Bahnschrift Light"/>
          <w:color w:val="00B0F0"/>
          <w:sz w:val="24"/>
          <w:szCs w:val="20"/>
        </w:rPr>
        <w:fldChar w:fldCharType="begin"/>
      </w:r>
      <w:r>
        <w:rPr>
          <w:sz w:val="24"/>
          <w:szCs w:val="20"/>
          <w:rFonts w:ascii="Bahnschrift Light" w:hAnsi="Bahnschrift Light"/>
          <w:color w:val="00B0F0"/>
        </w:rPr>
        <w:instrText> REF _Ref151458032 \h </w:instrText>
      </w:r>
      <w:r>
        <w:rPr>
          <w:sz w:val="24"/>
          <w:szCs w:val="20"/>
          <w:rFonts w:ascii="Bahnschrift Light" w:hAnsi="Bahnschrift Light"/>
          <w:color w:val="00B0F0"/>
        </w:rPr>
        <w:fldChar w:fldCharType="separate"/>
      </w:r>
      <w:r>
        <w:rPr>
          <w:sz w:val="24"/>
          <w:szCs w:val="20"/>
          <w:rFonts w:ascii="Bahnschrift Light" w:hAnsi="Bahnschrift Light"/>
          <w:color w:val="00B0F0"/>
        </w:rPr>
        <w:t>Appendix D: Methodology of Household growth between 2021 and 2031</w:t>
      </w:r>
      <w:r>
        <w:rPr>
          <w:sz w:val="24"/>
          <w:szCs w:val="20"/>
          <w:rFonts w:ascii="Bahnschrift Light" w:hAnsi="Bahnschrift Light"/>
          <w:color w:val="00B0F0"/>
        </w:rPr>
        <w:fldChar w:fldCharType="end"/>
      </w:r>
      <w:r>
        <w:rPr>
          <w:rFonts w:ascii="Bahnschrift Light" w:hAnsi="Bahnschrift Light"/>
          <w:color w:val="00B0F0"/>
          <w:sz w:val="24"/>
          <w:szCs w:val="20"/>
        </w:rPr>
        <w:t xml:space="preserve"> for methodology</w:t>
      </w:r>
      <w:r>
        <w:rPr>
          <w:rFonts w:ascii="Bahnschrift Light" w:hAnsi="Bahnschrift Light"/>
          <w:color w:val="00B0F0"/>
          <w:sz w:val="20"/>
          <w:szCs w:val="20"/>
        </w:rPr>
        <w:t>):</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35"/>
        <w:gridCol w:w="1336"/>
        <w:gridCol w:w="1334"/>
        <w:gridCol w:w="1337"/>
        <w:gridCol w:w="1336"/>
        <w:gridCol w:w="1336"/>
        <w:gridCol w:w="1335"/>
      </w:tblGrid>
      <w:tr>
        <w:trPr/>
        <w:tc>
          <w:tcPr>
            <w:tcW w:w="9349" w:type="dxa"/>
            <w:gridSpan w:val="7"/>
            <w:tcBorders/>
          </w:tcPr>
          <w:p>
            <w:pPr>
              <w:pStyle w:val="BodyParagraphBlack"/>
              <w:widowControl/>
              <w:spacing w:before="0" w:after="160"/>
              <w:jc w:val="center"/>
              <w:rPr>
                <w:rFonts w:ascii="Arial" w:hAnsi="Arial" w:cs="Arial"/>
                <w:sz w:val="20"/>
                <w:szCs w:val="20"/>
              </w:rPr>
            </w:pPr>
            <w:r>
              <w:rPr>
                <w:rFonts w:cs="Arial" w:ascii="Arial" w:hAnsi="Arial"/>
                <w:kern w:val="0"/>
                <w:sz w:val="20"/>
                <w:szCs w:val="20"/>
                <w:lang w:bidi="ar-SA"/>
              </w:rPr>
              <w:t>Estimated change in Number of Households 2021 to 2031 – [</w:t>
            </w:r>
            <w:r>
              <w:rPr>
                <w:rFonts w:cs="Arial" w:ascii="Arial" w:hAnsi="Arial"/>
                <w:kern w:val="0"/>
                <w:sz w:val="20"/>
                <w:szCs w:val="20"/>
                <w:highlight w:val="yellow"/>
                <w:lang w:bidi="ar-SA"/>
              </w:rPr>
              <w:t>Community CD</w:t>
            </w:r>
            <w:r>
              <w:rPr>
                <w:rFonts w:cs="Arial" w:ascii="Arial" w:hAnsi="Arial"/>
                <w:kern w:val="0"/>
                <w:sz w:val="20"/>
                <w:szCs w:val="20"/>
                <w:lang w:bidi="ar-SA"/>
              </w:rPr>
              <w:t>]</w:t>
            </w:r>
          </w:p>
        </w:tc>
      </w:tr>
      <w:tr>
        <w:trPr/>
        <w:tc>
          <w:tcPr>
            <w:tcW w:w="1335" w:type="dxa"/>
            <w:tcBorders/>
            <w:shd w:color="auto" w:fill="F2F2F2" w:themeFill="background1" w:themeFillShade="f2" w:val="clear"/>
            <w:vAlign w:val="center"/>
          </w:tcPr>
          <w:p>
            <w:pPr>
              <w:pStyle w:val="BodyParagraphBlack"/>
              <w:widowControl/>
              <w:spacing w:before="0" w:after="160"/>
              <w:jc w:val="left"/>
              <w:rPr>
                <w:rFonts w:ascii="Arial" w:hAnsi="Arial" w:cs="Arial"/>
                <w:sz w:val="20"/>
                <w:szCs w:val="20"/>
              </w:rPr>
            </w:pPr>
            <w:r>
              <w:rPr>
                <w:rFonts w:cs="Arial" w:ascii="Arial" w:hAnsi="Arial"/>
                <w:kern w:val="0"/>
                <w:sz w:val="20"/>
                <w:szCs w:val="20"/>
                <w:lang w:bidi="ar-SA"/>
              </w:rPr>
              <w:t># of Bedrooms</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Very Low Income</w:t>
            </w:r>
          </w:p>
        </w:tc>
        <w:tc>
          <w:tcPr>
            <w:tcW w:w="1334"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Low</w:t>
            </w:r>
          </w:p>
        </w:tc>
        <w:tc>
          <w:tcPr>
            <w:tcW w:w="1337"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Moderate</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Median</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High Income</w:t>
            </w:r>
          </w:p>
        </w:tc>
        <w:tc>
          <w:tcPr>
            <w:tcW w:w="1335" w:type="dxa"/>
            <w:tcBorders/>
            <w:shd w:color="auto" w:fill="E2EFD9" w:themeFill="accent6" w:themeFillTint="33" w:val="clear"/>
            <w:vAlign w:val="cente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t>Total</w:t>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1</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kern w:val="0"/>
                <w:sz w:val="20"/>
                <w:szCs w:val="20"/>
                <w:highlight w:val="yellow"/>
                <w:lang w:bidi="ar-SA"/>
              </w:rPr>
              <w:t xml:space="preserve">#,### / </w:t>
            </w:r>
            <w:r>
              <w:rPr>
                <w:rFonts w:cs="Arial" w:ascii="Arial" w:hAnsi="Arial"/>
                <w:color w:val="C00000"/>
                <w:kern w:val="0"/>
                <w:sz w:val="20"/>
                <w:szCs w:val="20"/>
                <w:highlight w:val="yellow"/>
                <w:lang w:bidi="ar-SA"/>
              </w:rPr>
              <w:t>-#,###</w:t>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2</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color w:val="FF0000"/>
                <w:sz w:val="20"/>
                <w:szCs w:val="20"/>
              </w:rPr>
            </w:pPr>
            <w:r>
              <w:rPr>
                <w:rFonts w:cs="Arial" w:ascii="Arial" w:hAnsi="Arial"/>
                <w:color w:val="FF0000"/>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3</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7" w:type="dxa"/>
            <w:tcBorders/>
          </w:tcPr>
          <w:p>
            <w:pPr>
              <w:pStyle w:val="BodyParagraphBlack"/>
              <w:widowControl/>
              <w:spacing w:before="0" w:after="160"/>
              <w:jc w:val="right"/>
              <w:rPr>
                <w:rFonts w:ascii="Arial" w:hAnsi="Arial" w:cs="Arial"/>
                <w:color w:val="FF0000"/>
                <w:sz w:val="20"/>
                <w:szCs w:val="20"/>
              </w:rPr>
            </w:pPr>
            <w:r>
              <w:rPr>
                <w:rFonts w:cs="Arial" w:ascii="Arial" w:hAnsi="Arial"/>
                <w:color w:val="FF0000"/>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4</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7" w:type="dxa"/>
            <w:tcBorders/>
          </w:tcPr>
          <w:p>
            <w:pPr>
              <w:pStyle w:val="BodyParagraphBlack"/>
              <w:widowControl/>
              <w:spacing w:before="0" w:after="160"/>
              <w:jc w:val="right"/>
              <w:rPr>
                <w:rFonts w:ascii="Arial" w:hAnsi="Arial" w:cs="Arial"/>
                <w:color w:val="FF0000"/>
                <w:sz w:val="20"/>
                <w:szCs w:val="20"/>
              </w:rPr>
            </w:pPr>
            <w:r>
              <w:rPr>
                <w:rFonts w:cs="Arial" w:ascii="Arial" w:hAnsi="Arial"/>
                <w:color w:val="FF0000"/>
                <w:kern w:val="0"/>
                <w:sz w:val="20"/>
                <w:szCs w:val="20"/>
                <w:lang w:bidi="ar-SA"/>
              </w:rPr>
            </w:r>
          </w:p>
        </w:tc>
        <w:tc>
          <w:tcPr>
            <w:tcW w:w="1336" w:type="dxa"/>
            <w:tcBorders/>
          </w:tcPr>
          <w:p>
            <w:pPr>
              <w:pStyle w:val="BodyParagraphBlack"/>
              <w:widowControl/>
              <w:spacing w:before="0" w:after="160"/>
              <w:jc w:val="right"/>
              <w:rPr>
                <w:rFonts w:ascii="Arial" w:hAnsi="Arial" w:cs="Arial"/>
                <w:color w:val="FF0000"/>
                <w:sz w:val="20"/>
                <w:szCs w:val="20"/>
              </w:rPr>
            </w:pPr>
            <w:r>
              <w:rPr>
                <w:rFonts w:cs="Arial" w:ascii="Arial" w:hAnsi="Arial"/>
                <w:color w:val="FF0000"/>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rHeight w:val="332" w:hRule="atLeast"/>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5+</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color w:val="FF0000"/>
                <w:sz w:val="20"/>
                <w:szCs w:val="20"/>
              </w:rPr>
            </w:pPr>
            <w:r>
              <w:rPr>
                <w:rFonts w:cs="Arial" w:ascii="Arial" w:hAnsi="Arial"/>
                <w:color w:val="FF0000"/>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E2EFD9" w:themeFill="accent6" w:themeFillTint="33" w:val="clear"/>
          </w:tcPr>
          <w:p>
            <w:pPr>
              <w:pStyle w:val="BodyParagraphBlack"/>
              <w:widowControl/>
              <w:spacing w:before="0" w:after="160"/>
              <w:rPr>
                <w:rFonts w:ascii="Arial" w:hAnsi="Arial" w:cs="Arial"/>
                <w:b/>
                <w:b/>
                <w:sz w:val="20"/>
                <w:szCs w:val="20"/>
              </w:rPr>
            </w:pPr>
            <w:r>
              <w:rPr>
                <w:rFonts w:cs="Arial" w:ascii="Arial" w:hAnsi="Arial"/>
                <w:b/>
                <w:kern w:val="0"/>
                <w:sz w:val="20"/>
                <w:szCs w:val="20"/>
                <w:lang w:bidi="ar-SA"/>
              </w:rPr>
              <w:t>Total</w:t>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color w:val="C00000"/>
                <w:sz w:val="20"/>
                <w:szCs w:val="20"/>
              </w:rPr>
            </w:pPr>
            <w:r>
              <w:rPr>
                <w:rFonts w:cs="Arial" w:ascii="Arial" w:hAnsi="Arial"/>
                <w:b/>
                <w:color w:val="C00000"/>
                <w:kern w:val="0"/>
                <w:sz w:val="20"/>
                <w:szCs w:val="20"/>
                <w:lang w:bidi="ar-SA"/>
              </w:rPr>
            </w:r>
          </w:p>
        </w:tc>
        <w:tc>
          <w:tcPr>
            <w:tcW w:w="1334"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7"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bl>
    <w:p>
      <w:pPr>
        <w:pStyle w:val="Caption1"/>
        <w:rPr>
          <w:sz w:val="20"/>
          <w:szCs w:val="20"/>
        </w:rPr>
      </w:pPr>
      <w:r>
        <w:rPr/>
        <w:t xml:space="preserve">Table </w:t>
      </w:r>
      <w:r>
        <w:rPr/>
        <w:fldChar w:fldCharType="begin"/>
      </w:r>
      <w:r>
        <w:rPr/>
        <w:instrText> SEQ Table \* ARABIC </w:instrText>
      </w:r>
      <w:r>
        <w:rPr/>
        <w:fldChar w:fldCharType="separate"/>
      </w:r>
      <w:r>
        <w:rPr/>
        <w:t>29</w:t>
      </w:r>
      <w:r>
        <w:rPr/>
        <w:fldChar w:fldCharType="end"/>
      </w:r>
      <w:r>
        <w:rPr/>
        <w:t>: Estimated change in number of households between 2021 and 2031, by income and number of bedrooms - [</w:t>
      </w:r>
      <w:r>
        <w:rPr>
          <w:highlight w:val="yellow"/>
        </w:rPr>
        <w:t>Community CD</w:t>
      </w:r>
      <w:r>
        <w:rPr/>
        <w:t>]..</w:t>
      </w:r>
    </w:p>
    <w:p>
      <w:pPr>
        <w:pStyle w:val="BodyParagraphBlack"/>
        <w:jc w:val="left"/>
        <w:rPr>
          <w:rFonts w:ascii="Bahnschrift Light" w:hAnsi="Bahnschrift Light"/>
          <w:color w:val="00B0F0"/>
          <w:sz w:val="20"/>
          <w:szCs w:val="20"/>
        </w:rPr>
      </w:pPr>
      <w:r>
        <w:rPr>
          <w:rFonts w:ascii="Bahnschrift Light" w:hAnsi="Bahnschrift Light"/>
          <w:color w:val="00B0F0"/>
          <w:sz w:val="20"/>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35"/>
        <w:gridCol w:w="1336"/>
        <w:gridCol w:w="1334"/>
        <w:gridCol w:w="1337"/>
        <w:gridCol w:w="1336"/>
        <w:gridCol w:w="1336"/>
        <w:gridCol w:w="1335"/>
      </w:tblGrid>
      <w:tr>
        <w:trPr/>
        <w:tc>
          <w:tcPr>
            <w:tcW w:w="9349" w:type="dxa"/>
            <w:gridSpan w:val="7"/>
            <w:tcBorders/>
          </w:tcPr>
          <w:p>
            <w:pPr>
              <w:pStyle w:val="BodyParagraphBlack"/>
              <w:widowControl/>
              <w:spacing w:before="0" w:after="160"/>
              <w:jc w:val="center"/>
              <w:rPr>
                <w:rFonts w:ascii="Arial" w:hAnsi="Arial" w:cs="Arial"/>
                <w:sz w:val="20"/>
                <w:szCs w:val="20"/>
              </w:rPr>
            </w:pPr>
            <w:r>
              <w:rPr>
                <w:rFonts w:cs="Arial" w:ascii="Arial" w:hAnsi="Arial"/>
                <w:kern w:val="0"/>
                <w:sz w:val="20"/>
                <w:szCs w:val="20"/>
                <w:lang w:bidi="ar-SA"/>
              </w:rPr>
              <w:t>Estimated Housing Need in 2031 – [</w:t>
            </w:r>
            <w:r>
              <w:rPr>
                <w:rFonts w:cs="Arial" w:ascii="Arial" w:hAnsi="Arial"/>
                <w:kern w:val="0"/>
                <w:sz w:val="20"/>
                <w:szCs w:val="20"/>
                <w:highlight w:val="yellow"/>
                <w:lang w:bidi="ar-SA"/>
              </w:rPr>
              <w:t>Community CD</w:t>
            </w:r>
            <w:r>
              <w:rPr>
                <w:rFonts w:cs="Arial" w:ascii="Arial" w:hAnsi="Arial"/>
                <w:kern w:val="0"/>
                <w:sz w:val="20"/>
                <w:szCs w:val="20"/>
                <w:lang w:bidi="ar-SA"/>
              </w:rPr>
              <w:t>]</w:t>
            </w:r>
          </w:p>
        </w:tc>
      </w:tr>
      <w:tr>
        <w:trPr/>
        <w:tc>
          <w:tcPr>
            <w:tcW w:w="1335" w:type="dxa"/>
            <w:tcBorders/>
            <w:shd w:color="auto" w:fill="F2F2F2" w:themeFill="background1" w:themeFillShade="f2" w:val="clear"/>
          </w:tcPr>
          <w:p>
            <w:pPr>
              <w:pStyle w:val="BodyParagraphBlack"/>
              <w:widowControl/>
              <w:spacing w:before="0" w:after="160"/>
              <w:jc w:val="left"/>
              <w:rPr>
                <w:rFonts w:ascii="Arial" w:hAnsi="Arial" w:cs="Arial"/>
                <w:sz w:val="20"/>
                <w:szCs w:val="20"/>
              </w:rPr>
            </w:pPr>
            <w:r>
              <w:rPr>
                <w:rFonts w:cs="Arial" w:ascii="Arial" w:hAnsi="Arial"/>
                <w:kern w:val="0"/>
                <w:sz w:val="20"/>
                <w:szCs w:val="20"/>
                <w:lang w:bidi="ar-SA"/>
              </w:rPr>
              <w:t># of Bedrooms</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Very Low Income</w:t>
            </w:r>
          </w:p>
        </w:tc>
        <w:tc>
          <w:tcPr>
            <w:tcW w:w="1334"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Low</w:t>
            </w:r>
          </w:p>
        </w:tc>
        <w:tc>
          <w:tcPr>
            <w:tcW w:w="1337"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Moderate</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Median</w:t>
            </w:r>
          </w:p>
        </w:tc>
        <w:tc>
          <w:tcPr>
            <w:tcW w:w="1336" w:type="dxa"/>
            <w:tcBorders/>
            <w:shd w:color="auto" w:fill="auto" w:val="clear"/>
            <w:vAlign w:val="center"/>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t>High Income</w:t>
            </w:r>
          </w:p>
        </w:tc>
        <w:tc>
          <w:tcPr>
            <w:tcW w:w="1335" w:type="dxa"/>
            <w:tcBorders/>
            <w:shd w:color="auto" w:fill="E2EFD9" w:themeFill="accent6" w:themeFillTint="33" w:val="clear"/>
            <w:vAlign w:val="cente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t>Total</w:t>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1</w:t>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highlight w:val="yellow"/>
                <w:lang w:bidi="ar-SA"/>
              </w:rPr>
              <w:t xml:space="preserve">#,### / </w:t>
            </w:r>
            <w:r>
              <w:rPr>
                <w:rFonts w:cs="Arial" w:ascii="Arial" w:hAnsi="Arial"/>
                <w:color w:val="C00000"/>
                <w:kern w:val="0"/>
                <w:sz w:val="20"/>
                <w:szCs w:val="20"/>
                <w:highlight w:val="yellow"/>
                <w:lang w:bidi="ar-SA"/>
              </w:rPr>
              <w:t>-#,###</w:t>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2</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3</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4</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color w:val="FF0000"/>
                <w:sz w:val="20"/>
                <w:szCs w:val="20"/>
              </w:rPr>
            </w:pPr>
            <w:r>
              <w:rPr>
                <w:rFonts w:cs="Arial" w:ascii="Arial" w:hAnsi="Arial"/>
                <w:color w:val="FF0000"/>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F2F2F2" w:themeFill="background1" w:themeFillShade="f2" w:val="clear"/>
          </w:tcPr>
          <w:p>
            <w:pPr>
              <w:pStyle w:val="BodyParagraphBlack"/>
              <w:widowControl/>
              <w:spacing w:before="0" w:after="160"/>
              <w:rPr>
                <w:rFonts w:ascii="Arial" w:hAnsi="Arial" w:cs="Arial"/>
                <w:sz w:val="20"/>
                <w:szCs w:val="20"/>
              </w:rPr>
            </w:pPr>
            <w:r>
              <w:rPr>
                <w:rFonts w:cs="Arial" w:ascii="Arial" w:hAnsi="Arial"/>
                <w:kern w:val="0"/>
                <w:sz w:val="20"/>
                <w:szCs w:val="20"/>
                <w:lang w:bidi="ar-SA"/>
              </w:rPr>
              <w:t>5+</w:t>
            </w:r>
          </w:p>
        </w:tc>
        <w:tc>
          <w:tcPr>
            <w:tcW w:w="1336" w:type="dxa"/>
            <w:tcBorders/>
          </w:tcPr>
          <w:p>
            <w:pPr>
              <w:pStyle w:val="BodyParagraphBlack"/>
              <w:widowControl/>
              <w:spacing w:before="0" w:after="160"/>
              <w:jc w:val="right"/>
              <w:rPr>
                <w:rFonts w:ascii="Arial" w:hAnsi="Arial" w:cs="Arial"/>
                <w:color w:val="C00000"/>
                <w:sz w:val="20"/>
                <w:szCs w:val="20"/>
              </w:rPr>
            </w:pPr>
            <w:r>
              <w:rPr>
                <w:rFonts w:cs="Arial" w:ascii="Arial" w:hAnsi="Arial"/>
                <w:color w:val="C00000"/>
                <w:kern w:val="0"/>
                <w:sz w:val="20"/>
                <w:szCs w:val="20"/>
                <w:lang w:bidi="ar-SA"/>
              </w:rPr>
            </w:r>
          </w:p>
        </w:tc>
        <w:tc>
          <w:tcPr>
            <w:tcW w:w="1334"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7"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6" w:type="dxa"/>
            <w:tcBorders/>
          </w:tcPr>
          <w:p>
            <w:pPr>
              <w:pStyle w:val="BodyParagraphBlack"/>
              <w:widowControl/>
              <w:spacing w:before="0" w:after="160"/>
              <w:jc w:val="right"/>
              <w:rPr>
                <w:rFonts w:ascii="Arial" w:hAnsi="Arial" w:cs="Arial"/>
                <w:color w:val="FF0000"/>
                <w:sz w:val="20"/>
                <w:szCs w:val="20"/>
              </w:rPr>
            </w:pPr>
            <w:r>
              <w:rPr>
                <w:rFonts w:cs="Arial" w:ascii="Arial" w:hAnsi="Arial"/>
                <w:color w:val="FF0000"/>
                <w:kern w:val="0"/>
                <w:sz w:val="20"/>
                <w:szCs w:val="20"/>
                <w:lang w:bidi="ar-SA"/>
              </w:rPr>
            </w:r>
          </w:p>
        </w:tc>
        <w:tc>
          <w:tcPr>
            <w:tcW w:w="1336" w:type="dxa"/>
            <w:tcBorders/>
          </w:tcPr>
          <w:p>
            <w:pPr>
              <w:pStyle w:val="BodyParagraphBlack"/>
              <w:widowControl/>
              <w:spacing w:before="0" w:after="160"/>
              <w:jc w:val="right"/>
              <w:rPr>
                <w:rFonts w:ascii="Arial" w:hAnsi="Arial" w:cs="Arial"/>
                <w:sz w:val="20"/>
                <w:szCs w:val="20"/>
              </w:rPr>
            </w:pPr>
            <w:r>
              <w:rPr>
                <w:rFonts w:cs="Arial" w:ascii="Arial" w:hAnsi="Arial"/>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r>
        <w:trPr/>
        <w:tc>
          <w:tcPr>
            <w:tcW w:w="1335" w:type="dxa"/>
            <w:tcBorders/>
            <w:shd w:color="auto" w:fill="E2EFD9" w:themeFill="accent6" w:themeFillTint="33" w:val="clear"/>
          </w:tcPr>
          <w:p>
            <w:pPr>
              <w:pStyle w:val="BodyParagraphBlack"/>
              <w:widowControl/>
              <w:spacing w:before="0" w:after="160"/>
              <w:rPr>
                <w:rFonts w:ascii="Arial" w:hAnsi="Arial" w:cs="Arial"/>
                <w:b/>
                <w:b/>
                <w:sz w:val="20"/>
                <w:szCs w:val="20"/>
              </w:rPr>
            </w:pPr>
            <w:r>
              <w:rPr>
                <w:rFonts w:cs="Arial" w:ascii="Arial" w:hAnsi="Arial"/>
                <w:b/>
                <w:kern w:val="0"/>
                <w:sz w:val="20"/>
                <w:szCs w:val="20"/>
                <w:lang w:bidi="ar-SA"/>
              </w:rPr>
              <w:t>Total</w:t>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4"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7"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6"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c>
          <w:tcPr>
            <w:tcW w:w="1335" w:type="dxa"/>
            <w:tcBorders/>
            <w:shd w:color="auto" w:fill="E2EFD9" w:themeFill="accent6" w:themeFillTint="33" w:val="clear"/>
          </w:tcPr>
          <w:p>
            <w:pPr>
              <w:pStyle w:val="BodyParagraphBlack"/>
              <w:widowControl/>
              <w:spacing w:before="0" w:after="160"/>
              <w:jc w:val="right"/>
              <w:rPr>
                <w:rFonts w:ascii="Arial" w:hAnsi="Arial" w:cs="Arial"/>
                <w:b/>
                <w:b/>
                <w:sz w:val="20"/>
                <w:szCs w:val="20"/>
              </w:rPr>
            </w:pPr>
            <w:r>
              <w:rPr>
                <w:rFonts w:cs="Arial" w:ascii="Arial" w:hAnsi="Arial"/>
                <w:b/>
                <w:kern w:val="0"/>
                <w:sz w:val="20"/>
                <w:szCs w:val="20"/>
                <w:lang w:bidi="ar-SA"/>
              </w:rPr>
            </w:r>
          </w:p>
        </w:tc>
      </w:tr>
    </w:tbl>
    <w:p>
      <w:pPr>
        <w:pStyle w:val="Caption1"/>
        <w:jc w:val="center"/>
        <w:rPr>
          <w:sz w:val="20"/>
          <w:szCs w:val="20"/>
        </w:rPr>
      </w:pPr>
      <w:bookmarkStart w:id="47" w:name="_Ref150251032"/>
      <w:r>
        <w:rPr/>
        <w:t xml:space="preserve">Table </w:t>
      </w:r>
      <w:r>
        <w:rPr/>
        <w:fldChar w:fldCharType="begin"/>
      </w:r>
      <w:r>
        <w:rPr/>
        <w:instrText> SEQ Table \* ARABIC </w:instrText>
      </w:r>
      <w:r>
        <w:rPr/>
        <w:fldChar w:fldCharType="separate"/>
      </w:r>
      <w:r>
        <w:rPr/>
        <w:t>30</w:t>
      </w:r>
      <w:r>
        <w:rPr/>
        <w:fldChar w:fldCharType="end"/>
      </w:r>
      <w:bookmarkEnd w:id="47"/>
      <w:r>
        <w:rPr/>
        <w:t>: Housing Need in 2031, by income and number of bedrooms - Lennox and Addington.</w:t>
      </w:r>
    </w:p>
    <w:p>
      <w:pPr>
        <w:pStyle w:val="BodyParagraphBlack"/>
        <w:spacing w:lineRule="auto" w:line="360"/>
        <w:jc w:val="left"/>
        <w:rPr>
          <w:rFonts w:ascii="Bahnschrift Light" w:hAnsi="Bahnschrift Light"/>
          <w:i/>
          <w:i/>
          <w:sz w:val="20"/>
          <w:szCs w:val="20"/>
        </w:rPr>
      </w:pPr>
      <w:r>
        <w:rPr>
          <w:rFonts w:ascii="Bahnschrift Light" w:hAnsi="Bahnschrift Light"/>
          <w:i/>
          <w:sz w:val="20"/>
          <w:szCs w:val="20"/>
        </w:rPr>
        <w:t xml:space="preserve">Before interpreting </w:t>
      </w:r>
      <w:r>
        <w:rPr>
          <w:rFonts w:ascii="Bahnschrift Light" w:hAnsi="Bahnschrift Light"/>
          <w:i/>
          <w:sz w:val="20"/>
          <w:szCs w:val="20"/>
        </w:rPr>
        <w:fldChar w:fldCharType="begin"/>
      </w:r>
      <w:r>
        <w:rPr>
          <w:sz w:val="20"/>
          <w:i/>
          <w:szCs w:val="20"/>
          <w:rFonts w:ascii="Bahnschrift Light" w:hAnsi="Bahnschrift Light"/>
        </w:rPr>
        <w:instrText> REF _Ref150251032 \h </w:instrText>
      </w:r>
      <w:r>
        <w:rPr>
          <w:sz w:val="20"/>
          <w:i/>
          <w:szCs w:val="20"/>
          <w:rFonts w:ascii="Bahnschrift Light" w:hAnsi="Bahnschrift Light"/>
        </w:rPr>
        <w:fldChar w:fldCharType="separate"/>
      </w:r>
      <w:r>
        <w:rPr>
          <w:sz w:val="20"/>
          <w:i/>
          <w:szCs w:val="20"/>
          <w:rFonts w:ascii="Bahnschrift Light" w:hAnsi="Bahnschrift Light"/>
        </w:rPr>
        <w:t>Table 30</w:t>
      </w:r>
      <w:r>
        <w:rPr>
          <w:sz w:val="20"/>
          <w:i/>
          <w:szCs w:val="20"/>
          <w:rFonts w:ascii="Bahnschrift Light" w:hAnsi="Bahnschrift Light"/>
        </w:rPr>
        <w:fldChar w:fldCharType="end"/>
      </w:r>
      <w:r>
        <w:rPr>
          <w:rFonts w:ascii="Bahnschrift Light" w:hAnsi="Bahnschrift Light"/>
          <w:i/>
          <w:sz w:val="20"/>
          <w:szCs w:val="20"/>
        </w:rPr>
        <w:t>, it should be noted that it is likely that many Very Low income households were temporarily moved into the Low income category in the 2021 census due to CERB. If so, this would lead to an overestimation of the number of households in Low income and an underestimate of households with a Very Low income. However, there may also be a compelling local reason that this report has not considered.</w:t>
      </w:r>
    </w:p>
    <w:p>
      <w:pPr>
        <w:pStyle w:val="Normal"/>
        <w:spacing w:lineRule="auto" w:line="259" w:before="0" w:after="160"/>
        <w:rPr>
          <w:rFonts w:eastAsia="Calibri" w:cs="Open Sans Light" w:eastAsiaTheme="minorHAnsi"/>
          <w:color w:val="000000"/>
          <w:lang w:val="en-US" w:eastAsia="en-US"/>
        </w:rPr>
      </w:pPr>
      <w:r>
        <w:rPr>
          <w:rFonts w:eastAsia="Calibri" w:cs="Open Sans Light" w:eastAsiaTheme="minorHAnsi"/>
          <w:color w:val="000000"/>
          <w:lang w:val="en-US" w:eastAsia="en-US"/>
        </w:rPr>
      </w:r>
      <w:r>
        <w:br w:type="page"/>
      </w:r>
    </w:p>
    <w:p>
      <w:pPr>
        <w:pStyle w:val="Heading2"/>
        <w:shd w:fill="FFFFFF" w:val="clear"/>
        <w:spacing w:before="280" w:after="280"/>
        <w:rPr>
          <w:sz w:val="24"/>
        </w:rPr>
      </w:pPr>
      <w:bookmarkStart w:id="48" w:name="_Toc156309952"/>
      <w:r>
        <w:rPr>
          <w:sz w:val="24"/>
        </w:rPr>
        <w:t>Future Housing Need in the municipalities of Lennox and Addington</w:t>
      </w:r>
      <w:bookmarkEnd w:id="48"/>
    </w:p>
    <w:p>
      <w:pPr>
        <w:pStyle w:val="BodyParagraphBlack"/>
        <w:spacing w:lineRule="auto" w:line="360"/>
        <w:jc w:val="left"/>
        <w:rPr>
          <w:rFonts w:ascii="Bahnschrift Light" w:hAnsi="Bahnschrift Light"/>
          <w:sz w:val="20"/>
          <w:szCs w:val="20"/>
        </w:rPr>
      </w:pPr>
      <w:r>
        <w:rPr>
          <w:rFonts w:ascii="Bahnschrift Light" w:hAnsi="Bahnschrift Light"/>
          <w:sz w:val="20"/>
          <w:szCs w:val="20"/>
        </w:rPr>
        <w:t>These communities have too few households to perform a forecast of housing need by number of bedrooms, which requires a high degree of disaggregation of data that can lead to reduced data quality when cell counts are small, but we can still apply the same projection methodology to estimate housing need by income and by household size.</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income/size:</w:t>
      </w:r>
    </w:p>
    <w:p>
      <w:pPr>
        <w:pStyle w:val="Heading3"/>
        <w:shd w:fill="FFFFFF" w:val="clear"/>
        <w:spacing w:before="280" w:after="280"/>
        <w:rPr/>
      </w:pPr>
      <w:bookmarkStart w:id="49" w:name="_Toc156309953"/>
      <w:r>
        <w:rPr/>
        <w:t>Households by income:</w:t>
      </w:r>
      <w:bookmarkEnd w:id="49"/>
    </w:p>
    <w:tbl>
      <w:tblPr>
        <w:tblStyle w:val="TableGrid"/>
        <w:tblW w:w="863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619"/>
        <w:gridCol w:w="1752"/>
        <w:gridCol w:w="1727"/>
        <w:gridCol w:w="1728"/>
        <w:gridCol w:w="1809"/>
      </w:tblGrid>
      <w:tr>
        <w:trPr/>
        <w:tc>
          <w:tcPr>
            <w:tcW w:w="8635" w:type="dxa"/>
            <w:gridSpan w:val="5"/>
            <w:tcBorders/>
          </w:tcPr>
          <w:p>
            <w:pPr>
              <w:pStyle w:val="Normal"/>
              <w:widowControl/>
              <w:spacing w:before="0" w:after="0"/>
              <w:jc w:val="center"/>
              <w:rPr>
                <w:rFonts w:ascii="Arial" w:hAnsi="Arial" w:cs="Arial"/>
              </w:rPr>
            </w:pPr>
            <w:r>
              <w:rPr>
                <w:rFonts w:cs="Arial" w:ascii="Arial" w:hAnsi="Arial"/>
                <w:kern w:val="0"/>
                <w:sz w:val="20"/>
                <w:szCs w:val="20"/>
                <w:lang w:val="en-CA" w:eastAsia="zh-CN" w:bidi="ar-SA"/>
              </w:rPr>
              <w:t>HHs in CHN – 2021</w:t>
            </w:r>
          </w:p>
        </w:tc>
      </w:tr>
      <w:tr>
        <w:trPr/>
        <w:tc>
          <w:tcPr>
            <w:tcW w:w="1619" w:type="dxa"/>
            <w:tcBorders/>
            <w:shd w:color="auto" w:fill="F2F2F2" w:themeFill="background1" w:themeFillShade="f2" w:val="clear"/>
            <w:vAlign w:val="cente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Income</w:t>
            </w:r>
          </w:p>
        </w:tc>
        <w:tc>
          <w:tcPr>
            <w:tcW w:w="1752"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7"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809" w:type="dxa"/>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r>
        <w:trPr/>
        <w:tc>
          <w:tcPr>
            <w:tcW w:w="1619"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1752"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80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9"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1752"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80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9"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1752"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80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9"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1752"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7"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80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9"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1752"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7"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809"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619" w:type="dxa"/>
            <w:tcBorders>
              <w:top w:val="single" w:sz="12" w:space="0" w:color="000000"/>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752"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7"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809"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31</w:t>
      </w:r>
      <w:r>
        <w:rPr/>
        <w:fldChar w:fldCharType="end"/>
      </w:r>
      <w:r>
        <w:rPr/>
        <w:t>: Actual number of households in core housing need in 2021, by income - Loyalist, Greater Napanee, Stone Mills, and Addington Highlands.</w:t>
      </w:r>
    </w:p>
    <w:p>
      <w:pPr>
        <w:pStyle w:val="Heading3"/>
        <w:shd w:fill="FFFFFF" w:val="clear"/>
        <w:spacing w:before="280" w:after="280"/>
        <w:rPr/>
      </w:pPr>
      <w:bookmarkStart w:id="50" w:name="_Toc156309954"/>
      <w:r>
        <w:rPr/>
        <w:t>Households by household size:</w:t>
      </w:r>
      <w:bookmarkEnd w:id="50"/>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spacing w:before="0" w:after="0"/>
              <w:jc w:val="center"/>
              <w:rPr>
                <w:rFonts w:ascii="Arial" w:hAnsi="Arial" w:cs="Arial"/>
              </w:rPr>
            </w:pPr>
            <w:r>
              <w:rPr>
                <w:rFonts w:cs="Arial" w:ascii="Arial" w:hAnsi="Arial"/>
                <w:kern w:val="0"/>
                <w:sz w:val="20"/>
                <w:szCs w:val="20"/>
                <w:lang w:val="en-CA" w:eastAsia="zh-CN" w:bidi="ar-SA"/>
              </w:rPr>
              <w:t>HHs in CHN – 2021</w:t>
            </w:r>
          </w:p>
        </w:tc>
      </w:tr>
      <w:tr>
        <w:trPr/>
        <w:tc>
          <w:tcPr>
            <w:tcW w:w="1728"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HH Size (persons)</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728" w:type="dxa"/>
            <w:tcBorders/>
          </w:tcPr>
          <w:p>
            <w:pPr>
              <w:pStyle w:val="Normal"/>
              <w:widowControl/>
              <w:spacing w:before="0" w:after="0"/>
              <w:jc w:val="right"/>
              <w:rPr>
                <w:rFonts w:ascii="Arial" w:hAnsi="Arial" w:cs="Arial"/>
                <w:color w:val="FF0000"/>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r>
      <w:tr>
        <w:trPr/>
        <w:tc>
          <w:tcPr>
            <w:tcW w:w="1728"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p.</w:t>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top w:val="single" w:sz="12" w:space="0" w:color="000000"/>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sz w:val="20"/>
          <w:szCs w:val="20"/>
        </w:rPr>
      </w:pPr>
      <w:r>
        <w:rPr/>
        <w:t xml:space="preserve">Table </w:t>
      </w:r>
      <w:r>
        <w:rPr/>
        <w:fldChar w:fldCharType="begin"/>
      </w:r>
      <w:r>
        <w:rPr/>
        <w:instrText> SEQ Table \* ARABIC </w:instrText>
      </w:r>
      <w:r>
        <w:rPr/>
        <w:fldChar w:fldCharType="separate"/>
      </w:r>
      <w:r>
        <w:rPr/>
        <w:t>32</w:t>
      </w:r>
      <w:r>
        <w:rPr/>
        <w:fldChar w:fldCharType="end"/>
      </w:r>
      <w:r>
        <w:rPr/>
        <w:t>: Actual number of households in core housing need in 2021, by household size - Loyalist, Greater Napanee, Stone Mills, and Addington Highlands.</w:t>
      </w:r>
    </w:p>
    <w:p>
      <w:pPr>
        <w:pStyle w:val="Normal"/>
        <w:spacing w:lineRule="auto" w:line="259" w:before="0" w:after="160"/>
        <w:rPr>
          <w:rFonts w:eastAsia="Calibri" w:cs="Open Sans Light" w:eastAsiaTheme="minorHAnsi"/>
          <w:color w:val="00B0F0"/>
          <w:sz w:val="24"/>
          <w:lang w:val="en-US" w:eastAsia="en-US"/>
        </w:rPr>
      </w:pPr>
      <w:r>
        <w:rPr>
          <w:rFonts w:eastAsia="Calibri" w:cs="Open Sans Light" w:eastAsiaTheme="minorHAnsi"/>
          <w:color w:val="00B0F0"/>
          <w:sz w:val="24"/>
          <w:lang w:val="en-US" w:eastAsia="en-US"/>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2: Estimate change in number of Total Households between 2021 and 2031 by income/household size:</w:t>
      </w:r>
    </w:p>
    <w:p>
      <w:pPr>
        <w:pStyle w:val="Heading3"/>
        <w:shd w:fill="FFFFFF" w:val="clear"/>
        <w:spacing w:before="280" w:after="280"/>
        <w:rPr/>
      </w:pPr>
      <w:bookmarkStart w:id="51" w:name="_Toc156309955"/>
      <w:r>
        <w:rPr/>
        <w:t>Households by income:</w:t>
      </w:r>
      <w:bookmarkEnd w:id="51"/>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spacing w:before="0" w:after="0"/>
              <w:jc w:val="center"/>
              <w:rPr>
                <w:rFonts w:ascii="Arial" w:hAnsi="Arial" w:cs="Arial"/>
              </w:rPr>
            </w:pPr>
            <w:r>
              <w:rPr>
                <w:rFonts w:cs="Arial" w:ascii="Arial" w:hAnsi="Arial"/>
                <w:kern w:val="0"/>
                <w:sz w:val="20"/>
                <w:szCs w:val="20"/>
                <w:lang w:val="en-CA" w:eastAsia="zh-CN" w:bidi="ar-SA"/>
              </w:rPr>
              <w:t>Estimated growth in Total Households between 2021 and 2031</w:t>
            </w:r>
          </w:p>
        </w:tc>
      </w:tr>
      <w:tr>
        <w:trPr/>
        <w:tc>
          <w:tcPr>
            <w:tcW w:w="1728" w:type="dxa"/>
            <w:tcBorders/>
            <w:shd w:color="auto" w:fill="F2F2F2" w:themeFill="background1" w:themeFillShade="f2" w:val="clear"/>
            <w:vAlign w:val="cente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Income</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spacing w:before="0" w:after="0"/>
              <w:jc w:val="right"/>
              <w:rPr>
                <w:rFonts w:ascii="Arial" w:hAnsi="Arial" w:cs="Arial"/>
                <w:color w:val="C00000"/>
              </w:rPr>
            </w:pPr>
            <w:r>
              <w:rPr>
                <w:rFonts w:cs="Arial" w:ascii="Arial" w:hAnsi="Arial"/>
                <w:color w:val="C00000"/>
                <w:kern w:val="0"/>
                <w:sz w:val="20"/>
                <w:szCs w:val="20"/>
                <w:lang w:val="en-CA" w:eastAsia="zh-CN" w:bidi="ar-SA"/>
              </w:rPr>
            </w:r>
          </w:p>
        </w:tc>
        <w:tc>
          <w:tcPr>
            <w:tcW w:w="1728" w:type="dxa"/>
            <w:tcBorders/>
          </w:tcPr>
          <w:p>
            <w:pPr>
              <w:pStyle w:val="Normal"/>
              <w:widowControl/>
              <w:spacing w:before="0" w:after="0"/>
              <w:jc w:val="right"/>
              <w:rPr>
                <w:rFonts w:ascii="Arial" w:hAnsi="Arial" w:cs="Arial"/>
                <w:color w:val="C00000"/>
              </w:rPr>
            </w:pPr>
            <w:r>
              <w:rPr>
                <w:rFonts w:cs="Arial" w:ascii="Arial" w:hAnsi="Arial"/>
                <w:color w:val="C00000"/>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top w:val="single" w:sz="12" w:space="0" w:color="000000"/>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33</w:t>
      </w:r>
      <w:r>
        <w:rPr/>
        <w:fldChar w:fldCharType="end"/>
      </w:r>
      <w:r>
        <w:rPr/>
        <w:t>: Estimated growth in total households between 2021 and 2031, by income – [</w:t>
      </w:r>
      <w:r>
        <w:rPr>
          <w:highlight w:val="yellow"/>
        </w:rPr>
        <w:t>Community CSD</w:t>
      </w:r>
      <w:r>
        <w:rPr/>
        <w:t>].</w:t>
      </w:r>
    </w:p>
    <w:p>
      <w:pPr>
        <w:pStyle w:val="Heading3"/>
        <w:shd w:fill="FFFFFF" w:val="clear"/>
        <w:spacing w:before="280" w:after="280"/>
        <w:rPr/>
      </w:pPr>
      <w:bookmarkStart w:id="52" w:name="_Toc156309956"/>
      <w:r>
        <w:rPr/>
        <w:t>Households by household size:</w:t>
      </w:r>
      <w:bookmarkEnd w:id="52"/>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vAlign w:val="center"/>
          </w:tcPr>
          <w:p>
            <w:pPr>
              <w:pStyle w:val="Normal"/>
              <w:widowControl/>
              <w:spacing w:before="0" w:after="0"/>
              <w:jc w:val="center"/>
              <w:rPr>
                <w:rFonts w:ascii="Arial" w:hAnsi="Arial" w:cs="Arial"/>
              </w:rPr>
            </w:pPr>
            <w:r>
              <w:rPr>
                <w:rFonts w:cs="Arial" w:ascii="Arial" w:hAnsi="Arial"/>
                <w:kern w:val="0"/>
                <w:sz w:val="20"/>
                <w:szCs w:val="20"/>
                <w:lang w:val="en-CA" w:eastAsia="zh-CN" w:bidi="ar-SA"/>
              </w:rPr>
              <w:t>Estimated growth in Total Households between 2021 and 2031</w:t>
            </w:r>
          </w:p>
        </w:tc>
      </w:tr>
      <w:tr>
        <w:trPr/>
        <w:tc>
          <w:tcPr>
            <w:tcW w:w="1728" w:type="dxa"/>
            <w:tcBorders/>
            <w:shd w:color="auto" w:fill="F2F2F2" w:themeFill="background1" w:themeFillShade="f2" w:val="clear"/>
            <w:vAlign w:val="cente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 xml:space="preserve">HH Size </w:t>
              <w:br/>
              <w:t>(persons)</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p.</w:t>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r>
      <w:tr>
        <w:trPr/>
        <w:tc>
          <w:tcPr>
            <w:tcW w:w="1728" w:type="dxa"/>
            <w:tcBorders>
              <w:top w:val="single" w:sz="12" w:space="0" w:color="000000"/>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34</w:t>
      </w:r>
      <w:r>
        <w:rPr/>
        <w:fldChar w:fldCharType="end"/>
      </w:r>
      <w:r>
        <w:rPr/>
        <w:t>: Estimated growth in total households between 2021 and 2031, by household size - [</w:t>
      </w:r>
      <w:r>
        <w:rPr>
          <w:highlight w:val="yellow"/>
        </w:rPr>
        <w:t>Community CSD</w:t>
      </w:r>
      <w:r>
        <w:rPr/>
        <w:t>].</w:t>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pPr>
        <w:pStyle w:val="BodyParagraphBlack"/>
        <w:rPr>
          <w:highlight w:val="yellow"/>
        </w:rPr>
      </w:pPr>
      <w:r>
        <w:rPr>
          <w:highlight w:val="yellow"/>
        </w:rPr>
      </w:r>
    </w:p>
    <w:p>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available]:</w:t>
      </w:r>
    </w:p>
    <w:p>
      <w:pPr>
        <w:pStyle w:val="Heading3"/>
        <w:shd w:fill="FFFFFF" w:val="clear"/>
        <w:spacing w:before="280" w:after="280"/>
        <w:rPr/>
      </w:pPr>
      <w:bookmarkStart w:id="53" w:name="_Toc156309957"/>
      <w:r>
        <w:rPr/>
        <w:t>Households by income:</w:t>
      </w:r>
      <w:bookmarkEnd w:id="53"/>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spacing w:before="0" w:after="0"/>
              <w:jc w:val="center"/>
              <w:rPr>
                <w:rFonts w:ascii="Arial" w:hAnsi="Arial" w:cs="Arial"/>
              </w:rPr>
            </w:pPr>
            <w:r>
              <w:rPr>
                <w:rFonts w:cs="Arial" w:ascii="Arial" w:hAnsi="Arial"/>
                <w:kern w:val="0"/>
                <w:sz w:val="20"/>
                <w:szCs w:val="20"/>
                <w:lang w:val="en-CA" w:eastAsia="zh-CN" w:bidi="ar-SA"/>
              </w:rPr>
              <w:t>Housing Need in 2031</w:t>
            </w:r>
          </w:p>
        </w:tc>
      </w:tr>
      <w:tr>
        <w:trPr/>
        <w:tc>
          <w:tcPr>
            <w:tcW w:w="1728" w:type="dxa"/>
            <w:tcBorders/>
            <w:shd w:color="auto" w:fill="F2F2F2" w:themeFill="background1" w:themeFillShade="f2" w:val="clear"/>
            <w:vAlign w:val="cente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Income</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top w:val="single" w:sz="12" w:space="0" w:color="000000"/>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35</w:t>
      </w:r>
      <w:r>
        <w:rPr/>
        <w:fldChar w:fldCharType="end"/>
      </w:r>
      <w:r>
        <w:rPr/>
        <w:t>: Housing Need in 2031 by income – [</w:t>
      </w:r>
      <w:r>
        <w:rPr>
          <w:highlight w:val="yellow"/>
        </w:rPr>
        <w:t>Community CSD]</w:t>
      </w:r>
      <w:r>
        <w:rPr/>
        <w:t>.</w:t>
      </w:r>
    </w:p>
    <w:p>
      <w:pPr>
        <w:pStyle w:val="Heading3"/>
        <w:shd w:fill="FFFFFF" w:val="clear"/>
        <w:spacing w:before="280" w:after="280"/>
        <w:rPr/>
      </w:pPr>
      <w:bookmarkStart w:id="54" w:name="_Toc156309958"/>
      <w:r>
        <w:rPr/>
        <w:t>Households by household size:</w:t>
      </w:r>
      <w:bookmarkEnd w:id="54"/>
    </w:p>
    <w:tbl>
      <w:tblPr>
        <w:tblStyle w:val="TableGrid"/>
        <w:tblW w:w="864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28"/>
        <w:gridCol w:w="1728"/>
        <w:gridCol w:w="1728"/>
        <w:gridCol w:w="1728"/>
        <w:gridCol w:w="1728"/>
      </w:tblGrid>
      <w:tr>
        <w:trPr/>
        <w:tc>
          <w:tcPr>
            <w:tcW w:w="8640" w:type="dxa"/>
            <w:gridSpan w:val="5"/>
            <w:tcBorders/>
          </w:tcPr>
          <w:p>
            <w:pPr>
              <w:pStyle w:val="Normal"/>
              <w:widowControl/>
              <w:spacing w:before="0" w:after="0"/>
              <w:jc w:val="center"/>
              <w:rPr>
                <w:rFonts w:ascii="Arial" w:hAnsi="Arial" w:cs="Arial"/>
              </w:rPr>
            </w:pPr>
            <w:r>
              <w:rPr>
                <w:rFonts w:cs="Arial" w:ascii="Arial" w:hAnsi="Arial"/>
                <w:kern w:val="0"/>
                <w:sz w:val="20"/>
                <w:szCs w:val="20"/>
                <w:lang w:val="en-CA" w:eastAsia="zh-CN" w:bidi="ar-SA"/>
              </w:rPr>
              <w:t>Housing Need in 2031</w:t>
            </w:r>
          </w:p>
        </w:tc>
      </w:tr>
      <w:tr>
        <w:trPr/>
        <w:tc>
          <w:tcPr>
            <w:tcW w:w="1728" w:type="dxa"/>
            <w:tcBorders/>
            <w:shd w:color="auto" w:fill="F2F2F2" w:themeFill="background1" w:themeFillShade="f2" w:val="clear"/>
          </w:tcPr>
          <w:p>
            <w:pPr>
              <w:pStyle w:val="Normal"/>
              <w:widowControl/>
              <w:spacing w:before="0" w:after="0"/>
              <w:jc w:val="left"/>
              <w:rPr>
                <w:rFonts w:ascii="Arial" w:hAnsi="Arial" w:cs="Arial"/>
                <w:i/>
                <w:i/>
              </w:rPr>
            </w:pPr>
            <w:r>
              <w:rPr>
                <w:rFonts w:cs="Arial" w:ascii="Arial" w:hAnsi="Arial"/>
                <w:i/>
                <w:kern w:val="0"/>
                <w:sz w:val="20"/>
                <w:szCs w:val="20"/>
                <w:lang w:val="en-CA" w:eastAsia="zh-CN" w:bidi="ar-SA"/>
              </w:rPr>
              <w:t xml:space="preserve">HH Size </w:t>
              <w:br/>
              <w:t>(persons)</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t>[</w:t>
            </w:r>
            <w:r>
              <w:rPr>
                <w:rFonts w:cs="Arial" w:ascii="Arial" w:hAnsi="Arial"/>
                <w:b/>
                <w:kern w:val="0"/>
                <w:sz w:val="20"/>
                <w:szCs w:val="20"/>
                <w:highlight w:val="yellow"/>
                <w:lang w:val="en-CA" w:eastAsia="zh-CN" w:bidi="ar-SA"/>
              </w:rPr>
              <w:t>Community CSD</w:t>
            </w:r>
            <w:r>
              <w:rPr>
                <w:rFonts w:cs="Arial" w:ascii="Arial" w:hAnsi="Arial"/>
                <w:b/>
                <w:kern w:val="0"/>
                <w:sz w:val="20"/>
                <w:szCs w:val="20"/>
                <w:lang w:val="en-CA" w:eastAsia="zh-CN" w:bidi="ar-SA"/>
              </w:rPr>
              <w:t>]</w:t>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vAlign w:val="cente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1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 </w:t>
            </w:r>
            <w:r>
              <w:rPr>
                <w:rFonts w:cs="Arial" w:ascii="Arial" w:hAnsi="Arial"/>
                <w:color w:val="C00000"/>
                <w:kern w:val="0"/>
                <w:sz w:val="20"/>
                <w:szCs w:val="20"/>
                <w:highlight w:val="yellow"/>
                <w:lang w:val="en-CA" w:eastAsia="zh-CN" w:bidi="ar-SA"/>
              </w:rPr>
              <w:t>-#,###</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2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3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4 p.</w:t>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tcPr>
          <w:p>
            <w:pPr>
              <w:pStyle w:val="Normal"/>
              <w:widowControl/>
              <w:spacing w:before="0" w:after="0"/>
              <w:jc w:val="right"/>
              <w:rPr>
                <w:rFonts w:ascii="Arial" w:hAnsi="Arial" w:cs="Arial"/>
                <w:color w:val="FF0000"/>
              </w:rPr>
            </w:pPr>
            <w:r>
              <w:rPr>
                <w:rFonts w:cs="Arial" w:ascii="Arial" w:hAnsi="Arial"/>
                <w:color w:val="FF0000"/>
                <w:kern w:val="0"/>
                <w:sz w:val="20"/>
                <w:szCs w:val="20"/>
                <w:lang w:val="en-CA" w:eastAsia="zh-CN" w:bidi="ar-SA"/>
              </w:rPr>
            </w:r>
          </w:p>
        </w:tc>
        <w:tc>
          <w:tcPr>
            <w:tcW w:w="1728"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bottom w:val="single" w:sz="12" w:space="0" w:color="000000"/>
            </w:tcBorders>
            <w:shd w:color="auto" w:fill="F2F2F2" w:themeFill="background1" w:themeFillShade="f2"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5+ p.</w:t>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1728" w:type="dxa"/>
            <w:tcBorders>
              <w:bottom w:val="single" w:sz="12" w:space="0" w:color="000000"/>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1728" w:type="dxa"/>
            <w:tcBorders>
              <w:top w:val="single" w:sz="12" w:space="0" w:color="000000"/>
            </w:tcBorders>
            <w:shd w:color="auto" w:fill="E2EFD9" w:themeFill="accent6" w:themeFillTint="33" w:val="clear"/>
          </w:tcPr>
          <w:p>
            <w:pPr>
              <w:pStyle w:val="Normal"/>
              <w:widowControl/>
              <w:spacing w:before="0" w:after="0"/>
              <w:jc w:val="left"/>
              <w:rPr>
                <w:rFonts w:ascii="Arial" w:hAnsi="Arial" w:cs="Arial"/>
                <w:b/>
                <w:b/>
              </w:rPr>
            </w:pPr>
            <w:r>
              <w:rPr>
                <w:rFonts w:cs="Arial" w:ascii="Arial" w:hAnsi="Arial"/>
                <w:b/>
                <w:kern w:val="0"/>
                <w:sz w:val="20"/>
                <w:szCs w:val="20"/>
                <w:lang w:val="en-CA" w:eastAsia="zh-CN" w:bidi="ar-SA"/>
              </w:rPr>
              <w:t>Total</w:t>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
                <w:b/>
              </w:rPr>
            </w:pPr>
            <w:r>
              <w:rPr>
                <w:rFonts w:cs="Arial" w:ascii="Arial" w:hAnsi="Arial"/>
                <w:b/>
                <w:kern w:val="0"/>
                <w:sz w:val="20"/>
                <w:szCs w:val="20"/>
                <w:lang w:val="en-CA" w:eastAsia="zh-CN" w:bidi="ar-SA"/>
              </w:rPr>
            </w:r>
          </w:p>
        </w:tc>
        <w:tc>
          <w:tcPr>
            <w:tcW w:w="1728" w:type="dxa"/>
            <w:tcBorders>
              <w:top w:val="single" w:sz="12" w:space="0" w:color="000000"/>
            </w:tcBorders>
            <w:shd w:color="auto" w:fill="E2EFD9" w:themeFill="accent6" w:themeFillTint="33" w:val="clear"/>
          </w:tcPr>
          <w:p>
            <w:pPr>
              <w:pStyle w:val="Normal"/>
              <w:keepNext w:val="true"/>
              <w:widowControl/>
              <w:spacing w:before="0" w:after="0"/>
              <w:jc w:val="right"/>
              <w:rPr>
                <w:rFonts w:ascii="Arial" w:hAnsi="Arial" w:cs="Arial"/>
                <w:b/>
                <w:b/>
              </w:rPr>
            </w:pPr>
            <w:r>
              <w:rPr>
                <w:rFonts w:cs="Arial" w:ascii="Arial" w:hAnsi="Arial"/>
                <w:b/>
                <w:kern w:val="0"/>
                <w:sz w:val="20"/>
                <w:szCs w:val="20"/>
                <w:lang w:val="en-CA" w:eastAsia="zh-CN" w:bidi="ar-SA"/>
              </w:rPr>
            </w:r>
          </w:p>
        </w:tc>
      </w:tr>
    </w:tbl>
    <w:p>
      <w:pPr>
        <w:pStyle w:val="Caption1"/>
        <w:jc w:val="center"/>
        <w:rPr/>
      </w:pPr>
      <w:r>
        <w:rPr/>
        <w:t xml:space="preserve">Table </w:t>
      </w:r>
      <w:r>
        <w:rPr/>
        <w:fldChar w:fldCharType="begin"/>
      </w:r>
      <w:r>
        <w:rPr/>
        <w:instrText> SEQ Table \* ARABIC </w:instrText>
      </w:r>
      <w:r>
        <w:rPr/>
        <w:fldChar w:fldCharType="separate"/>
      </w:r>
      <w:r>
        <w:rPr/>
        <w:t>36</w:t>
      </w:r>
      <w:r>
        <w:rPr/>
        <w:fldChar w:fldCharType="end"/>
      </w:r>
      <w:r>
        <w:rPr/>
        <w:t>: Housing Need in 2031 by household size – [</w:t>
      </w:r>
      <w:r>
        <w:rPr>
          <w:highlight w:val="yellow"/>
        </w:rPr>
        <w:t>Community CSD]</w:t>
      </w:r>
      <w:r>
        <w:rPr/>
        <w:t>.</w:t>
      </w:r>
    </w:p>
    <w:p>
      <w:pPr>
        <w:pStyle w:val="BodyParagraphBlack"/>
        <w:spacing w:lineRule="auto" w:line="360"/>
        <w:rPr/>
      </w:pPr>
      <w:r>
        <w:rPr/>
      </w:r>
    </w:p>
    <w:p>
      <w:pPr>
        <w:pStyle w:val="Normal"/>
        <w:spacing w:lineRule="auto" w:line="259" w:before="0" w:after="160"/>
        <w:rPr>
          <w:rFonts w:ascii="Bahnschrift" w:hAnsi="Bahnschrift"/>
          <w:b/>
          <w:b/>
          <w:bCs/>
        </w:rPr>
      </w:pPr>
      <w:r>
        <w:rPr>
          <w:rFonts w:ascii="Bahnschrift" w:hAnsi="Bahnschrift"/>
          <w:b/>
          <w:bCs/>
        </w:rPr>
      </w:r>
      <w:r>
        <w:br w:type="page"/>
      </w:r>
    </w:p>
    <w:p>
      <w:pPr>
        <w:sectPr>
          <w:footerReference w:type="default" r:id="rId11"/>
          <w:footerReference w:type="first" r:id="rId12"/>
          <w:footnotePr>
            <w:numFmt w:val="decimal"/>
          </w:footnotePr>
          <w:type w:val="nextPage"/>
          <w:pgSz w:w="12240" w:h="15840"/>
          <w:pgMar w:left="1440" w:right="1440" w:header="0" w:top="1440" w:footer="706" w:bottom="1440" w:gutter="0"/>
          <w:pgNumType w:fmt="decimal"/>
          <w:formProt w:val="false"/>
          <w:titlePg/>
          <w:textDirection w:val="lrTb"/>
          <w:docGrid w:type="default" w:linePitch="360" w:charSpace="8192"/>
        </w:sectPr>
        <w:pStyle w:val="Heading2"/>
        <w:shd w:fill="FFFFFF" w:val="clear"/>
        <w:spacing w:before="280" w:after="280"/>
        <w:rPr/>
      </w:pPr>
      <w:r>
        <w:rPr/>
        <w:t>Conclusion</w:t>
      </w:r>
      <w:bookmarkStart w:id="55" w:name="_Toc156309959"/>
      <w:bookmarkStart w:id="56" w:name="_Toc142659717"/>
      <w:bookmarkEnd w:id="55"/>
      <w:bookmarkEnd w:id="56"/>
      <w:r>
        <w:rPr/>
        <w:t>s</w:t>
      </w:r>
    </w:p>
    <w:p>
      <w:pPr>
        <w:pStyle w:val="Heading1"/>
        <w:rPr/>
      </w:pPr>
      <w:bookmarkStart w:id="57" w:name="_Toc156309960"/>
      <w:r>
        <w:rPr/>
        <w:t>Appendix A: Full data tables</w:t>
      </w:r>
      <w:bookmarkEnd w:id="57"/>
    </w:p>
    <w:p>
      <w:pPr>
        <w:pStyle w:val="Heading2"/>
        <w:shd w:fill="FFFFFF" w:val="clear"/>
        <w:spacing w:before="280" w:after="280"/>
        <w:rPr/>
      </w:pPr>
      <w:bookmarkStart w:id="58" w:name="_Toc156309961"/>
      <w:r>
        <w:rPr/>
        <w:t>Households, population, and headship rates (2006, 2011, 2016, 2021)</w:t>
      </w:r>
      <w:bookmarkEnd w:id="58"/>
    </w:p>
    <w:tbl>
      <w:tblPr>
        <w:tblStyle w:val="TableGrid"/>
        <w:tblW w:w="1296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759"/>
        <w:gridCol w:w="1081"/>
        <w:gridCol w:w="1009"/>
        <w:gridCol w:w="909"/>
        <w:gridCol w:w="1278"/>
        <w:gridCol w:w="1011"/>
        <w:gridCol w:w="908"/>
        <w:gridCol w:w="1082"/>
        <w:gridCol w:w="1011"/>
        <w:gridCol w:w="910"/>
        <w:gridCol w:w="1082"/>
        <w:gridCol w:w="1011"/>
        <w:gridCol w:w="908"/>
      </w:tblGrid>
      <w:tr>
        <w:trPr/>
        <w:tc>
          <w:tcPr>
            <w:tcW w:w="12959" w:type="dxa"/>
            <w:gridSpan w:val="13"/>
            <w:tcBorders>
              <w:top w:val="nil"/>
              <w:left w:val="nil"/>
              <w:right w:val="nil"/>
            </w:tcBorders>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w:t>
            </w:r>
            <w:r>
              <w:rPr>
                <w:rFonts w:cs="Arial" w:ascii="Arial" w:hAnsi="Arial"/>
                <w:b/>
                <w:kern w:val="0"/>
                <w:sz w:val="16"/>
                <w:szCs w:val="16"/>
                <w:highlight w:val="yellow"/>
                <w:lang w:val="en-CA" w:eastAsia="zh-CN" w:bidi="ar-SA"/>
              </w:rPr>
              <w:t>Community CD</w:t>
            </w:r>
            <w:r>
              <w:rPr>
                <w:rFonts w:cs="Arial" w:ascii="Arial" w:hAnsi="Arial"/>
                <w:b/>
                <w:kern w:val="0"/>
                <w:sz w:val="16"/>
                <w:szCs w:val="16"/>
                <w:lang w:val="en-CA" w:eastAsia="zh-CN" w:bidi="ar-SA"/>
              </w:rPr>
              <w:t>]</w:t>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Census Year</w:t>
            </w:r>
          </w:p>
        </w:tc>
        <w:tc>
          <w:tcPr>
            <w:tcW w:w="2999" w:type="dxa"/>
            <w:gridSpan w:val="3"/>
            <w:tcBorders/>
          </w:tcPr>
          <w:p>
            <w:pPr>
              <w:pStyle w:val="Normal"/>
              <w:widowControl/>
              <w:spacing w:before="0" w:after="0"/>
              <w:jc w:val="center"/>
              <w:rPr>
                <w:rFonts w:ascii="Arial" w:hAnsi="Arial" w:cs="Arial"/>
                <w:b/>
                <w:b/>
                <w:bCs/>
                <w:color w:val="00B0F0"/>
                <w:sz w:val="16"/>
                <w:szCs w:val="16"/>
              </w:rPr>
            </w:pPr>
            <w:r>
              <w:rPr>
                <w:rFonts w:cs="Arial" w:ascii="Arial" w:hAnsi="Arial"/>
                <w:kern w:val="0"/>
                <w:sz w:val="16"/>
                <w:szCs w:val="16"/>
                <w:lang w:val="en-CA" w:eastAsia="zh-CN" w:bidi="ar-SA"/>
              </w:rPr>
              <w:t>2006</w:t>
            </w:r>
          </w:p>
        </w:tc>
        <w:tc>
          <w:tcPr>
            <w:tcW w:w="3197" w:type="dxa"/>
            <w:gridSpan w:val="3"/>
            <w:tcBorders/>
          </w:tcPr>
          <w:p>
            <w:pPr>
              <w:pStyle w:val="Normal"/>
              <w:widowControl/>
              <w:spacing w:before="0" w:after="0"/>
              <w:jc w:val="center"/>
              <w:rPr>
                <w:rFonts w:ascii="Arial" w:hAnsi="Arial" w:cs="Arial"/>
                <w:b/>
                <w:b/>
                <w:bCs/>
                <w:color w:val="00B0F0"/>
                <w:sz w:val="16"/>
                <w:szCs w:val="16"/>
              </w:rPr>
            </w:pPr>
            <w:r>
              <w:rPr>
                <w:rFonts w:cs="Arial" w:ascii="Arial" w:hAnsi="Arial"/>
                <w:kern w:val="0"/>
                <w:sz w:val="16"/>
                <w:szCs w:val="16"/>
                <w:lang w:val="en-CA" w:eastAsia="zh-CN" w:bidi="ar-SA"/>
              </w:rPr>
              <w:t>2011</w:t>
            </w:r>
          </w:p>
        </w:tc>
        <w:tc>
          <w:tcPr>
            <w:tcW w:w="3003" w:type="dxa"/>
            <w:gridSpan w:val="3"/>
            <w:tcBorders/>
          </w:tcPr>
          <w:p>
            <w:pPr>
              <w:pStyle w:val="Normal"/>
              <w:widowControl/>
              <w:spacing w:before="0" w:after="0"/>
              <w:jc w:val="center"/>
              <w:rPr>
                <w:rFonts w:ascii="Arial" w:hAnsi="Arial" w:cs="Arial"/>
                <w:sz w:val="16"/>
                <w:szCs w:val="16"/>
              </w:rPr>
            </w:pPr>
            <w:r>
              <w:rPr>
                <w:rFonts w:cs="Arial" w:ascii="Arial" w:hAnsi="Arial"/>
                <w:kern w:val="0"/>
                <w:sz w:val="16"/>
                <w:szCs w:val="16"/>
                <w:lang w:val="en-CA" w:eastAsia="zh-CN" w:bidi="ar-SA"/>
              </w:rPr>
              <w:t>2016</w:t>
            </w:r>
          </w:p>
        </w:tc>
        <w:tc>
          <w:tcPr>
            <w:tcW w:w="3001" w:type="dxa"/>
            <w:gridSpan w:val="3"/>
            <w:tcBorders/>
          </w:tcPr>
          <w:p>
            <w:pPr>
              <w:pStyle w:val="Normal"/>
              <w:widowControl/>
              <w:spacing w:before="0" w:after="0"/>
              <w:jc w:val="center"/>
              <w:rPr>
                <w:rFonts w:ascii="Arial" w:hAnsi="Arial" w:cs="Arial"/>
                <w:sz w:val="16"/>
                <w:szCs w:val="16"/>
              </w:rPr>
            </w:pPr>
            <w:r>
              <w:rPr>
                <w:rFonts w:cs="Arial" w:ascii="Arial" w:hAnsi="Arial"/>
                <w:kern w:val="0"/>
                <w:sz w:val="16"/>
                <w:szCs w:val="16"/>
                <w:lang w:val="en-CA" w:eastAsia="zh-CN" w:bidi="ar-SA"/>
              </w:rPr>
              <w:t>2021</w:t>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Age Groups</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Households</w:t>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Population</w:t>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Headship Rate</w:t>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Households</w:t>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Population</w:t>
            </w:r>
          </w:p>
        </w:tc>
        <w:tc>
          <w:tcPr>
            <w:tcW w:w="908"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Headship Rate</w:t>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Households</w:t>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Population</w:t>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Headship Rate</w:t>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Households</w:t>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Population</w:t>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Headship Rate</w:t>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0-14 years</w:t>
            </w:r>
          </w:p>
        </w:tc>
        <w:tc>
          <w:tcPr>
            <w:tcW w:w="1081" w:type="dxa"/>
            <w:tcBorders/>
          </w:tcPr>
          <w:p>
            <w:pPr>
              <w:pStyle w:val="Normal"/>
              <w:widowControl/>
              <w:spacing w:before="0" w:after="0"/>
              <w:jc w:val="right"/>
              <w:rPr>
                <w:highlight w:val="yellow"/>
              </w:rPr>
            </w:pPr>
            <w:r>
              <w:rPr>
                <w:rFonts w:cs="Times New Roman"/>
                <w:kern w:val="0"/>
                <w:sz w:val="20"/>
                <w:szCs w:val="20"/>
                <w:highlight w:val="yellow"/>
                <w:lang w:val="en-CA" w:eastAsia="zh-CN" w:bidi="ar-SA"/>
              </w:rPr>
              <w:t>#,###</w:t>
            </w:r>
          </w:p>
        </w:tc>
        <w:tc>
          <w:tcPr>
            <w:tcW w:w="1009" w:type="dxa"/>
            <w:tcBorders/>
          </w:tcPr>
          <w:p>
            <w:pPr>
              <w:pStyle w:val="Normal"/>
              <w:widowControl/>
              <w:spacing w:before="0" w:after="0"/>
              <w:jc w:val="right"/>
              <w:rPr>
                <w:rFonts w:ascii="Arial" w:hAnsi="Arial" w:cs="Arial"/>
                <w:b/>
                <w:b/>
                <w:bCs/>
                <w:color w:val="00B0F0"/>
                <w:sz w:val="16"/>
                <w:szCs w:val="16"/>
              </w:rPr>
            </w:pPr>
            <w:r>
              <w:rPr>
                <w:kern w:val="0"/>
                <w:highlight w:val="yellow"/>
                <w:lang w:val="en-CA" w:eastAsia="zh-CN" w:bidi="ar-SA"/>
              </w:rPr>
              <w:t>#,###</w:t>
            </w:r>
          </w:p>
        </w:tc>
        <w:tc>
          <w:tcPr>
            <w:tcW w:w="909" w:type="dxa"/>
            <w:tcBorders/>
          </w:tcPr>
          <w:p>
            <w:pPr>
              <w:pStyle w:val="Normal"/>
              <w:widowControl/>
              <w:spacing w:before="0" w:after="0"/>
              <w:jc w:val="right"/>
              <w:rPr>
                <w:rFonts w:ascii="Arial" w:hAnsi="Arial" w:cs="Arial"/>
                <w:sz w:val="16"/>
                <w:szCs w:val="16"/>
              </w:rPr>
            </w:pPr>
            <w:r>
              <w:rPr>
                <w:rFonts w:cs="Arial" w:ascii="Arial" w:hAnsi="Arial"/>
                <w:kern w:val="0"/>
                <w:sz w:val="16"/>
                <w:szCs w:val="16"/>
                <w:highlight w:val="yellow"/>
                <w:lang w:val="en-CA" w:eastAsia="zh-CN" w:bidi="ar-SA"/>
              </w:rPr>
              <w:t>0.###</w:t>
            </w:r>
          </w:p>
        </w:tc>
        <w:tc>
          <w:tcPr>
            <w:tcW w:w="1278" w:type="dxa"/>
            <w:tcBorders/>
          </w:tcPr>
          <w:p>
            <w:pPr>
              <w:pStyle w:val="Normal"/>
              <w:widowControl/>
              <w:spacing w:before="0" w:after="0"/>
              <w:jc w:val="right"/>
              <w:rPr>
                <w:rFonts w:ascii="Arial" w:hAnsi="Arial" w:cs="Arial"/>
                <w:color w:val="00B0F0"/>
                <w:sz w:val="16"/>
                <w:szCs w:val="16"/>
              </w:rPr>
            </w:pPr>
            <w:r>
              <w:rPr>
                <w:rFonts w:cs="Arial" w:ascii="Arial" w:hAnsi="Arial"/>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color w:val="00B0F0"/>
                <w:sz w:val="16"/>
                <w:szCs w:val="16"/>
              </w:rPr>
            </w:pPr>
            <w:r>
              <w:rPr>
                <w:rFonts w:cs="Arial" w:ascii="Arial" w:hAnsi="Arial"/>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color w:val="00B0F0"/>
                <w:sz w:val="16"/>
                <w:szCs w:val="16"/>
              </w:rPr>
            </w:pPr>
            <w:r>
              <w:rPr>
                <w:rFonts w:cs="Arial" w:ascii="Arial" w:hAnsi="Arial"/>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15-24</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25-34</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35-44</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45-54</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55-64</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65-74</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75-84</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Unavailable</w:t>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tcPr>
          <w:p>
            <w:pPr>
              <w:pStyle w:val="Normal"/>
              <w:widowControl/>
              <w:spacing w:before="0" w:after="0"/>
              <w:jc w:val="left"/>
              <w:rPr>
                <w:rFonts w:ascii="Arial" w:hAnsi="Arial" w:cs="Arial"/>
                <w:b/>
                <w:b/>
                <w:bCs/>
                <w:color w:val="00B0F0"/>
                <w:sz w:val="16"/>
                <w:szCs w:val="16"/>
              </w:rPr>
            </w:pPr>
            <w:r>
              <w:rPr>
                <w:rFonts w:cs="Arial" w:ascii="Arial" w:hAnsi="Arial"/>
                <w:kern w:val="0"/>
                <w:sz w:val="16"/>
                <w:szCs w:val="16"/>
                <w:lang w:val="en-CA" w:eastAsia="zh-CN" w:bidi="ar-SA"/>
              </w:rPr>
              <w:t xml:space="preserve">85 + </w:t>
            </w:r>
          </w:p>
        </w:tc>
        <w:tc>
          <w:tcPr>
            <w:tcW w:w="108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0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9"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1278" w:type="dxa"/>
            <w:tcBorders/>
          </w:tcPr>
          <w:p>
            <w:pPr>
              <w:pStyle w:val="Normal"/>
              <w:widowControl/>
              <w:spacing w:before="0" w:after="0"/>
              <w:jc w:val="right"/>
              <w:rPr>
                <w:rFonts w:ascii="Arial" w:hAnsi="Arial" w:cs="Arial"/>
                <w:b/>
                <w:b/>
                <w:bCs/>
                <w:color w:val="00B0F0"/>
                <w:sz w:val="16"/>
                <w:szCs w:val="16"/>
              </w:rPr>
            </w:pPr>
            <w:r>
              <w:rPr>
                <w:rFonts w:cs="Arial" w:ascii="Arial" w:hAnsi="Arial"/>
                <w:kern w:val="0"/>
                <w:sz w:val="16"/>
                <w:szCs w:val="16"/>
                <w:lang w:val="en-CA" w:eastAsia="zh-CN" w:bidi="ar-SA"/>
              </w:rPr>
              <w:t>Unavailable</w:t>
            </w:r>
          </w:p>
        </w:tc>
        <w:tc>
          <w:tcPr>
            <w:tcW w:w="1011" w:type="dxa"/>
            <w:tcBorders/>
          </w:tcPr>
          <w:p>
            <w:pPr>
              <w:pStyle w:val="Normal"/>
              <w:widowControl/>
              <w:spacing w:before="0" w:after="0"/>
              <w:jc w:val="right"/>
              <w:rPr>
                <w:rFonts w:ascii="Arial" w:hAnsi="Arial" w:cs="Arial"/>
                <w:b/>
                <w:b/>
                <w:bCs/>
                <w:color w:val="00B0F0"/>
                <w:sz w:val="16"/>
                <w:szCs w:val="16"/>
              </w:rPr>
            </w:pPr>
            <w:r>
              <w:rPr>
                <w:rFonts w:cs="Arial" w:ascii="Arial" w:hAnsi="Arial"/>
                <w:b/>
                <w:bCs/>
                <w:color w:val="00B0F0"/>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10"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759" w:type="dxa"/>
            <w:tcBorders>
              <w:bottom w:val="single" w:sz="12" w:space="0" w:color="000000"/>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(75+)</w:t>
            </w:r>
          </w:p>
        </w:tc>
        <w:tc>
          <w:tcPr>
            <w:tcW w:w="1081"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09"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909"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278"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11"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8"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11"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910"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82"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1011"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c>
          <w:tcPr>
            <w:tcW w:w="908" w:type="dxa"/>
            <w:tcBorders>
              <w:bottom w:val="single" w:sz="12" w:space="0" w:color="000000"/>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w:t>
            </w:r>
          </w:p>
        </w:tc>
      </w:tr>
      <w:tr>
        <w:trPr/>
        <w:tc>
          <w:tcPr>
            <w:tcW w:w="759" w:type="dxa"/>
            <w:tcBorders>
              <w:top w:val="single" w:sz="12" w:space="0" w:color="000000"/>
            </w:tcBorders>
            <w:shd w:color="auto" w:fill="E2EFD9" w:themeFill="accent6" w:themeFillTint="33" w:val="clear"/>
          </w:tcPr>
          <w:p>
            <w:pPr>
              <w:pStyle w:val="Normal"/>
              <w:widowControl/>
              <w:spacing w:before="0" w:after="0"/>
              <w:jc w:val="left"/>
              <w:rPr>
                <w:rFonts w:ascii="Arial" w:hAnsi="Arial" w:cs="Arial"/>
                <w:bCs/>
                <w:color w:val="00B0F0"/>
                <w:sz w:val="16"/>
                <w:szCs w:val="16"/>
              </w:rPr>
            </w:pPr>
            <w:r>
              <w:rPr>
                <w:rFonts w:cs="Arial" w:ascii="Arial" w:hAnsi="Arial"/>
                <w:kern w:val="0"/>
                <w:sz w:val="16"/>
                <w:szCs w:val="16"/>
                <w:lang w:val="en-CA" w:eastAsia="zh-CN" w:bidi="ar-SA"/>
              </w:rPr>
              <w:t>Total</w:t>
            </w:r>
          </w:p>
        </w:tc>
        <w:tc>
          <w:tcPr>
            <w:tcW w:w="108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Cs/>
                <w:color w:val="00B0F0"/>
                <w:sz w:val="16"/>
                <w:szCs w:val="16"/>
              </w:rPr>
            </w:pPr>
            <w:r>
              <w:rPr>
                <w:rFonts w:cs="Arial" w:ascii="Arial" w:hAnsi="Arial"/>
                <w:bCs/>
                <w:color w:val="00B0F0"/>
                <w:kern w:val="0"/>
                <w:sz w:val="16"/>
                <w:szCs w:val="16"/>
                <w:lang w:val="en-CA" w:eastAsia="zh-CN" w:bidi="ar-SA"/>
              </w:rPr>
            </w:r>
          </w:p>
        </w:tc>
        <w:tc>
          <w:tcPr>
            <w:tcW w:w="1009"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Cs/>
                <w:color w:val="00B0F0"/>
                <w:sz w:val="16"/>
                <w:szCs w:val="16"/>
              </w:rPr>
            </w:pPr>
            <w:r>
              <w:rPr>
                <w:rFonts w:cs="Arial" w:ascii="Arial" w:hAnsi="Arial"/>
                <w:bCs/>
                <w:color w:val="00B0F0"/>
                <w:kern w:val="0"/>
                <w:sz w:val="16"/>
                <w:szCs w:val="16"/>
                <w:lang w:val="en-CA" w:eastAsia="zh-CN" w:bidi="ar-SA"/>
              </w:rPr>
            </w:r>
          </w:p>
        </w:tc>
        <w:tc>
          <w:tcPr>
            <w:tcW w:w="909"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27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Cs/>
                <w:color w:val="00B0F0"/>
                <w:sz w:val="16"/>
                <w:szCs w:val="16"/>
              </w:rPr>
            </w:pPr>
            <w:r>
              <w:rPr>
                <w:rFonts w:cs="Arial" w:ascii="Arial" w:hAnsi="Arial"/>
                <w:kern w:val="0"/>
                <w:sz w:val="16"/>
                <w:szCs w:val="16"/>
                <w:lang w:val="en-CA" w:eastAsia="zh-CN" w:bidi="ar-SA"/>
              </w:rPr>
              <w:t>16,240</w:t>
            </w:r>
          </w:p>
        </w:tc>
        <w:tc>
          <w:tcPr>
            <w:tcW w:w="101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bCs/>
                <w:color w:val="00B0F0"/>
                <w:sz w:val="16"/>
                <w:szCs w:val="16"/>
              </w:rPr>
            </w:pPr>
            <w:r>
              <w:rPr>
                <w:rFonts w:cs="Arial" w:ascii="Arial" w:hAnsi="Arial"/>
                <w:kern w:val="0"/>
                <w:sz w:val="16"/>
                <w:szCs w:val="16"/>
                <w:lang w:val="en-CA" w:eastAsia="zh-CN" w:bidi="ar-SA"/>
              </w:rPr>
              <w:t>41,820</w:t>
            </w:r>
          </w:p>
        </w:tc>
        <w:tc>
          <w:tcPr>
            <w:tcW w:w="90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17,050</w:t>
            </w:r>
          </w:p>
        </w:tc>
        <w:tc>
          <w:tcPr>
            <w:tcW w:w="101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42,890</w:t>
            </w:r>
          </w:p>
        </w:tc>
        <w:tc>
          <w:tcPr>
            <w:tcW w:w="910"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82"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17,890</w:t>
            </w:r>
          </w:p>
        </w:tc>
        <w:tc>
          <w:tcPr>
            <w:tcW w:w="1011"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45,180</w:t>
            </w:r>
          </w:p>
        </w:tc>
        <w:tc>
          <w:tcPr>
            <w:tcW w:w="908" w:type="dxa"/>
            <w:tcBorders>
              <w:top w:val="single" w:sz="12" w:space="0" w:color="000000"/>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bl>
    <w:p>
      <w:pPr>
        <w:pStyle w:val="Caption1"/>
        <w:rPr/>
      </w:pPr>
      <w:bookmarkStart w:id="59" w:name="_Ref151124647"/>
      <w:r>
        <w:rPr/>
        <w:t xml:space="preserve">Table </w:t>
      </w:r>
      <w:r>
        <w:rPr/>
        <w:fldChar w:fldCharType="begin"/>
      </w:r>
      <w:r>
        <w:rPr/>
        <w:instrText> SEQ Table \* ARABIC </w:instrText>
      </w:r>
      <w:r>
        <w:rPr/>
        <w:fldChar w:fldCharType="separate"/>
      </w:r>
      <w:r>
        <w:rPr/>
        <w:t>37</w:t>
      </w:r>
      <w:r>
        <w:rPr/>
        <w:fldChar w:fldCharType="end"/>
      </w:r>
      <w:bookmarkEnd w:id="59"/>
      <w:r>
        <w:rPr/>
        <w:t>: Number of households, population, and headship rate for census years 2006, 2011, 2016, and 2021. Lennox and ddington.</w:t>
      </w:r>
    </w:p>
    <w:p>
      <w:pPr>
        <w:pStyle w:val="Normal"/>
        <w:rPr/>
      </w:pPr>
      <w:r>
        <w:rPr/>
      </w:r>
      <w:r>
        <w:br w:type="page"/>
      </w:r>
    </w:p>
    <w:p>
      <w:pPr>
        <w:pStyle w:val="Heading2"/>
        <w:shd w:fill="FFFFFF" w:val="clear"/>
        <w:spacing w:before="280" w:after="280"/>
        <w:rPr/>
      </w:pPr>
      <w:bookmarkStart w:id="60" w:name="_Toc156309962"/>
      <w:r>
        <w:rPr/>
        <w:t>Dwellings by structural type and period of construction (2021)</w:t>
      </w:r>
      <w:bookmarkEnd w:id="60"/>
    </w:p>
    <w:tbl>
      <w:tblPr>
        <w:tblStyle w:val="TableGrid"/>
        <w:tblW w:w="129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52"/>
        <w:gridCol w:w="1339"/>
        <w:gridCol w:w="848"/>
        <w:gridCol w:w="767"/>
        <w:gridCol w:w="796"/>
        <w:gridCol w:w="795"/>
        <w:gridCol w:w="797"/>
        <w:gridCol w:w="796"/>
        <w:gridCol w:w="795"/>
        <w:gridCol w:w="767"/>
        <w:gridCol w:w="768"/>
        <w:gridCol w:w="766"/>
        <w:gridCol w:w="797"/>
        <w:gridCol w:w="766"/>
      </w:tblGrid>
      <w:tr>
        <w:trPr/>
        <w:tc>
          <w:tcPr>
            <w:tcW w:w="12949" w:type="dxa"/>
            <w:gridSpan w:val="14"/>
            <w:tcBorders/>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Lennox and Addington</w:t>
            </w:r>
          </w:p>
        </w:tc>
      </w:tr>
      <w:tr>
        <w:trPr/>
        <w:tc>
          <w:tcPr>
            <w:tcW w:w="2152" w:type="dxa"/>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1339" w:type="dxa"/>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Total</w:t>
            </w:r>
          </w:p>
        </w:tc>
        <w:tc>
          <w:tcPr>
            <w:tcW w:w="848"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Before 1921 </w:t>
            </w:r>
          </w:p>
        </w:tc>
        <w:tc>
          <w:tcPr>
            <w:tcW w:w="767"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1921 - 1945 </w:t>
            </w:r>
          </w:p>
        </w:tc>
        <w:tc>
          <w:tcPr>
            <w:tcW w:w="79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1946 - 1960 </w:t>
            </w:r>
          </w:p>
        </w:tc>
        <w:tc>
          <w:tcPr>
            <w:tcW w:w="795"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1961 - 1970 </w:t>
            </w:r>
          </w:p>
        </w:tc>
        <w:tc>
          <w:tcPr>
            <w:tcW w:w="797"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1971 - 1980 </w:t>
            </w:r>
          </w:p>
        </w:tc>
        <w:tc>
          <w:tcPr>
            <w:tcW w:w="79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1981 - 1990 </w:t>
            </w:r>
          </w:p>
        </w:tc>
        <w:tc>
          <w:tcPr>
            <w:tcW w:w="795"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1991 - 1995 </w:t>
            </w:r>
          </w:p>
        </w:tc>
        <w:tc>
          <w:tcPr>
            <w:tcW w:w="767"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1996 - 2000 </w:t>
            </w:r>
          </w:p>
        </w:tc>
        <w:tc>
          <w:tcPr>
            <w:tcW w:w="768"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2001 - 2005 </w:t>
            </w:r>
          </w:p>
        </w:tc>
        <w:tc>
          <w:tcPr>
            <w:tcW w:w="76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2006 - 2010 </w:t>
            </w:r>
          </w:p>
        </w:tc>
        <w:tc>
          <w:tcPr>
            <w:tcW w:w="797"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2011 - 2015 </w:t>
            </w:r>
          </w:p>
        </w:tc>
        <w:tc>
          <w:tcPr>
            <w:tcW w:w="76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2016 - 2021 </w:t>
            </w:r>
          </w:p>
        </w:tc>
      </w:tr>
      <w:tr>
        <w:trPr>
          <w:trHeight w:val="404" w:hRule="atLeast"/>
        </w:trPr>
        <w:tc>
          <w:tcPr>
            <w:tcW w:w="2152" w:type="dxa"/>
            <w:tcBorders/>
            <w:shd w:color="auto" w:fill="E2EFD9" w:themeFill="accent6" w:themeFillTint="33" w:val="clea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 xml:space="preserve">Total </w:t>
            </w:r>
          </w:p>
        </w:tc>
        <w:tc>
          <w:tcPr>
            <w:tcW w:w="1339"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17,890 </w:t>
            </w:r>
          </w:p>
        </w:tc>
        <w:tc>
          <w:tcPr>
            <w:tcW w:w="84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2,710 </w:t>
            </w:r>
          </w:p>
        </w:tc>
        <w:tc>
          <w:tcPr>
            <w:tcW w:w="767"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740 </w:t>
            </w:r>
          </w:p>
        </w:tc>
        <w:tc>
          <w:tcPr>
            <w:tcW w:w="796"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1,825 </w:t>
            </w:r>
          </w:p>
        </w:tc>
        <w:tc>
          <w:tcPr>
            <w:tcW w:w="795"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2,225 </w:t>
            </w:r>
          </w:p>
        </w:tc>
        <w:tc>
          <w:tcPr>
            <w:tcW w:w="797"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3,095 </w:t>
            </w:r>
          </w:p>
        </w:tc>
        <w:tc>
          <w:tcPr>
            <w:tcW w:w="796"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1,915 </w:t>
            </w:r>
          </w:p>
        </w:tc>
        <w:tc>
          <w:tcPr>
            <w:tcW w:w="795"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1,055 </w:t>
            </w:r>
          </w:p>
        </w:tc>
        <w:tc>
          <w:tcPr>
            <w:tcW w:w="767"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745 </w:t>
            </w:r>
          </w:p>
        </w:tc>
        <w:tc>
          <w:tcPr>
            <w:tcW w:w="768"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810 </w:t>
            </w:r>
          </w:p>
        </w:tc>
        <w:tc>
          <w:tcPr>
            <w:tcW w:w="766"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870 </w:t>
            </w:r>
          </w:p>
        </w:tc>
        <w:tc>
          <w:tcPr>
            <w:tcW w:w="797"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1,000 </w:t>
            </w:r>
          </w:p>
        </w:tc>
        <w:tc>
          <w:tcPr>
            <w:tcW w:w="766"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910 </w:t>
            </w:r>
          </w:p>
        </w:tc>
      </w:tr>
      <w:tr>
        <w:trPr>
          <w:trHeight w:val="386" w:hRule="atLeast"/>
        </w:trPr>
        <w:tc>
          <w:tcPr>
            <w:tcW w:w="2152" w:type="dxa"/>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Single-detached house</w:t>
            </w:r>
          </w:p>
        </w:tc>
        <w:tc>
          <w:tcPr>
            <w:tcW w:w="1339"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14,390 </w:t>
            </w:r>
          </w:p>
        </w:tc>
        <w:tc>
          <w:tcPr>
            <w:tcW w:w="84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2,315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605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1,450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1,655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2,360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1,525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830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610 </w:t>
            </w:r>
          </w:p>
        </w:tc>
        <w:tc>
          <w:tcPr>
            <w:tcW w:w="76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735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770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810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730 </w:t>
            </w:r>
          </w:p>
        </w:tc>
      </w:tr>
      <w:tr>
        <w:trPr/>
        <w:tc>
          <w:tcPr>
            <w:tcW w:w="2152" w:type="dxa"/>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Apartment in building with 5+ storeys</w:t>
            </w:r>
          </w:p>
        </w:tc>
        <w:tc>
          <w:tcPr>
            <w:tcW w:w="1339"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120 </w:t>
            </w:r>
          </w:p>
        </w:tc>
        <w:tc>
          <w:tcPr>
            <w:tcW w:w="84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10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30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55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15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r>
      <w:tr>
        <w:trPr/>
        <w:tc>
          <w:tcPr>
            <w:tcW w:w="2152" w:type="dxa"/>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Apartment in building with &lt;5 storeys, duplexes (1)</w:t>
            </w:r>
          </w:p>
        </w:tc>
        <w:tc>
          <w:tcPr>
            <w:tcW w:w="1339"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1,745 </w:t>
            </w:r>
          </w:p>
        </w:tc>
        <w:tc>
          <w:tcPr>
            <w:tcW w:w="84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260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65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245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345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300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205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110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40 </w:t>
            </w:r>
          </w:p>
        </w:tc>
        <w:tc>
          <w:tcPr>
            <w:tcW w:w="76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15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15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40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90 </w:t>
            </w:r>
          </w:p>
        </w:tc>
      </w:tr>
      <w:tr>
        <w:trPr/>
        <w:tc>
          <w:tcPr>
            <w:tcW w:w="2152" w:type="dxa"/>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Attached, semi-detached, row housing (2)</w:t>
            </w:r>
          </w:p>
        </w:tc>
        <w:tc>
          <w:tcPr>
            <w:tcW w:w="1339"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1,575 </w:t>
            </w:r>
          </w:p>
        </w:tc>
        <w:tc>
          <w:tcPr>
            <w:tcW w:w="84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140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55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120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195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345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155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115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85 </w:t>
            </w:r>
          </w:p>
        </w:tc>
        <w:tc>
          <w:tcPr>
            <w:tcW w:w="76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60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90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130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85 </w:t>
            </w:r>
          </w:p>
        </w:tc>
      </w:tr>
      <w:tr>
        <w:trPr/>
        <w:tc>
          <w:tcPr>
            <w:tcW w:w="2152" w:type="dxa"/>
            <w:tcBorders/>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Moveable dwelling</w:t>
            </w:r>
          </w:p>
        </w:tc>
        <w:tc>
          <w:tcPr>
            <w:tcW w:w="1339" w:type="dxa"/>
            <w:tcBorders/>
            <w:shd w:color="auto" w:fill="E2EFD9" w:themeFill="accent6" w:themeFillTint="33" w:val="clea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60 </w:t>
            </w:r>
          </w:p>
        </w:tc>
        <w:tc>
          <w:tcPr>
            <w:tcW w:w="84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40 </w:t>
            </w:r>
          </w:p>
        </w:tc>
        <w:tc>
          <w:tcPr>
            <w:tcW w:w="79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10 </w:t>
            </w:r>
          </w:p>
        </w:tc>
        <w:tc>
          <w:tcPr>
            <w:tcW w:w="795"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8"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c>
          <w:tcPr>
            <w:tcW w:w="797"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10 </w:t>
            </w:r>
          </w:p>
        </w:tc>
        <w:tc>
          <w:tcPr>
            <w:tcW w:w="766" w:type="dxa"/>
            <w:tcBorders/>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 xml:space="preserve"> </w:t>
            </w:r>
            <w:r>
              <w:rPr>
                <w:rFonts w:cs="Arial" w:ascii="Arial" w:hAnsi="Arial"/>
                <w:kern w:val="0"/>
                <w:sz w:val="16"/>
                <w:szCs w:val="16"/>
                <w:lang w:val="en-CA" w:eastAsia="zh-CN" w:bidi="ar-SA"/>
              </w:rPr>
              <w:t xml:space="preserve">-   </w:t>
            </w:r>
          </w:p>
        </w:tc>
      </w:tr>
    </w:tbl>
    <w:p>
      <w:pPr>
        <w:pStyle w:val="Caption1"/>
        <w:rPr>
          <w:sz w:val="16"/>
        </w:rPr>
      </w:pPr>
      <w:r>
        <w:rPr>
          <w:sz w:val="16"/>
        </w:rPr>
        <w:t xml:space="preserve">Table </w:t>
      </w:r>
      <w:r>
        <w:rPr>
          <w:sz w:val="16"/>
        </w:rPr>
        <w:fldChar w:fldCharType="begin"/>
      </w:r>
      <w:r>
        <w:rPr>
          <w:sz w:val="16"/>
        </w:rPr>
        <w:instrText> SEQ Table \* ARABIC </w:instrText>
      </w:r>
      <w:r>
        <w:rPr>
          <w:sz w:val="16"/>
        </w:rPr>
        <w:fldChar w:fldCharType="separate"/>
      </w:r>
      <w:r>
        <w:rPr>
          <w:sz w:val="16"/>
        </w:rPr>
        <w:t>38</w:t>
      </w:r>
      <w:r>
        <w:rPr>
          <w:sz w:val="16"/>
        </w:rPr>
        <w:fldChar w:fldCharType="end"/>
      </w:r>
      <w:r>
        <w:rPr>
          <w:sz w:val="16"/>
        </w:rPr>
        <w:t>: Number of dwellings by structural type and period of construction,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pPr>
        <w:pStyle w:val="Normal"/>
        <w:spacing w:lineRule="auto" w:line="259" w:before="0" w:after="160"/>
        <w:rPr>
          <w:i/>
          <w:i/>
          <w:iCs/>
          <w:color w:val="44546A" w:themeColor="text2"/>
          <w:sz w:val="16"/>
          <w:szCs w:val="18"/>
        </w:rPr>
      </w:pPr>
      <w:r>
        <w:rPr>
          <w:i/>
          <w:iCs/>
          <w:color w:val="44546A" w:themeColor="text2"/>
          <w:sz w:val="16"/>
          <w:szCs w:val="18"/>
        </w:rPr>
      </w:r>
      <w:r>
        <w:br w:type="page"/>
      </w:r>
    </w:p>
    <w:p>
      <w:pPr>
        <w:pStyle w:val="Heading2"/>
        <w:shd w:fill="FFFFFF" w:val="clear"/>
        <w:spacing w:before="280" w:after="280"/>
        <w:rPr/>
      </w:pPr>
      <w:bookmarkStart w:id="61" w:name="_Toc156309963"/>
      <w:r>
        <w:rPr/>
        <w:t>Dwellings by structural type and number of bedrooms (2021)</w:t>
      </w:r>
      <w:bookmarkEnd w:id="61"/>
    </w:p>
    <w:tbl>
      <w:tblPr>
        <w:tblStyle w:val="TableGrid"/>
        <w:tblW w:w="9603"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804"/>
        <w:gridCol w:w="618"/>
        <w:gridCol w:w="1176"/>
        <w:gridCol w:w="981"/>
        <w:gridCol w:w="1062"/>
        <w:gridCol w:w="1061"/>
        <w:gridCol w:w="900"/>
      </w:tblGrid>
      <w:tr>
        <w:trPr/>
        <w:tc>
          <w:tcPr>
            <w:tcW w:w="3804" w:type="dxa"/>
            <w:tcBorders>
              <w:right w:val="single" w:sz="12" w:space="0" w:color="000000"/>
            </w:tcBorders>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5798" w:type="dxa"/>
            <w:gridSpan w:val="6"/>
            <w:tcBorders>
              <w:top w:val="single" w:sz="12" w:space="0" w:color="000000"/>
              <w:left w:val="single" w:sz="12" w:space="0" w:color="000000"/>
              <w:right w:val="single" w:sz="12" w:space="0" w:color="000000"/>
            </w:tcBorders>
            <w:vAlign w:val="center"/>
          </w:tcPr>
          <w:p>
            <w:pPr>
              <w:pStyle w:val="Normal"/>
              <w:widowControl/>
              <w:spacing w:before="0" w:after="0"/>
              <w:jc w:val="center"/>
              <w:rPr>
                <w:rFonts w:ascii="Arial" w:hAnsi="Arial" w:cs="Arial"/>
                <w:b/>
                <w:b/>
                <w:sz w:val="16"/>
                <w:szCs w:val="16"/>
              </w:rPr>
            </w:pPr>
            <w:r>
              <w:rPr>
                <w:rFonts w:cs="Arial" w:ascii="Arial" w:hAnsi="Arial"/>
                <w:b/>
                <w:kern w:val="0"/>
                <w:sz w:val="16"/>
                <w:szCs w:val="16"/>
                <w:lang w:val="en-CA" w:eastAsia="zh-CN" w:bidi="ar-SA"/>
              </w:rPr>
              <w:t>Lennox and Addington</w:t>
            </w:r>
          </w:p>
        </w:tc>
      </w:tr>
      <w:tr>
        <w:trPr/>
        <w:tc>
          <w:tcPr>
            <w:tcW w:w="3804" w:type="dxa"/>
            <w:tcBorders>
              <w:right w:val="single" w:sz="12" w:space="0" w:color="000000"/>
            </w:tcBorders>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r>
          </w:p>
        </w:tc>
        <w:tc>
          <w:tcPr>
            <w:tcW w:w="618" w:type="dxa"/>
            <w:tcBorders>
              <w:left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Total</w:t>
            </w:r>
          </w:p>
        </w:tc>
        <w:tc>
          <w:tcPr>
            <w:tcW w:w="117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No bedrooms</w:t>
            </w:r>
          </w:p>
        </w:tc>
        <w:tc>
          <w:tcPr>
            <w:tcW w:w="98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1 bedroom</w:t>
            </w:r>
          </w:p>
        </w:tc>
        <w:tc>
          <w:tcPr>
            <w:tcW w:w="1062"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2 bedrooms</w:t>
            </w:r>
          </w:p>
        </w:tc>
        <w:tc>
          <w:tcPr>
            <w:tcW w:w="106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3 bedrooms</w:t>
            </w:r>
          </w:p>
        </w:tc>
        <w:tc>
          <w:tcPr>
            <w:tcW w:w="900" w:type="dxa"/>
            <w:tcBorders>
              <w:right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t>4 or more</w:t>
            </w:r>
          </w:p>
        </w:tc>
      </w:tr>
      <w:tr>
        <w:trPr>
          <w:trHeight w:val="458" w:hRule="atLeast"/>
        </w:trPr>
        <w:tc>
          <w:tcPr>
            <w:tcW w:w="3804" w:type="dxa"/>
            <w:tcBorders>
              <w:right w:val="single" w:sz="12" w:space="0" w:color="000000"/>
            </w:tcBorders>
            <w:shd w:color="auto" w:fill="E2EFD9" w:themeFill="accent6" w:themeFillTint="33" w:val="clear"/>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Total</w:t>
            </w:r>
          </w:p>
        </w:tc>
        <w:tc>
          <w:tcPr>
            <w:tcW w:w="618" w:type="dxa"/>
            <w:tcBorders>
              <w:left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highlight w:val="yellow"/>
              </w:rPr>
            </w:pPr>
            <w:r>
              <w:rPr>
                <w:rFonts w:cs="Arial" w:ascii="Arial" w:hAnsi="Arial"/>
                <w:kern w:val="0"/>
                <w:sz w:val="16"/>
                <w:szCs w:val="16"/>
                <w:highlight w:val="yellow"/>
                <w:lang w:val="en-CA" w:eastAsia="zh-CN" w:bidi="ar-SA"/>
              </w:rPr>
              <w:t>#,###</w:t>
            </w:r>
          </w:p>
        </w:tc>
        <w:tc>
          <w:tcPr>
            <w:tcW w:w="1176" w:type="dxa"/>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81" w:type="dxa"/>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2" w:type="dxa"/>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1" w:type="dxa"/>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0" w:type="dxa"/>
            <w:tcBorders>
              <w:right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rHeight w:val="440" w:hRule="atLeast"/>
        </w:trPr>
        <w:tc>
          <w:tcPr>
            <w:tcW w:w="3804" w:type="dxa"/>
            <w:tcBorders>
              <w:right w:val="single" w:sz="12" w:space="0" w:color="000000"/>
            </w:tcBorders>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Single-detached house</w:t>
            </w:r>
          </w:p>
        </w:tc>
        <w:tc>
          <w:tcPr>
            <w:tcW w:w="618" w:type="dxa"/>
            <w:tcBorders>
              <w:left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17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8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2"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0" w:type="dxa"/>
            <w:tcBorders>
              <w:right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3804" w:type="dxa"/>
            <w:tcBorders>
              <w:right w:val="single" w:sz="12" w:space="0" w:color="000000"/>
            </w:tcBorders>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Apartment in building with 5+ storeys</w:t>
            </w:r>
          </w:p>
        </w:tc>
        <w:tc>
          <w:tcPr>
            <w:tcW w:w="618" w:type="dxa"/>
            <w:tcBorders>
              <w:left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17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8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2"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0" w:type="dxa"/>
            <w:tcBorders>
              <w:right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3804" w:type="dxa"/>
            <w:tcBorders>
              <w:right w:val="single" w:sz="12" w:space="0" w:color="000000"/>
            </w:tcBorders>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Apartment in building with &lt;5 storeys, duplexes (1)</w:t>
            </w:r>
          </w:p>
        </w:tc>
        <w:tc>
          <w:tcPr>
            <w:tcW w:w="618" w:type="dxa"/>
            <w:tcBorders>
              <w:left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17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8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2"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0" w:type="dxa"/>
            <w:tcBorders>
              <w:right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3804" w:type="dxa"/>
            <w:tcBorders>
              <w:right w:val="single" w:sz="12" w:space="0" w:color="000000"/>
            </w:tcBorders>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Attached, semi-detached, row housing (2)</w:t>
            </w:r>
          </w:p>
        </w:tc>
        <w:tc>
          <w:tcPr>
            <w:tcW w:w="618" w:type="dxa"/>
            <w:tcBorders>
              <w:left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176"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8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2"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1" w:type="dxa"/>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0" w:type="dxa"/>
            <w:tcBorders>
              <w:right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r>
        <w:trPr/>
        <w:tc>
          <w:tcPr>
            <w:tcW w:w="3804" w:type="dxa"/>
            <w:tcBorders>
              <w:right w:val="single" w:sz="12" w:space="0" w:color="000000"/>
            </w:tcBorders>
            <w:vAlign w:val="center"/>
          </w:tcPr>
          <w:p>
            <w:pPr>
              <w:pStyle w:val="Normal"/>
              <w:widowControl/>
              <w:spacing w:before="0" w:after="0"/>
              <w:jc w:val="left"/>
              <w:rPr>
                <w:rFonts w:ascii="Arial" w:hAnsi="Arial" w:cs="Arial"/>
                <w:sz w:val="16"/>
                <w:szCs w:val="16"/>
              </w:rPr>
            </w:pPr>
            <w:r>
              <w:rPr>
                <w:rFonts w:cs="Arial" w:ascii="Arial" w:hAnsi="Arial"/>
                <w:kern w:val="0"/>
                <w:sz w:val="16"/>
                <w:szCs w:val="16"/>
                <w:lang w:val="en-CA" w:eastAsia="zh-CN" w:bidi="ar-SA"/>
              </w:rPr>
              <w:t>Moveable dwelling</w:t>
            </w:r>
          </w:p>
        </w:tc>
        <w:tc>
          <w:tcPr>
            <w:tcW w:w="618" w:type="dxa"/>
            <w:tcBorders>
              <w:left w:val="single" w:sz="12" w:space="0" w:color="000000"/>
              <w:bottom w:val="single" w:sz="12" w:space="0" w:color="000000"/>
            </w:tcBorders>
            <w:shd w:color="auto" w:fill="E2EFD9" w:themeFill="accent6" w:themeFillTint="33" w:val="clear"/>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176" w:type="dxa"/>
            <w:tcBorders>
              <w:bottom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81" w:type="dxa"/>
            <w:tcBorders>
              <w:bottom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2" w:type="dxa"/>
            <w:tcBorders>
              <w:bottom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1061" w:type="dxa"/>
            <w:tcBorders>
              <w:bottom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c>
          <w:tcPr>
            <w:tcW w:w="900" w:type="dxa"/>
            <w:tcBorders>
              <w:bottom w:val="single" w:sz="12" w:space="0" w:color="000000"/>
              <w:right w:val="single" w:sz="12" w:space="0" w:color="000000"/>
            </w:tcBorders>
            <w:vAlign w:val="center"/>
          </w:tcPr>
          <w:p>
            <w:pPr>
              <w:pStyle w:val="Normal"/>
              <w:widowControl/>
              <w:spacing w:before="0" w:after="0"/>
              <w:jc w:val="right"/>
              <w:rPr>
                <w:rFonts w:ascii="Arial" w:hAnsi="Arial" w:cs="Arial"/>
                <w:sz w:val="16"/>
                <w:szCs w:val="16"/>
              </w:rPr>
            </w:pPr>
            <w:r>
              <w:rPr>
                <w:rFonts w:cs="Arial" w:ascii="Arial" w:hAnsi="Arial"/>
                <w:kern w:val="0"/>
                <w:sz w:val="16"/>
                <w:szCs w:val="16"/>
                <w:lang w:val="en-CA" w:eastAsia="zh-CN" w:bidi="ar-SA"/>
              </w:rPr>
            </w:r>
          </w:p>
        </w:tc>
      </w:tr>
    </w:tbl>
    <w:p>
      <w:pPr>
        <w:pStyle w:val="Caption1"/>
        <w:rPr>
          <w:sz w:val="16"/>
        </w:rPr>
      </w:pPr>
      <w:r>
        <w:rPr>
          <w:sz w:val="16"/>
        </w:rPr>
        <w:t xml:space="preserve">Table </w:t>
      </w:r>
      <w:r>
        <w:rPr>
          <w:sz w:val="16"/>
        </w:rPr>
        <w:fldChar w:fldCharType="begin"/>
      </w:r>
      <w:r>
        <w:rPr>
          <w:sz w:val="16"/>
        </w:rPr>
        <w:instrText> SEQ Table \* ARABIC </w:instrText>
      </w:r>
      <w:r>
        <w:rPr>
          <w:sz w:val="16"/>
        </w:rPr>
        <w:fldChar w:fldCharType="separate"/>
      </w:r>
      <w:r>
        <w:rPr>
          <w:sz w:val="16"/>
        </w:rPr>
        <w:t>39</w:t>
      </w:r>
      <w:r>
        <w:rPr>
          <w:sz w:val="16"/>
        </w:rPr>
        <w:fldChar w:fldCharType="end"/>
      </w:r>
      <w:r>
        <w:rPr>
          <w:sz w:val="16"/>
        </w:rPr>
        <w:t>: 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shd w:fill="FFFFFF" w:val="clear"/>
        <w:spacing w:before="280" w:after="280"/>
        <w:rPr/>
      </w:pPr>
      <w:bookmarkStart w:id="62" w:name="_Toc156309964"/>
      <w:r>
        <w:rPr/>
        <w:t>Income categories and affordable monthly shelter costs (2016, 2021)</w:t>
      </w:r>
      <w:bookmarkEnd w:id="62"/>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2016 – Income (table 1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spacing w:before="0" w:after="0"/>
              <w:jc w:val="right"/>
              <w:rPr>
                <w:rFonts w:ascii="Arial" w:hAnsi="Arial" w:cs="Arial"/>
                <w:highlight w:val="yellow"/>
              </w:rPr>
            </w:pPr>
            <w:r>
              <w:rPr>
                <w:rFonts w:cs="Arial" w:ascii="Arial" w:hAnsi="Arial"/>
                <w:kern w:val="0"/>
                <w:sz w:val="20"/>
                <w:szCs w:val="20"/>
                <w:highlight w:val="yellow"/>
                <w:lang w:val="en-CA" w:eastAsia="zh-CN" w:bidi="ar-SA"/>
              </w:rPr>
              <w:t>&gt; $##,###</w:t>
            </w:r>
          </w:p>
        </w:tc>
      </w:tr>
    </w:tbl>
    <w:p>
      <w:pPr>
        <w:pStyle w:val="Caption1"/>
        <w:rPr/>
      </w:pPr>
      <w:bookmarkStart w:id="63" w:name="_Ref150332411"/>
      <w:r>
        <w:rPr/>
        <w:t xml:space="preserve">Table </w:t>
      </w:r>
      <w:r>
        <w:rPr/>
        <w:fldChar w:fldCharType="begin"/>
      </w:r>
      <w:r>
        <w:rPr/>
        <w:instrText> SEQ Table \* ARABIC </w:instrText>
      </w:r>
      <w:r>
        <w:rPr/>
        <w:fldChar w:fldCharType="separate"/>
      </w:r>
      <w:r>
        <w:rPr/>
        <w:t>40</w:t>
      </w:r>
      <w:r>
        <w:rPr/>
        <w:fldChar w:fldCharType="end"/>
      </w:r>
      <w:bookmarkEnd w:id="63"/>
      <w:r>
        <w:rPr/>
        <w:t>: Annual household income ranges for HART income categories, 2016 – [</w:t>
      </w:r>
      <w:r>
        <w:rPr>
          <w:highlight w:val="yellow"/>
        </w:rPr>
        <w:t>Community CD</w:t>
      </w:r>
      <w:r>
        <w:rPr/>
        <w:t>].</w:t>
      </w:r>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2016 – Income (table 2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keepNext w:val="true"/>
              <w:widowControl/>
              <w:spacing w:before="0" w:after="0"/>
              <w:jc w:val="right"/>
              <w:rPr>
                <w:rFonts w:ascii="Arial" w:hAnsi="Arial" w:cs="Arial"/>
              </w:rPr>
            </w:pPr>
            <w:r>
              <w:rPr>
                <w:rFonts w:cs="Arial" w:ascii="Arial" w:hAnsi="Arial"/>
                <w:kern w:val="0"/>
                <w:sz w:val="20"/>
                <w:szCs w:val="20"/>
                <w:lang w:val="en-CA" w:eastAsia="zh-CN" w:bidi="ar-SA"/>
              </w:rPr>
            </w:r>
          </w:p>
        </w:tc>
      </w:tr>
    </w:tbl>
    <w:p>
      <w:pPr>
        <w:pStyle w:val="Caption1"/>
        <w:rPr/>
      </w:pPr>
      <w:bookmarkStart w:id="64" w:name="_Ref151387199"/>
      <w:r>
        <w:rPr/>
        <w:t xml:space="preserve">Table </w:t>
      </w:r>
      <w:r>
        <w:rPr/>
        <w:fldChar w:fldCharType="begin"/>
      </w:r>
      <w:r>
        <w:rPr/>
        <w:instrText> SEQ Table \* ARABIC </w:instrText>
      </w:r>
      <w:r>
        <w:rPr/>
        <w:fldChar w:fldCharType="separate"/>
      </w:r>
      <w:r>
        <w:rPr/>
        <w:t>41</w:t>
      </w:r>
      <w:r>
        <w:rPr/>
        <w:fldChar w:fldCharType="end"/>
      </w:r>
      <w:bookmarkEnd w:id="64"/>
      <w:r>
        <w:rPr/>
        <w:t>: Annual household income ranges for HART income categories, 2016 – Loyalist, Greater Napanee, Stone Mills, and Addington Highlands.</w:t>
      </w:r>
    </w:p>
    <w:p>
      <w:pPr>
        <w:pStyle w:val="Normal"/>
        <w:rPr/>
      </w:pPr>
      <w:r>
        <w:rPr/>
      </w:r>
    </w:p>
    <w:p>
      <w:pPr>
        <w:pStyle w:val="Normal"/>
        <w:rPr/>
      </w:pPr>
      <w:r>
        <w:rPr/>
      </w:r>
    </w:p>
    <w:p>
      <w:pPr>
        <w:pStyle w:val="Normal"/>
        <w:rPr/>
      </w:pPr>
      <w:r>
        <w:rPr/>
      </w:r>
    </w:p>
    <w:p>
      <w:pPr>
        <w:pStyle w:val="Normal"/>
        <w:rPr/>
      </w:pPr>
      <w:r>
        <w:rPr/>
      </w:r>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2016 – Affordable monthly shelter cost by income (table 1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&gt; $##,###</w:t>
            </w:r>
          </w:p>
        </w:tc>
      </w:tr>
    </w:tbl>
    <w:p>
      <w:pPr>
        <w:pStyle w:val="Caption1"/>
        <w:rPr/>
      </w:pPr>
      <w:bookmarkStart w:id="65" w:name="_Ref151371514"/>
      <w:r>
        <w:rPr/>
        <w:t xml:space="preserve">Table </w:t>
      </w:r>
      <w:r>
        <w:rPr/>
        <w:fldChar w:fldCharType="begin"/>
      </w:r>
      <w:r>
        <w:rPr/>
        <w:instrText> SEQ Table \* ARABIC </w:instrText>
      </w:r>
      <w:r>
        <w:rPr/>
        <w:fldChar w:fldCharType="separate"/>
      </w:r>
      <w:r>
        <w:rPr/>
        <w:t>42</w:t>
      </w:r>
      <w:r>
        <w:rPr/>
        <w:fldChar w:fldCharType="end"/>
      </w:r>
      <w:bookmarkEnd w:id="65"/>
      <w:r>
        <w:rPr/>
        <w:t>: Implied affordable monthly shelter costs for each HART income category, 2016 – [</w:t>
      </w:r>
      <w:r>
        <w:rPr>
          <w:highlight w:val="yellow"/>
        </w:rPr>
        <w:t>Community CD</w:t>
      </w:r>
      <w:r>
        <w:rPr/>
        <w:t>].</w:t>
      </w:r>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2016 – Affordable monthly shelter cost by income (table 2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keepNext w:val="true"/>
              <w:widowControl/>
              <w:spacing w:before="0" w:after="0"/>
              <w:jc w:val="right"/>
              <w:rPr>
                <w:rFonts w:ascii="Arial" w:hAnsi="Arial" w:cs="Arial"/>
              </w:rPr>
            </w:pPr>
            <w:r>
              <w:rPr>
                <w:rFonts w:cs="Arial" w:ascii="Arial" w:hAnsi="Arial"/>
                <w:kern w:val="0"/>
                <w:sz w:val="20"/>
                <w:szCs w:val="20"/>
                <w:lang w:val="en-CA" w:eastAsia="zh-CN" w:bidi="ar-SA"/>
              </w:rPr>
            </w:r>
          </w:p>
        </w:tc>
      </w:tr>
    </w:tbl>
    <w:p>
      <w:pPr>
        <w:pStyle w:val="Caption1"/>
        <w:rPr/>
      </w:pPr>
      <w:bookmarkStart w:id="66" w:name="_Ref151371406"/>
      <w:r>
        <w:rPr/>
        <w:t xml:space="preserve">Table </w:t>
      </w:r>
      <w:r>
        <w:rPr/>
        <w:fldChar w:fldCharType="begin"/>
      </w:r>
      <w:r>
        <w:rPr/>
        <w:instrText> SEQ Table \* ARABIC </w:instrText>
      </w:r>
      <w:r>
        <w:rPr/>
        <w:fldChar w:fldCharType="separate"/>
      </w:r>
      <w:r>
        <w:rPr/>
        <w:t>43</w:t>
      </w:r>
      <w:r>
        <w:rPr/>
        <w:fldChar w:fldCharType="end"/>
      </w:r>
      <w:bookmarkEnd w:id="66"/>
      <w:r>
        <w:rPr/>
        <w:t>: Implied affordable monthly shelter costs for each HART income category, 2016 – [</w:t>
      </w:r>
      <w:r>
        <w:rPr>
          <w:highlight w:val="yellow"/>
        </w:rPr>
        <w:t>Community CSD</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2021 – Income (table 1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&gt; $##,###</w:t>
            </w:r>
          </w:p>
        </w:tc>
      </w:tr>
    </w:tbl>
    <w:p>
      <w:pPr>
        <w:pStyle w:val="Caption1"/>
        <w:rPr>
          <w:rFonts w:ascii="Arial" w:hAnsi="Arial" w:cs="Arial"/>
          <w:sz w:val="20"/>
          <w:szCs w:val="20"/>
        </w:rPr>
      </w:pPr>
      <w:bookmarkStart w:id="67" w:name="_Ref152676669"/>
      <w:bookmarkStart w:id="68" w:name="_Ref151387203"/>
      <w:r>
        <w:rPr/>
        <w:t xml:space="preserve">Table </w:t>
      </w:r>
      <w:r>
        <w:rPr/>
        <w:fldChar w:fldCharType="begin"/>
      </w:r>
      <w:r>
        <w:rPr/>
        <w:instrText> SEQ Table \* ARABIC </w:instrText>
      </w:r>
      <w:r>
        <w:rPr/>
        <w:fldChar w:fldCharType="separate"/>
      </w:r>
      <w:r>
        <w:rPr/>
        <w:t>44</w:t>
      </w:r>
      <w:r>
        <w:rPr/>
        <w:fldChar w:fldCharType="end"/>
      </w:r>
      <w:bookmarkEnd w:id="68"/>
      <w:r>
        <w:rPr/>
        <w:t>: Annual household income ranges for HART income categories, 2021 – [</w:t>
      </w:r>
      <w:r>
        <w:rPr>
          <w:highlight w:val="yellow"/>
        </w:rPr>
        <w:t>Community CD</w:t>
      </w:r>
      <w:r>
        <w:rPr/>
        <w:t>].</w:t>
      </w:r>
      <w:bookmarkEnd w:id="67"/>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2021 – Income (table 2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keepNext w:val="true"/>
              <w:widowControl/>
              <w:spacing w:before="0" w:after="0"/>
              <w:jc w:val="right"/>
              <w:rPr>
                <w:rFonts w:ascii="Arial" w:hAnsi="Arial" w:cs="Arial"/>
              </w:rPr>
            </w:pPr>
            <w:r>
              <w:rPr>
                <w:rFonts w:cs="Arial" w:ascii="Arial" w:hAnsi="Arial"/>
                <w:kern w:val="0"/>
                <w:sz w:val="20"/>
                <w:szCs w:val="20"/>
                <w:lang w:val="en-CA" w:eastAsia="zh-CN" w:bidi="ar-SA"/>
              </w:rPr>
            </w:r>
          </w:p>
        </w:tc>
      </w:tr>
    </w:tbl>
    <w:p>
      <w:pPr>
        <w:pStyle w:val="Caption1"/>
        <w:rPr/>
      </w:pPr>
      <w:bookmarkStart w:id="69" w:name="_Ref151387205"/>
      <w:r>
        <w:rPr/>
        <w:t xml:space="preserve">Table </w:t>
      </w:r>
      <w:r>
        <w:rPr/>
        <w:fldChar w:fldCharType="begin"/>
      </w:r>
      <w:r>
        <w:rPr/>
        <w:instrText> SEQ Table \* ARABIC </w:instrText>
      </w:r>
      <w:r>
        <w:rPr/>
        <w:fldChar w:fldCharType="separate"/>
      </w:r>
      <w:r>
        <w:rPr/>
        <w:t>45</w:t>
      </w:r>
      <w:r>
        <w:rPr/>
        <w:fldChar w:fldCharType="end"/>
      </w:r>
      <w:bookmarkEnd w:id="69"/>
      <w:r>
        <w:rPr/>
        <w:t>: Annual household income ranges for HART income categories, 2021 – [</w:t>
      </w:r>
      <w:r>
        <w:rPr>
          <w:highlight w:val="yellow"/>
        </w:rPr>
        <w:t>Community CSD</w:t>
      </w:r>
      <w:r>
        <w:rPr/>
        <w:t>].</w:t>
      </w:r>
    </w:p>
    <w:p>
      <w:pPr>
        <w:pStyle w:val="Normal"/>
        <w:rPr/>
      </w:pPr>
      <w:r>
        <w:rPr/>
      </w:r>
    </w:p>
    <w:p>
      <w:pPr>
        <w:pStyle w:val="Normal"/>
        <w:rPr/>
      </w:pPr>
      <w:r>
        <w:rPr/>
      </w:r>
    </w:p>
    <w:p>
      <w:pPr>
        <w:pStyle w:val="Normal"/>
        <w:spacing w:lineRule="auto" w:line="259" w:before="0" w:after="160"/>
        <w:rPr/>
      </w:pPr>
      <w:r>
        <w:rPr/>
      </w:r>
      <w:r>
        <w:br w:type="page"/>
      </w:r>
    </w:p>
    <w:tbl>
      <w:tblPr>
        <w:tblStyle w:val="TableGrid"/>
        <w:tblW w:w="432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59"/>
      </w:tblGrid>
      <w:tr>
        <w:trPr/>
        <w:tc>
          <w:tcPr>
            <w:tcW w:w="4319" w:type="dxa"/>
            <w:gridSpan w:val="2"/>
            <w:tcBorders/>
          </w:tcPr>
          <w:p>
            <w:pPr>
              <w:pStyle w:val="Normal"/>
              <w:pageBreakBefore/>
              <w:widowControl/>
              <w:spacing w:before="0" w:after="0"/>
              <w:jc w:val="left"/>
              <w:rPr>
                <w:rFonts w:ascii="Arial" w:hAnsi="Arial" w:cs="Arial"/>
              </w:rPr>
            </w:pPr>
            <w:r>
              <w:rPr>
                <w:rFonts w:cs="Arial" w:ascii="Arial" w:hAnsi="Arial"/>
                <w:kern w:val="0"/>
                <w:sz w:val="20"/>
                <w:szCs w:val="20"/>
                <w:lang w:val="en-CA" w:eastAsia="zh-CN" w:bidi="ar-SA"/>
              </w:rPr>
              <w:t>2021 – Affordable monthly shelter cost by income (table 1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CD</w:t>
            </w:r>
            <w:r>
              <w:rPr>
                <w:rFonts w:cs="Arial" w:ascii="Arial" w:hAnsi="Arial"/>
                <w:kern w:val="0"/>
                <w:sz w:val="20"/>
                <w:szCs w:val="20"/>
                <w:lang w:val="en-CA" w:eastAsia="zh-CN" w:bidi="ar-SA"/>
              </w:rPr>
              <w:t>]</w:t>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59"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&lt; $#,###</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59"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&gt; $##,###</w:t>
            </w:r>
          </w:p>
        </w:tc>
      </w:tr>
    </w:tbl>
    <w:p>
      <w:pPr>
        <w:pStyle w:val="Caption1"/>
        <w:rPr/>
      </w:pPr>
      <w:bookmarkStart w:id="70" w:name="_Ref151371527"/>
      <w:r>
        <w:rPr/>
        <w:t xml:space="preserve">Table </w:t>
      </w:r>
      <w:r>
        <w:rPr/>
        <w:fldChar w:fldCharType="begin"/>
      </w:r>
      <w:r>
        <w:rPr/>
        <w:instrText> SEQ Table \* ARABIC </w:instrText>
      </w:r>
      <w:r>
        <w:rPr/>
        <w:fldChar w:fldCharType="separate"/>
      </w:r>
      <w:r>
        <w:rPr/>
        <w:t>46</w:t>
      </w:r>
      <w:r>
        <w:rPr/>
        <w:fldChar w:fldCharType="end"/>
      </w:r>
      <w:bookmarkEnd w:id="70"/>
      <w:r>
        <w:rPr/>
        <w:t>: Implied affordable monthly shelter costs for each HART income category, 2021 – [</w:t>
      </w:r>
      <w:r>
        <w:rPr>
          <w:highlight w:val="yellow"/>
        </w:rPr>
        <w:t>Community CD</w:t>
      </w:r>
      <w:r>
        <w:rPr/>
        <w:t>].</w:t>
      </w:r>
    </w:p>
    <w:p>
      <w:pPr>
        <w:pStyle w:val="Normal"/>
        <w:rPr>
          <w:i/>
          <w:i/>
          <w:iCs/>
          <w:color w:val="44546A" w:themeColor="text2"/>
          <w:sz w:val="18"/>
          <w:szCs w:val="18"/>
        </w:rPr>
      </w:pPr>
      <w:r>
        <w:rPr>
          <w:i/>
          <w:iCs/>
          <w:color w:val="44546A" w:themeColor="text2"/>
          <w:sz w:val="18"/>
          <w:szCs w:val="18"/>
        </w:rPr>
      </w:r>
    </w:p>
    <w:tbl>
      <w:tblPr>
        <w:tblStyle w:val="TableGrid"/>
        <w:tblW w:w="1080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60"/>
        <w:gridCol w:w="2160"/>
        <w:gridCol w:w="2160"/>
        <w:gridCol w:w="2160"/>
        <w:gridCol w:w="2160"/>
      </w:tblGrid>
      <w:tr>
        <w:trPr/>
        <w:tc>
          <w:tcPr>
            <w:tcW w:w="10800" w:type="dxa"/>
            <w:gridSpan w:val="5"/>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2021 – Affordable monthly shelter cost by income (table 2 of 2)</w:t>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t>[</w:t>
            </w:r>
            <w:r>
              <w:rPr>
                <w:rFonts w:cs="Arial" w:ascii="Arial" w:hAnsi="Arial"/>
                <w:kern w:val="0"/>
                <w:sz w:val="20"/>
                <w:szCs w:val="20"/>
                <w:highlight w:val="yellow"/>
                <w:lang w:val="en-CA" w:eastAsia="zh-CN" w:bidi="ar-SA"/>
              </w:rPr>
              <w:t>Community CSD</w:t>
            </w:r>
            <w:r>
              <w:rPr>
                <w:rFonts w:cs="Arial" w:ascii="Arial" w:hAnsi="Arial"/>
                <w:kern w:val="0"/>
                <w:sz w:val="20"/>
                <w:szCs w:val="20"/>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shd w:color="auto" w:fill="D9D9D9" w:themeFill="background1" w:themeFillShade="d9" w:val="clear"/>
          </w:tcPr>
          <w:p>
            <w:pPr>
              <w:pStyle w:val="Normal"/>
              <w:widowControl/>
              <w:spacing w:before="0" w:after="0"/>
              <w:jc w:val="left"/>
              <w:rPr>
                <w:rFonts w:ascii="Arial" w:hAnsi="Arial" w:cs="Arial"/>
              </w:rPr>
            </w:pPr>
            <w:r>
              <w:rPr>
                <w:rFonts w:cs="Arial" w:ascii="Arial" w:hAnsi="Arial"/>
                <w:kern w:val="0"/>
                <w:sz w:val="20"/>
                <w:szCs w:val="20"/>
                <w:lang w:val="en-CA" w:eastAsia="zh-CN" w:bidi="ar-SA"/>
              </w:rPr>
              <w:t>AMHI</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 xml:space="preserve"> </w:t>
            </w:r>
            <w:r>
              <w:rPr>
                <w:rFonts w:cs="Arial" w:ascii="Arial" w:hAnsi="Arial"/>
                <w:kern w:val="0"/>
                <w:sz w:val="20"/>
                <w:szCs w:val="20"/>
                <w:highlight w:val="yellow"/>
                <w:lang w:val="en-CA" w:eastAsia="zh-CN" w:bidi="ar-SA"/>
              </w:rPr>
              <w:t xml:space="preserve">$##,### </w:t>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shd w:color="auto" w:fill="D9D9D9" w:themeFill="background1" w:themeFillShade="d9" w:val="clear"/>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Very 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&lt;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Low</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Moderate</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Median</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r>
      <w:tr>
        <w:trPr/>
        <w:tc>
          <w:tcPr>
            <w:tcW w:w="2160" w:type="dxa"/>
            <w:tcBorders/>
          </w:tcPr>
          <w:p>
            <w:pPr>
              <w:pStyle w:val="Normal"/>
              <w:widowControl/>
              <w:spacing w:before="0" w:after="0"/>
              <w:jc w:val="left"/>
              <w:rPr>
                <w:rFonts w:ascii="Arial" w:hAnsi="Arial" w:cs="Arial"/>
              </w:rPr>
            </w:pPr>
            <w:r>
              <w:rPr>
                <w:rFonts w:cs="Arial" w:ascii="Arial" w:hAnsi="Arial"/>
                <w:kern w:val="0"/>
                <w:sz w:val="20"/>
                <w:szCs w:val="20"/>
                <w:lang w:val="en-CA" w:eastAsia="zh-CN" w:bidi="ar-SA"/>
              </w:rPr>
              <w:t>High</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highlight w:val="yellow"/>
                <w:lang w:val="en-CA" w:eastAsia="zh-CN" w:bidi="ar-SA"/>
              </w:rPr>
              <w:t>&gt; $##,###</w:t>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widowControl/>
              <w:spacing w:before="0" w:after="0"/>
              <w:jc w:val="right"/>
              <w:rPr>
                <w:rFonts w:ascii="Arial" w:hAnsi="Arial" w:cs="Arial"/>
              </w:rPr>
            </w:pPr>
            <w:r>
              <w:rPr>
                <w:rFonts w:cs="Arial" w:ascii="Arial" w:hAnsi="Arial"/>
                <w:kern w:val="0"/>
                <w:sz w:val="20"/>
                <w:szCs w:val="20"/>
                <w:lang w:val="en-CA" w:eastAsia="zh-CN" w:bidi="ar-SA"/>
              </w:rPr>
            </w:r>
          </w:p>
        </w:tc>
        <w:tc>
          <w:tcPr>
            <w:tcW w:w="2160" w:type="dxa"/>
            <w:tcBorders/>
          </w:tcPr>
          <w:p>
            <w:pPr>
              <w:pStyle w:val="Normal"/>
              <w:keepNext w:val="true"/>
              <w:widowControl/>
              <w:spacing w:before="0" w:after="0"/>
              <w:jc w:val="right"/>
              <w:rPr>
                <w:rFonts w:ascii="Arial" w:hAnsi="Arial" w:cs="Arial"/>
              </w:rPr>
            </w:pPr>
            <w:r>
              <w:rPr>
                <w:rFonts w:cs="Arial" w:ascii="Arial" w:hAnsi="Arial"/>
                <w:kern w:val="0"/>
                <w:sz w:val="20"/>
                <w:szCs w:val="20"/>
                <w:lang w:val="en-CA" w:eastAsia="zh-CN" w:bidi="ar-SA"/>
              </w:rPr>
            </w:r>
          </w:p>
        </w:tc>
      </w:tr>
    </w:tbl>
    <w:p>
      <w:pPr>
        <w:sectPr>
          <w:footerReference w:type="default" r:id="rId13"/>
          <w:footnotePr>
            <w:numFmt w:val="decimal"/>
          </w:footnotePr>
          <w:type w:val="nextPage"/>
          <w:pgSz w:orient="landscape" w:w="15840" w:h="12240"/>
          <w:pgMar w:left="1440" w:right="1440" w:header="0" w:top="1440" w:footer="706" w:bottom="1440" w:gutter="0"/>
          <w:pgNumType w:fmt="decimal"/>
          <w:formProt w:val="false"/>
          <w:textDirection w:val="lrTb"/>
          <w:docGrid w:type="default" w:linePitch="360" w:charSpace="8192"/>
        </w:sectPr>
        <w:pStyle w:val="Caption1"/>
        <w:rPr/>
      </w:pPr>
      <w:bookmarkStart w:id="71" w:name="_Ref151371528"/>
      <w:r>
        <w:rPr/>
        <w:t xml:space="preserve">Table </w:t>
      </w:r>
      <w:r>
        <w:rPr/>
        <w:fldChar w:fldCharType="begin"/>
      </w:r>
      <w:r>
        <w:rPr/>
        <w:instrText> SEQ Table \* ARABIC </w:instrText>
      </w:r>
      <w:r>
        <w:rPr/>
        <w:fldChar w:fldCharType="separate"/>
      </w:r>
      <w:r>
        <w:rPr/>
        <w:t>47</w:t>
      </w:r>
      <w:r>
        <w:rPr/>
        <w:fldChar w:fldCharType="end"/>
      </w:r>
      <w:bookmarkEnd w:id="71"/>
      <w:r>
        <w:rPr/>
        <w:t>: Implied affordable monthly shelter costs for each HART income category, 2021 – [</w:t>
      </w:r>
      <w:r>
        <w:rPr>
          <w:highlight w:val="yellow"/>
        </w:rPr>
        <w:t>Community CSD</w:t>
      </w:r>
      <w:r>
        <w:rPr/>
        <w:t>].</w:t>
      </w:r>
    </w:p>
    <w:p>
      <w:pPr>
        <w:pStyle w:val="Heading1"/>
        <w:rPr/>
      </w:pPr>
      <w:bookmarkStart w:id="72" w:name="_Toc156309965"/>
      <w:r>
        <w:rPr/>
        <w:t>Appendix B: Data Sources</w:t>
      </w:r>
      <w:bookmarkEnd w:id="72"/>
    </w:p>
    <w:p>
      <w:pPr>
        <w:pStyle w:val="Normal"/>
        <w:rPr/>
      </w:pPr>
      <w:r>
        <w:rPr/>
      </w:r>
    </w:p>
    <w:p>
      <w:pPr>
        <w:pStyle w:val="ListParagraph"/>
        <w:numPr>
          <w:ilvl w:val="0"/>
          <w:numId w:val="3"/>
        </w:numPr>
        <w:rPr/>
      </w:pPr>
      <w:r>
        <w:rPr/>
        <w:t>Population, number of households</w:t>
      </w:r>
    </w:p>
    <w:p>
      <w:pPr>
        <w:pStyle w:val="ListParagraph"/>
        <w:numPr>
          <w:ilvl w:val="1"/>
          <w:numId w:val="3"/>
        </w:numPr>
        <w:rPr/>
      </w:pPr>
      <w:r>
        <w:rPr/>
        <w:t xml:space="preserve">2006 Census Profile </w:t>
      </w:r>
      <w:hyperlink r:id="rId14">
        <w:r>
          <w:rPr>
            <w:rStyle w:val="InternetLink"/>
          </w:rPr>
          <w:t>https://www12.statcan.gc.ca/census-recensement/2006/dp-pd/prof/92-591/</w:t>
        </w:r>
      </w:hyperlink>
    </w:p>
    <w:p>
      <w:pPr>
        <w:pStyle w:val="ListParagraph"/>
        <w:numPr>
          <w:ilvl w:val="1"/>
          <w:numId w:val="3"/>
        </w:numPr>
        <w:rPr/>
      </w:pPr>
      <w:r>
        <w:rPr/>
        <w:t xml:space="preserve">2011 Census Profile </w:t>
      </w:r>
      <w:hyperlink r:id="rId15">
        <w:r>
          <w:rPr>
            <w:rStyle w:val="InternetLink"/>
          </w:rPr>
          <w:t>https://www12.statcan.gc.ca/census-recensement/2011/dp-pd/prof/index.cfm?Lang=E</w:t>
        </w:r>
      </w:hyperlink>
    </w:p>
    <w:p>
      <w:pPr>
        <w:pStyle w:val="ListParagraph"/>
        <w:numPr>
          <w:ilvl w:val="1"/>
          <w:numId w:val="3"/>
        </w:numPr>
        <w:rPr/>
      </w:pPr>
      <w:r>
        <w:rPr/>
        <w:t xml:space="preserve">2016 Census Profile: </w:t>
      </w:r>
      <w:hyperlink r:id="rId16">
        <w:r>
          <w:rPr>
            <w:rStyle w:val="InternetLink"/>
          </w:rPr>
          <w:t>https://www12.statcan.gc.ca/census-recensement/2016/dp-pd/prof/index.cfm?Lang=E</w:t>
        </w:r>
      </w:hyperlink>
    </w:p>
    <w:p>
      <w:pPr>
        <w:pStyle w:val="ListParagraph"/>
        <w:numPr>
          <w:ilvl w:val="1"/>
          <w:numId w:val="3"/>
        </w:numPr>
        <w:rPr/>
      </w:pPr>
      <w:r>
        <w:rPr/>
        <w:t xml:space="preserve">2021 Census Profile: </w:t>
      </w:r>
      <w:hyperlink r:id="rId17">
        <w:r>
          <w:rPr>
            <w:rStyle w:val="InternetLink"/>
          </w:rPr>
          <w:t>https://www12.statcan.gc.ca/census-recensement/2021/dp-pd/prof/index.cfm?Lang=E</w:t>
        </w:r>
      </w:hyperlink>
    </w:p>
    <w:p>
      <w:pPr>
        <w:pStyle w:val="ListParagraph"/>
        <w:numPr>
          <w:ilvl w:val="0"/>
          <w:numId w:val="3"/>
        </w:numPr>
        <w:rPr/>
      </w:pPr>
      <w:r>
        <w:rPr/>
        <w:t>Number of households by age of primary household maintainer (note that HART data was used for the 85+ age group in 2006, 2016, and 2021)</w:t>
      </w:r>
    </w:p>
    <w:p>
      <w:pPr>
        <w:pStyle w:val="ListParagraph"/>
        <w:numPr>
          <w:ilvl w:val="1"/>
          <w:numId w:val="3"/>
        </w:numPr>
        <w:rPr/>
      </w:pPr>
      <w:r>
        <w:rPr/>
        <w:t>2006 Census: Statistics Canada. Data table 97-554-XCB2006034</w:t>
      </w:r>
    </w:p>
    <w:p>
      <w:pPr>
        <w:pStyle w:val="ListParagraph"/>
        <w:numPr>
          <w:ilvl w:val="1"/>
          <w:numId w:val="3"/>
        </w:numPr>
        <w:rPr/>
      </w:pPr>
      <w:r>
        <w:rPr/>
        <w:t>2011 National Household Survey: Statistics Canada. Data table 99-014-X2011045</w:t>
      </w:r>
    </w:p>
    <w:p>
      <w:pPr>
        <w:pStyle w:val="ListParagraph"/>
        <w:numPr>
          <w:ilvl w:val="1"/>
          <w:numId w:val="3"/>
        </w:numPr>
        <w:rPr/>
      </w:pPr>
      <w:r>
        <w:rPr/>
        <w:t>2016 Census: Statistics Canada Catalogue no. 98-400-X2016227</w:t>
      </w:r>
    </w:p>
    <w:p>
      <w:pPr>
        <w:pStyle w:val="ListParagraph"/>
        <w:numPr>
          <w:ilvl w:val="1"/>
          <w:numId w:val="3"/>
        </w:numPr>
        <w:rPr/>
      </w:pPr>
      <w:r>
        <w:rPr/>
        <w:t>2021 Census: Statistics Canada. Table 98-10-0232-01  Age of primary household maintainer by tenure: Canada, provinces and territories, census divisions and census subdivisions</w:t>
      </w:r>
    </w:p>
    <w:p>
      <w:pPr>
        <w:pStyle w:val="ListParagraph"/>
        <w:numPr>
          <w:ilvl w:val="0"/>
          <w:numId w:val="3"/>
        </w:numPr>
        <w:rPr/>
      </w:pPr>
      <w:r>
        <w:rPr/>
        <w:t>Dwellings by structural type and period of construction</w:t>
      </w:r>
    </w:p>
    <w:p>
      <w:pPr>
        <w:pStyle w:val="ListParagraph"/>
        <w:numPr>
          <w:ilvl w:val="1"/>
          <w:numId w:val="3"/>
        </w:numPr>
        <w:rPr/>
      </w:pPr>
      <w:r>
        <w:rPr/>
        <w:t>2016 Census: Statistics Canada Catalogue no. 98-400-X2016222</w:t>
      </w:r>
    </w:p>
    <w:p>
      <w:pPr>
        <w:pStyle w:val="ListParagraph"/>
        <w:numPr>
          <w:ilvl w:val="1"/>
          <w:numId w:val="3"/>
        </w:numPr>
        <w:rPr/>
      </w:pPr>
      <w:r>
        <w:rPr/>
        <w:t>2021 Census: Statistics Canada. Table 98-10-0233-01  Dwelling condition by tenure: Canada, provinces and territories, census divisions and census subdivisions</w:t>
      </w:r>
    </w:p>
    <w:p>
      <w:pPr>
        <w:pStyle w:val="ListParagraph"/>
        <w:numPr>
          <w:ilvl w:val="0"/>
          <w:numId w:val="3"/>
        </w:numPr>
        <w:rPr/>
      </w:pPr>
      <w:r>
        <w:rPr/>
        <w:t>Households by tenure, presence of mortgage, subsidized housing</w:t>
      </w:r>
    </w:p>
    <w:p>
      <w:pPr>
        <w:pStyle w:val="ListParagraph"/>
        <w:numPr>
          <w:ilvl w:val="1"/>
          <w:numId w:val="3"/>
        </w:numPr>
        <w:rPr/>
      </w:pPr>
      <w:r>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pPr>
        <w:pStyle w:val="ListParagraph"/>
        <w:numPr>
          <w:ilvl w:val="1"/>
          <w:numId w:val="3"/>
        </w:numPr>
        <w:rPr/>
      </w:pPr>
      <w:r>
        <w:rPr/>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pPr>
        <w:pStyle w:val="ListParagraph"/>
        <w:numPr>
          <w:ilvl w:val="0"/>
          <w:numId w:val="3"/>
        </w:numPr>
        <w:rPr/>
      </w:pPr>
      <w:r>
        <w:rPr/>
        <w:t>Households by vulnerable population</w:t>
      </w:r>
    </w:p>
    <w:p>
      <w:pPr>
        <w:pStyle w:val="ListParagraph"/>
        <w:numPr>
          <w:ilvl w:val="1"/>
          <w:numId w:val="3"/>
        </w:numPr>
        <w:rPr/>
      </w:pPr>
      <w:r>
        <w:rPr/>
        <w:t>2016 Census: HART (see source 4 above)</w:t>
      </w:r>
    </w:p>
    <w:p>
      <w:pPr>
        <w:pStyle w:val="ListParagraph"/>
        <w:numPr>
          <w:ilvl w:val="1"/>
          <w:numId w:val="3"/>
        </w:numPr>
        <w:rPr/>
      </w:pPr>
      <w:r>
        <w:rPr/>
        <w:t>2021 Census: HART (see source 4 above)</w:t>
      </w:r>
    </w:p>
    <w:p>
      <w:pPr>
        <w:pStyle w:val="ListParagraph"/>
        <w:numPr>
          <w:ilvl w:val="0"/>
          <w:numId w:val="3"/>
        </w:numPr>
        <w:rPr/>
      </w:pPr>
      <w:r>
        <w:rPr/>
        <w:t>Households by income category and household size</w:t>
      </w:r>
    </w:p>
    <w:p>
      <w:pPr>
        <w:pStyle w:val="ListParagraph"/>
        <w:numPr>
          <w:ilvl w:val="1"/>
          <w:numId w:val="3"/>
        </w:numPr>
        <w:rPr/>
      </w:pPr>
      <w:r>
        <w:rPr/>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pPr>
        <w:pStyle w:val="ListParagraph"/>
        <w:numPr>
          <w:ilvl w:val="1"/>
          <w:numId w:val="3"/>
        </w:numPr>
        <w:rPr/>
      </w:pPr>
      <w:r>
        <w:rPr/>
        <w:t>2016 Census: HART (see source 4 above)</w:t>
      </w:r>
    </w:p>
    <w:p>
      <w:pPr>
        <w:pStyle w:val="ListParagraph"/>
        <w:numPr>
          <w:ilvl w:val="1"/>
          <w:numId w:val="3"/>
        </w:numPr>
        <w:rPr/>
      </w:pPr>
      <w:r>
        <w:rPr/>
        <w:t>2021 Census: HART (see source 4 above)</w:t>
      </w:r>
    </w:p>
    <w:p>
      <w:pPr>
        <w:pStyle w:val="Normal"/>
        <w:rPr/>
      </w:pPr>
      <w:r>
        <w:rPr/>
      </w:r>
    </w:p>
    <w:p>
      <w:pPr>
        <w:sectPr>
          <w:footerReference w:type="default" r:id="rId18"/>
          <w:footnotePr>
            <w:numFmt w:val="decimal"/>
          </w:footnotePr>
          <w:type w:val="nextPage"/>
          <w:pgSz w:orient="landscape" w:w="15840" w:h="12240"/>
          <w:pgMar w:left="1440" w:right="1440" w:header="0" w:top="1440" w:footer="706" w:bottom="1440" w:gutter="0"/>
          <w:pgNumType w:fmt="decimal"/>
          <w:formProt w:val="false"/>
          <w:textDirection w:val="lrTb"/>
          <w:docGrid w:type="default" w:linePitch="360" w:charSpace="8192"/>
        </w:sectPr>
        <w:pStyle w:val="Normal"/>
        <w:rPr/>
      </w:pPr>
      <w:r>
        <w:rPr/>
      </w:r>
    </w:p>
    <w:p>
      <w:pPr>
        <w:pStyle w:val="Heading1"/>
        <w:rPr/>
      </w:pPr>
      <w:bookmarkStart w:id="73" w:name="_Toc156309966"/>
      <w:bookmarkStart w:id="74" w:name="_Ref150414785"/>
      <w:r>
        <w:rPr/>
        <w:t>Appendix C: Family type bedroom requirements</w:t>
      </w:r>
      <w:bookmarkEnd w:id="73"/>
      <w:bookmarkEnd w:id="74"/>
    </w:p>
    <w:p>
      <w:pPr>
        <w:pStyle w:val="Normal"/>
        <w:spacing w:lineRule="auto" w:line="276"/>
        <w:rPr/>
      </w:pPr>
      <w:r>
        <w:rPr/>
        <w:t>We use the National Occupancy Standards</w:t>
      </w:r>
      <w:r>
        <w:rPr>
          <w:rStyle w:val="FootnoteAnchor"/>
        </w:rPr>
        <w:footnoteReference w:id="6"/>
      </w:r>
      <w:r>
        <w:rPr/>
        <w:t xml:space="preserve"> (NOS) as our basic set of assumptions. However, the NOS allows for children to share a bedroom if they are the same sex which introduces some complication. For simplicity, we assume that each child needs their own bedroom.</w:t>
      </w:r>
    </w:p>
    <w:p>
      <w:pPr>
        <w:pStyle w:val="Normal"/>
        <w:spacing w:lineRule="auto" w:line="276"/>
        <w:rPr/>
      </w:pPr>
      <w:r>
        <w:rPr/>
      </w:r>
    </w:p>
    <w:tbl>
      <w:tblPr>
        <w:tblW w:w="9450" w:type="dxa"/>
        <w:jc w:val="left"/>
        <w:tblInd w:w="79" w:type="dxa"/>
        <w:tblLayout w:type="fixed"/>
        <w:tblCellMar>
          <w:top w:w="80" w:type="dxa"/>
          <w:left w:w="80" w:type="dxa"/>
          <w:bottom w:w="80" w:type="dxa"/>
          <w:right w:w="80" w:type="dxa"/>
        </w:tblCellMar>
        <w:tblLook w:firstRow="0" w:noVBand="0" w:lastRow="0" w:firstColumn="0" w:lastColumn="0" w:noHBand="0" w:val="0000"/>
      </w:tblPr>
      <w:tblGrid>
        <w:gridCol w:w="2250"/>
        <w:gridCol w:w="4050"/>
        <w:gridCol w:w="3150"/>
      </w:tblGrid>
      <w:tr>
        <w:trPr>
          <w:trHeight w:val="60" w:hRule="atLeast"/>
        </w:trPr>
        <w:tc>
          <w:tcPr>
            <w:tcW w:w="2250" w:type="dxa"/>
            <w:tcBorders>
              <w:top w:val="single" w:sz="6" w:space="0" w:color="000000"/>
              <w:left w:val="single" w:sz="6" w:space="0" w:color="000000"/>
              <w:bottom w:val="single" w:sz="6" w:space="0" w:color="000000"/>
              <w:right w:val="single" w:sz="4" w:space="0" w:color="FFFFFF"/>
            </w:tcBorders>
            <w:shd w:color="auto" w:fill="002145" w:val="clear"/>
            <w:vAlign w:val="center"/>
          </w:tcPr>
          <w:p>
            <w:pPr>
              <w:pStyle w:val="Normal"/>
              <w:widowControl w:val="false"/>
              <w:rPr>
                <w:rFonts w:ascii="Arial" w:hAnsi="Arial" w:cs="Arial"/>
                <w:sz w:val="18"/>
              </w:rPr>
            </w:pPr>
            <w:r>
              <w:rPr>
                <w:rFonts w:cs="Arial" w:ascii="Arial" w:hAnsi="Arial"/>
                <w:sz w:val="18"/>
              </w:rPr>
              <w:t>Family Type </w:t>
            </w:r>
          </w:p>
        </w:tc>
        <w:tc>
          <w:tcPr>
            <w:tcW w:w="4050" w:type="dxa"/>
            <w:tcBorders>
              <w:top w:val="single" w:sz="6" w:space="0" w:color="000000"/>
              <w:left w:val="single" w:sz="4" w:space="0" w:color="FFFFFF"/>
              <w:bottom w:val="single" w:sz="6" w:space="0" w:color="000000"/>
              <w:right w:val="single" w:sz="4" w:space="0" w:color="FFFFFF"/>
            </w:tcBorders>
            <w:shd w:color="auto" w:fill="002145" w:val="clear"/>
            <w:vAlign w:val="center"/>
          </w:tcPr>
          <w:p>
            <w:pPr>
              <w:pStyle w:val="Normal"/>
              <w:widowControl w:val="false"/>
              <w:rPr>
                <w:rFonts w:ascii="Arial" w:hAnsi="Arial" w:cs="Arial"/>
                <w:sz w:val="18"/>
              </w:rPr>
            </w:pPr>
            <w:r>
              <w:rPr>
                <w:rFonts w:cs="Arial" w:ascii="Arial" w:hAnsi="Arial"/>
                <w:sz w:val="18"/>
              </w:rPr>
              <w:t>Description </w:t>
            </w:r>
          </w:p>
        </w:tc>
        <w:tc>
          <w:tcPr>
            <w:tcW w:w="3150" w:type="dxa"/>
            <w:tcBorders>
              <w:top w:val="single" w:sz="6" w:space="0" w:color="000000"/>
              <w:left w:val="single" w:sz="4" w:space="0" w:color="FFFFFF"/>
              <w:bottom w:val="single" w:sz="6" w:space="0" w:color="000000"/>
              <w:right w:val="single" w:sz="6" w:space="0" w:color="000000"/>
            </w:tcBorders>
            <w:shd w:color="auto" w:fill="002145" w:val="clear"/>
            <w:vAlign w:val="center"/>
          </w:tcPr>
          <w:p>
            <w:pPr>
              <w:pStyle w:val="Normal"/>
              <w:widowControl w:val="false"/>
              <w:rPr>
                <w:rFonts w:ascii="Arial" w:hAnsi="Arial" w:cs="Arial"/>
                <w:sz w:val="18"/>
              </w:rPr>
            </w:pPr>
            <w:r>
              <w:rPr>
                <w:rFonts w:cs="Arial" w:ascii="Arial" w:hAnsi="Arial"/>
                <w:sz w:val="18"/>
              </w:rPr>
              <w:t>Bedroom requirements </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Couples may share a bedroom. This family type requires a minimum of 1 bedroom. </w:t>
            </w:r>
          </w:p>
          <w:p>
            <w:pPr>
              <w:pStyle w:val="Normal"/>
              <w:widowControl w:val="false"/>
              <w:rPr>
                <w:rFonts w:ascii="Arial" w:hAnsi="Arial" w:cs="Arial"/>
                <w:sz w:val="18"/>
              </w:rPr>
            </w:pPr>
            <w:r>
              <w:rPr>
                <w:rFonts w:cs="Arial" w:ascii="Arial" w:hAnsi="Arial"/>
                <w:sz w:val="18"/>
              </w:rPr>
              <w:t>Beds = 1</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Couples may share a bedroom. This family type requires a unit with bedrooms equal to the household size - 1. For instance, a couple with 2 children (household size = 4) requires a unit with (4 - 1=3) 3 bedrooms. </w:t>
            </w:r>
          </w:p>
          <w:p>
            <w:pPr>
              <w:pStyle w:val="Normal"/>
              <w:widowControl w:val="false"/>
              <w:rPr>
                <w:rFonts w:ascii="Arial" w:hAnsi="Arial" w:cs="Arial"/>
                <w:sz w:val="18"/>
              </w:rPr>
            </w:pPr>
            <w:r>
              <w:rPr>
                <w:rFonts w:cs="Arial" w:ascii="Arial" w:hAnsi="Arial"/>
                <w:sz w:val="18"/>
              </w:rPr>
              <w:t>Beds = HH size - 1</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As parent and child(ren) each require their own bedroom, the required number of bedrooms is equal to the size of the household.  </w:t>
            </w:r>
          </w:p>
          <w:p>
            <w:pPr>
              <w:pStyle w:val="Normal"/>
              <w:widowControl w:val="false"/>
              <w:rPr>
                <w:rFonts w:ascii="Arial" w:hAnsi="Arial" w:cs="Arial"/>
                <w:sz w:val="18"/>
              </w:rPr>
            </w:pPr>
            <w:r>
              <w:rPr>
                <w:rFonts w:cs="Arial" w:ascii="Arial" w:hAnsi="Arial"/>
                <w:sz w:val="18"/>
              </w:rPr>
              <w:t>Beds = HH size</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The couple can share a bedroom but we assume each child needs their own bedroom.  </w:t>
            </w:r>
          </w:p>
          <w:p>
            <w:pPr>
              <w:pStyle w:val="Normal"/>
              <w:widowControl w:val="false"/>
              <w:rPr>
                <w:rFonts w:ascii="Arial" w:hAnsi="Arial" w:cs="Arial"/>
                <w:sz w:val="18"/>
              </w:rPr>
            </w:pPr>
            <w:r>
              <w:rPr>
                <w:rFonts w:cs="Arial" w:ascii="Arial" w:hAnsi="Arial"/>
                <w:sz w:val="18"/>
              </w:rPr>
              <w:t>Beds = HH size - 1</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b/>
                <w:b/>
                <w:bCs/>
                <w:sz w:val="18"/>
              </w:rPr>
            </w:pPr>
            <w:r>
              <w:rPr>
                <w:rFonts w:cs="Arial" w:ascii="Arial" w:hAnsi="Arial"/>
                <w:sz w:val="18"/>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Since adults and child(ren) each require their own bedroom, the required number of bedrooms is equal to the size of the household.  </w:t>
            </w:r>
          </w:p>
          <w:p>
            <w:pPr>
              <w:pStyle w:val="Normal"/>
              <w:widowControl w:val="false"/>
              <w:rPr>
                <w:rFonts w:ascii="Arial" w:hAnsi="Arial" w:cs="Arial"/>
                <w:b/>
                <w:b/>
                <w:bCs/>
                <w:sz w:val="18"/>
              </w:rPr>
            </w:pPr>
            <w:r>
              <w:rPr>
                <w:rFonts w:cs="Arial" w:ascii="Arial" w:hAnsi="Arial"/>
                <w:sz w:val="18"/>
              </w:rPr>
              <w:t>Beds = HH size</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A household in which two or more census families live. An example of this could be two single mothers sharing a home with their respective children, or a married couple living with one partner’s parents. Household size will be four or more in nearly all cases In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color="auto" w:fill="9CE0FB" w:val="clear"/>
            <w:vAlign w:val="center"/>
          </w:tcPr>
          <w:p>
            <w:pPr>
              <w:pStyle w:val="Normal"/>
              <w:widowControl w:val="false"/>
              <w:rPr>
                <w:rFonts w:ascii="Arial" w:hAnsi="Arial" w:cs="Arial"/>
                <w:sz w:val="18"/>
              </w:rPr>
            </w:pPr>
            <w:r>
              <w:rPr>
                <w:rFonts w:cs="Arial" w:ascii="Arial" w:hAnsi="Arial"/>
                <w:sz w:val="18"/>
              </w:rPr>
              <w:t>We cannot infer how many members are adults or children so we assume all are adults with at least two couples who can each share a bedroom.</w:t>
              <w:br/>
              <w:t>Beds = HH size - 2</w:t>
            </w:r>
          </w:p>
        </w:tc>
      </w:tr>
      <w:tr>
        <w:trPr>
          <w:trHeight w:val="60" w:hRule="atLeast"/>
        </w:trPr>
        <w:tc>
          <w:tcPr>
            <w:tcW w:w="22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color="auto" w:fill="D7F2FD" w:val="clear"/>
            <w:vAlign w:val="center"/>
          </w:tcPr>
          <w:p>
            <w:pPr>
              <w:pStyle w:val="Normal"/>
              <w:widowControl w:val="false"/>
              <w:rPr>
                <w:rFonts w:ascii="Arial" w:hAnsi="Arial" w:cs="Arial"/>
                <w:sz w:val="18"/>
              </w:rPr>
            </w:pPr>
            <w:r>
              <w:rPr>
                <w:rFonts w:cs="Arial" w:ascii="Arial" w:hAnsi="Arial"/>
                <w:sz w:val="18"/>
              </w:rPr>
              <w:t>Since each adult requires their own bedroom, the required number of bedrooms is equal to the size of the household.  Beds = HH size</w:t>
            </w:r>
          </w:p>
        </w:tc>
      </w:tr>
    </w:tbl>
    <w:p>
      <w:pPr>
        <w:pStyle w:val="Normal"/>
        <w:spacing w:lineRule="auto" w:line="259" w:before="0" w:after="160"/>
        <w:rPr>
          <w:rFonts w:ascii="Bahnschrift" w:hAnsi="Bahnschrift" w:eastAsia="等线 Light" w:cs="" w:cstheme="majorBidi" w:eastAsiaTheme="majorEastAsia"/>
          <w:color w:val="00B0F0"/>
          <w:sz w:val="32"/>
          <w:szCs w:val="32"/>
        </w:rPr>
      </w:pPr>
      <w:r>
        <w:rPr>
          <w:rFonts w:eastAsia="等线 Light" w:cs="" w:cstheme="majorBidi" w:eastAsiaTheme="majorEastAsia" w:ascii="Bahnschrift" w:hAnsi="Bahnschrift"/>
          <w:color w:val="00B0F0"/>
          <w:sz w:val="32"/>
          <w:szCs w:val="32"/>
        </w:rPr>
      </w:r>
      <w:r>
        <w:br w:type="page"/>
      </w:r>
    </w:p>
    <w:p>
      <w:pPr>
        <w:pStyle w:val="Heading1"/>
        <w:rPr/>
      </w:pPr>
      <w:bookmarkStart w:id="75" w:name="_Toc156309967"/>
      <w:bookmarkStart w:id="76" w:name="_Ref151458032"/>
      <w:r>
        <w:rPr/>
        <w:t>Appendix D: Methodology of Household growth between 2021 and 2031</w:t>
      </w:r>
      <w:bookmarkEnd w:id="75"/>
      <w:bookmarkEnd w:id="76"/>
    </w:p>
    <w:p>
      <w:pPr>
        <w:pStyle w:val="Normal"/>
        <w:rPr/>
      </w:pPr>
      <w:r>
        <w:rPr/>
      </w:r>
    </w:p>
    <w:p>
      <w:pPr>
        <w:pStyle w:val="Normal"/>
        <w:rPr/>
      </w:pPr>
      <w:r>
        <w:rPr/>
        <w:t xml:space="preserve">Note: The methodology used in this report is similar as on HART’s HNA Tool on our website. However, this report uses the universe of Private Households while the HNA Tool uses “Households examined for Core Housing Need.” The latter variable is always less than the “Total” of private households as not all households are examined for Core Housing Need (i.e. farms, households with income less than zero or shelter-cost-to-income ratio greater than 100%). </w:t>
      </w:r>
    </w:p>
    <w:p>
      <w:pPr>
        <w:pStyle w:val="Normal"/>
        <w:rPr/>
      </w:pPr>
      <w:r>
        <w:rPr/>
      </w:r>
    </w:p>
    <w:p>
      <w:pPr>
        <w:pStyle w:val="Normal"/>
        <w:rPr/>
      </w:pPr>
      <w:r>
        <w:rPr/>
        <w:t xml:space="preserve">Private households is the better variable to use, but due to constraints on the number of variables that could be added to the HNA Tool initially we elected to use Households Examined for Core Housing Need since it is the appropriate total to use in order to calculate the </w:t>
      </w:r>
      <w:r>
        <w:rPr>
          <w:i/>
        </w:rPr>
        <w:t>percentage</w:t>
      </w:r>
      <w:r>
        <w:rPr/>
        <w:t xml:space="preserve"> of households in core housing need calculated elsewhere.</w:t>
      </w:r>
    </w:p>
    <w:p>
      <w:pPr>
        <w:pStyle w:val="Normal"/>
        <w:rPr/>
      </w:pPr>
      <w:r>
        <w:rPr/>
      </w:r>
    </w:p>
    <w:p>
      <w:pPr>
        <w:pStyle w:val="Normal"/>
        <w:rPr/>
      </w:pPr>
      <w:r>
        <w:rPr/>
        <w:t>The below equations use “2006”, 2016” and “2021” to refer to the census year, and these general algebraic terms would each be disaggregated by income and/or household size to convert the actual count of households in 2006, 2016, and 2021 to expected households in 2031.</w:t>
      </w:r>
    </w:p>
    <w:p>
      <w:pPr>
        <w:pStyle w:val="Normal"/>
        <w:rPr/>
      </w:pPr>
      <w:r>
        <w:rPr/>
      </w:r>
    </w:p>
    <w:p>
      <w:pPr>
        <w:pStyle w:val="Normal"/>
        <w:jc w:val="center"/>
        <w:rPr>
          <w:rFonts w:eastAsia="等线" w:eastAsiaTheme="minorEastAsia"/>
        </w:rPr>
      </w:pPr>
      <w:r>
        <w:rPr/>
      </w:r>
      <m:oMathPara xmlns:m="http://schemas.openxmlformats.org/officeDocument/2006/math">
        <m:oMathParaPr>
          <m:jc m:val="center"/>
        </m:oMathParaPr>
        <m:oMath>
          <m:r>
            <w:rPr>
              <w:rFonts w:ascii="Cambria Math" w:hAnsi="Cambria Math"/>
            </w:rPr>
            <m:t xml:space="preserve">Equation</m:t>
          </m:r>
          <m:r>
            <w:rPr>
              <w:rFonts w:ascii="Cambria Math" w:hAnsi="Cambria Math"/>
            </w:rPr>
            <m:t xml:space="preserve">A</m:t>
          </m:r>
          <m:r>
            <w:rPr>
              <w:rFonts w:ascii="Cambria Math" w:hAnsi="Cambria Math"/>
            </w:rPr>
            <m:t xml:space="preserve">:</m:t>
          </m:r>
          <m:r>
            <w:rPr>
              <w:rFonts w:ascii="Cambria Math" w:hAnsi="Cambria Math"/>
            </w:rPr>
            <m:t xml:space="preserve">2016</m:t>
          </m:r>
          <m:r>
            <w:rPr>
              <w:rFonts w:ascii="Cambria Math" w:hAnsi="Cambria Math"/>
            </w:rPr>
            <m:t xml:space="preserve">2026</m:t>
          </m:r>
          <m:r>
            <w:rPr>
              <w:rFonts w:ascii="Cambria Math" w:hAnsi="Cambria Math"/>
            </w:rPr>
            <m:t xml:space="preserve">HH</m:t>
          </m:r>
          <m:r>
            <w:rPr>
              <w:rFonts w:ascii="Cambria Math" w:hAnsi="Cambria Math"/>
            </w:rPr>
            <m:t xml:space="preserve">projection</m:t>
          </m:r>
          <m:r>
            <w:rPr>
              <w:rFonts w:ascii="Cambria Math" w:hAnsi="Cambria Math"/>
            </w:rPr>
            <m:t xml:space="preserve">=</m:t>
          </m:r>
          <m:d>
            <m:dPr>
              <m:begChr m:val="("/>
              <m:endChr m:val=")"/>
            </m:dPr>
            <m:e>
              <m:f>
                <m:num>
                  <m:r>
                    <w:rPr>
                      <w:rFonts w:ascii="Cambria Math" w:hAnsi="Cambria Math"/>
                    </w:rPr>
                    <m:t xml:space="preserve">2016</m:t>
                  </m:r>
                </m:num>
                <m:den>
                  <m:r>
                    <w:rPr>
                      <w:rFonts w:ascii="Cambria Math" w:hAnsi="Cambria Math"/>
                    </w:rPr>
                    <m:t xml:space="preserve">2006</m:t>
                  </m:r>
                </m:den>
              </m:f>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2016</m:t>
          </m:r>
        </m:oMath>
      </m:oMathPara>
    </w:p>
    <w:p>
      <w:pPr>
        <w:pStyle w:val="Normal"/>
        <w:rPr/>
      </w:pPr>
      <w:r>
        <w:rPr/>
      </w:r>
    </w:p>
    <w:p>
      <w:pPr>
        <w:pStyle w:val="Normal"/>
        <w:jc w:val="center"/>
        <w:rPr>
          <w:rFonts w:eastAsia="等线" w:eastAsiaTheme="minorEastAsia"/>
        </w:rPr>
      </w:pPr>
      <w:r>
        <w:rPr/>
      </w:r>
      <m:oMathPara xmlns:m="http://schemas.openxmlformats.org/officeDocument/2006/math">
        <m:oMathParaPr>
          <m:jc m:val="center"/>
        </m:oMathParaPr>
        <m:oMath>
          <m:r>
            <w:rPr>
              <w:rFonts w:ascii="Cambria Math" w:hAnsi="Cambria Math"/>
            </w:rPr>
            <m:t xml:space="preserve">Equation</m:t>
          </m:r>
          <m:r>
            <w:rPr>
              <w:rFonts w:ascii="Cambria Math" w:hAnsi="Cambria Math"/>
            </w:rPr>
            <m:t xml:space="preserve">B</m:t>
          </m:r>
          <m:r>
            <w:rPr>
              <w:rFonts w:ascii="Cambria Math" w:hAnsi="Cambria Math"/>
            </w:rPr>
            <m:t xml:space="preserve">:</m:t>
          </m:r>
          <m:r>
            <w:rPr>
              <w:rFonts w:ascii="Cambria Math" w:hAnsi="Cambria Math"/>
            </w:rPr>
            <m:t xml:space="preserve">2021</m:t>
          </m:r>
          <m:r>
            <w:rPr>
              <w:rFonts w:ascii="Cambria Math" w:hAnsi="Cambria Math"/>
            </w:rPr>
            <m:t xml:space="preserve">2026</m:t>
          </m:r>
          <m:r>
            <w:rPr>
              <w:rFonts w:ascii="Cambria Math" w:hAnsi="Cambria Math"/>
            </w:rPr>
            <m:t xml:space="preserve">HH</m:t>
          </m:r>
          <m:r>
            <w:rPr>
              <w:rFonts w:ascii="Cambria Math" w:hAnsi="Cambria Math"/>
            </w:rPr>
            <m:t xml:space="preserve">projection</m:t>
          </m:r>
          <m:r>
            <w:rPr>
              <w:rFonts w:ascii="Cambria Math" w:hAnsi="Cambria Math"/>
            </w:rPr>
            <m:t xml:space="preserve">=</m:t>
          </m:r>
          <m:d>
            <m:dPr>
              <m:begChr m:val="("/>
              <m:endChr m:val=")"/>
            </m:dPr>
            <m:e>
              <m:f>
                <m:num>
                  <m:r>
                    <w:rPr>
                      <w:rFonts w:ascii="Cambria Math" w:hAnsi="Cambria Math"/>
                    </w:rPr>
                    <m:t xml:space="preserve">2021</m:t>
                  </m:r>
                </m:num>
                <m:den>
                  <m:r>
                    <w:rPr>
                      <w:rFonts w:ascii="Cambria Math" w:hAnsi="Cambria Math"/>
                    </w:rPr>
                    <m:t xml:space="preserve">2016</m:t>
                  </m:r>
                </m:den>
              </m:f>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2021</m:t>
          </m:r>
        </m:oMath>
      </m:oMathPara>
    </w:p>
    <w:p>
      <w:pPr>
        <w:pStyle w:val="Normal"/>
        <w:rPr/>
      </w:pPr>
      <w:r>
        <w:rPr/>
      </w:r>
    </w:p>
    <w:p>
      <w:pPr>
        <w:pStyle w:val="Normal"/>
        <w:jc w:val="center"/>
        <w:rPr>
          <w:rFonts w:eastAsia="等线" w:eastAsiaTheme="minorEastAsia"/>
        </w:rPr>
      </w:pPr>
      <w:r>
        <w:rPr/>
      </w:r>
      <m:oMathPara xmlns:m="http://schemas.openxmlformats.org/officeDocument/2006/math">
        <m:oMathParaPr>
          <m:jc m:val="center"/>
        </m:oMathParaPr>
        <m:oMath>
          <m:r>
            <w:rPr>
              <w:rFonts w:ascii="Cambria Math" w:hAnsi="Cambria Math"/>
            </w:rPr>
            <m:t xml:space="preserve">Equation</m:t>
          </m:r>
          <m:r>
            <w:rPr>
              <w:rFonts w:ascii="Cambria Math" w:hAnsi="Cambria Math"/>
            </w:rPr>
            <m:t xml:space="preserve">C</m:t>
          </m:r>
          <m:r>
            <w:rPr>
              <w:rFonts w:ascii="Cambria Math" w:hAnsi="Cambria Math"/>
            </w:rPr>
            <m:t xml:space="preserve">:</m:t>
          </m:r>
          <m:r>
            <w:rPr>
              <w:rFonts w:ascii="Cambria Math" w:hAnsi="Cambria Math"/>
            </w:rPr>
            <m:t xml:space="preserve">2021</m:t>
          </m:r>
          <m:r>
            <w:rPr>
              <w:rFonts w:ascii="Cambria Math" w:hAnsi="Cambria Math"/>
            </w:rPr>
            <m:t xml:space="preserve">2031</m:t>
          </m:r>
          <m:r>
            <w:rPr>
              <w:rFonts w:ascii="Cambria Math" w:hAnsi="Cambria Math"/>
            </w:rPr>
            <m:t xml:space="preserve">HH</m:t>
          </m:r>
          <m:r>
            <w:rPr>
              <w:rFonts w:ascii="Cambria Math" w:hAnsi="Cambria Math"/>
            </w:rPr>
            <m:t xml:space="preserve">projection</m:t>
          </m:r>
          <m:r>
            <w:rPr>
              <w:rFonts w:ascii="Cambria Math" w:hAnsi="Cambria Math"/>
            </w:rPr>
            <m:t xml:space="preserve">=</m:t>
          </m:r>
          <m:r>
            <w:rPr>
              <w:rFonts w:ascii="Cambria Math" w:hAnsi="Cambria Math"/>
            </w:rPr>
            <m:t xml:space="preserve">Average</m:t>
          </m:r>
          <m:r>
            <w:rPr>
              <w:rFonts w:ascii="Cambria Math" w:hAnsi="Cambria Math"/>
            </w:rPr>
            <m:t xml:space="preserve">of</m:t>
          </m:r>
          <m:d>
            <m:dPr>
              <m:begChr m:val="("/>
              <m:endChr m:val=")"/>
            </m:dPr>
            <m:e>
              <m:r>
                <w:rPr>
                  <w:rFonts w:ascii="Cambria Math" w:hAnsi="Cambria Math"/>
                </w:rPr>
                <m:t xml:space="preserve">Equation</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Equation</m:t>
                  </m:r>
                  <m:r>
                    <w:rPr>
                      <w:rFonts w:ascii="Cambria Math" w:hAnsi="Cambria Math"/>
                    </w:rPr>
                    <m:t xml:space="preserve">B</m:t>
                  </m:r>
                  <m:r>
                    <w:rPr>
                      <w:rFonts w:ascii="Cambria Math" w:hAnsi="Cambria Math"/>
                    </w:rPr>
                    <m:t xml:space="preserve">×</m:t>
                  </m:r>
                  <m:r>
                    <w:rPr>
                      <w:rFonts w:ascii="Cambria Math" w:hAnsi="Cambria Math"/>
                    </w:rPr>
                    <m:t xml:space="preserve">2</m:t>
                  </m:r>
                </m:e>
              </m:d>
            </m:e>
          </m:d>
        </m:oMath>
      </m:oMathPara>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7" w:name="_Toc156309968"/>
      <w:bookmarkStart w:id="78" w:name="_Ref150346690"/>
      <w:r>
        <w:rPr/>
        <w:t xml:space="preserve">Appendix E: </w:t>
      </w:r>
      <w:bookmarkEnd w:id="78"/>
      <w:r>
        <w:rPr/>
        <w:t>Priority Populations</w:t>
      </w:r>
      <w:bookmarkEnd w:id="77"/>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065"/>
        <w:gridCol w:w="2250"/>
        <w:gridCol w:w="5035"/>
      </w:tblGrid>
      <w:tr>
        <w:trPr/>
        <w:tc>
          <w:tcPr>
            <w:tcW w:w="2065" w:type="dxa"/>
            <w:tcBorders/>
            <w:shd w:color="auto" w:fill="F2F2F2" w:themeFill="background1" w:themeFillShade="f2" w:val="clear"/>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Priority population</w:t>
            </w:r>
          </w:p>
        </w:tc>
        <w:tc>
          <w:tcPr>
            <w:tcW w:w="2250" w:type="dxa"/>
            <w:tcBorders/>
            <w:shd w:color="auto" w:fill="F2F2F2" w:themeFill="background1" w:themeFillShade="f2" w:val="clear"/>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Census Variable</w:t>
            </w:r>
          </w:p>
        </w:tc>
        <w:tc>
          <w:tcPr>
            <w:tcW w:w="5035" w:type="dxa"/>
            <w:tcBorders/>
            <w:shd w:color="auto" w:fill="F2F2F2" w:themeFill="background1" w:themeFillShade="f2" w:val="clear"/>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Definition</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Women-led HH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is female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A female-led HH.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Single mother-led HH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is a female lone-parent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A female-led sole parent HH with children, defined as a priority population by the CMHC.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Indigenous HH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Indigenous HH status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Indigenous HH status is defined as 50% or more of HH members self-identifying as indigenous in the census.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Racialized HH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Visible minority HHs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Racialized HH status is defined as 50% or more of HH member self-identifying as a visible minority in the census.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Black-led HH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is black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A HH where the PHM self-identifies as black.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New migrant-led HH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is a recent immigrant (immigrated 2016 - 2021)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A HH led by an individual who immigrated within 5 years of the census.</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Refugee claimant-led HH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immigrated with a refugee status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A HH led by an individual who immigrated with refugee status.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HH head under 25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is 24 years or under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A HH led by an individual who is 24 years old or younger.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HH head over 65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is between 65 years and over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HH head over 85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PHM is between 85 years and over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A HH where a senior, 65 years of age or older, is the PHM.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HH with physical activity limitation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HH has at least one person with activity limitations reported for (q11a, q11b, q11c or q11f or combined)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A HH where a senior, 85 years of age or older, is the PHM. This category is a subset of HH head over 65. </w:t>
            </w:r>
          </w:p>
        </w:tc>
      </w:tr>
      <w:tr>
        <w:trPr/>
        <w:tc>
          <w:tcPr>
            <w:tcW w:w="206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HH with mental activity limitation </w:t>
            </w:r>
          </w:p>
        </w:tc>
        <w:tc>
          <w:tcPr>
            <w:tcW w:w="2250"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 xml:space="preserve">HH has at least one person with activity limitations reported for q11d and q11e or combined q11d and q11e health issues </w:t>
            </w:r>
          </w:p>
        </w:tc>
        <w:tc>
          <w:tcPr>
            <w:tcW w:w="5035" w:type="dxa"/>
            <w:tcBorders/>
          </w:tcPr>
          <w:p>
            <w:pPr>
              <w:pStyle w:val="Normal"/>
              <w:widowControl/>
              <w:spacing w:before="0" w:after="0"/>
              <w:jc w:val="left"/>
              <w:rPr>
                <w:rFonts w:ascii="Arial" w:hAnsi="Arial" w:cs="Arial"/>
                <w:sz w:val="18"/>
                <w:szCs w:val="18"/>
              </w:rPr>
            </w:pPr>
            <w:r>
              <w:rPr>
                <w:rFonts w:cs="Arial" w:ascii="Arial" w:hAnsi="Arial"/>
                <w:kern w:val="0"/>
                <w:sz w:val="18"/>
                <w:szCs w:val="18"/>
                <w:lang w:val="en-CA" w:eastAsia="zh-CN" w:bidi="ar-SA"/>
              </w:rPr>
              <w:t>A HH with one or more persons with an activity limitation.</w:t>
            </w:r>
          </w:p>
        </w:tc>
      </w:tr>
    </w:tbl>
    <w:p>
      <w:pPr>
        <w:pStyle w:val="Normal"/>
        <w:rPr/>
      </w:pPr>
      <w:r>
        <w:rPr/>
      </w:r>
    </w:p>
    <w:sectPr>
      <w:footerReference w:type="default" r:id="rId19"/>
      <w:footnotePr>
        <w:numFmt w:val="decimal"/>
      </w:footnotePr>
      <w:type w:val="nextPage"/>
      <w:pgSz w:w="12240" w:h="15840"/>
      <w:pgMar w:left="1440" w:right="1440" w:header="0" w:top="1440" w:footer="706"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ahnschrift Light">
    <w:charset w:val="00"/>
    <w:family w:val="roman"/>
    <w:pitch w:val="variable"/>
  </w:font>
  <w:font w:name="Bahnschrift">
    <w:charset w:val="00"/>
    <w:family w:val="roman"/>
    <w:pitch w:val="variable"/>
  </w:font>
  <w:font w:name="Calibri Light">
    <w:charset w:val="00"/>
    <w:family w:val="roman"/>
    <w:pitch w:val="variable"/>
  </w:font>
  <w:font w:name="Segoe UI">
    <w:charset w:val="00"/>
    <w:family w:val="roman"/>
    <w:pitch w:val="variable"/>
  </w:font>
  <w:font w:name="Open Sans Light">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rPr/>
    </w:pPr>
    <w:r>
      <mc:AlternateContent>
        <mc:Choice Requires="wps">
          <w:drawing>
            <wp:anchor behindDoc="1" distT="0" distB="0" distL="0" distR="0" simplePos="0" locked="0" layoutInCell="0" allowOverlap="1" relativeHeight="57" wp14:anchorId="79D6D9D9">
              <wp:simplePos x="0" y="0"/>
              <wp:positionH relativeFrom="column">
                <wp:posOffset>6161405</wp:posOffset>
              </wp:positionH>
              <wp:positionV relativeFrom="paragraph">
                <wp:posOffset>218440</wp:posOffset>
              </wp:positionV>
              <wp:extent cx="973455" cy="973455"/>
              <wp:effectExtent l="0" t="0" r="0" b="0"/>
              <wp:wrapNone/>
              <wp:docPr id="8" name="Oval 12"/>
              <a:graphic xmlns:a="http://schemas.openxmlformats.org/drawingml/2006/main">
                <a:graphicData uri="http://schemas.microsoft.com/office/word/2010/wordprocessingShape">
                  <wps:wsp>
                    <wps:cNvSpPr/>
                    <wps:spPr>
                      <a:xfrm>
                        <a:off x="0" y="0"/>
                        <a:ext cx="972720" cy="9727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40</w:t>
                          </w:r>
                          <w:r>
                            <w:rPr>
                              <w:color w:val="FFFFFF"/>
                            </w:rPr>
                            <w:fldChar w:fldCharType="end"/>
                          </w:r>
                        </w:p>
                      </w:txbxContent>
                    </wps:txbx>
                    <wps:bodyPr anchor="ctr">
                      <a:noAutofit/>
                    </wps:bodyPr>
                  </wps:wsp>
                </a:graphicData>
              </a:graphic>
            </wp:anchor>
          </w:drawing>
        </mc:Choice>
        <mc:Fallback>
          <w:pict>
            <v:oval id="shape_0" ID="Oval 12" fillcolor="#39c0f7" stroked="f" style="position:absolute;margin-left:485.15pt;margin-top:17.2pt;width:76.55pt;height:76.55pt;mso-wrap-style:square;v-text-anchor:middle" wp14:anchorId="79D6D9D9">
              <v:fill o:detectmouseclick="t" type="solid" color2="#c63f08" opacity="0.83"/>
              <v:stroke color="#3465a4" weight="12600" joinstyle="miter" endcap="flat"/>
              <v:textbox>
                <w:txbxContent>
                  <w:p>
                    <w:pPr>
                      <w:pStyle w:val="FrameContents"/>
                      <w:jc w:val="center"/>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40</w:t>
                    </w:r>
                    <w:r>
                      <w:rPr>
                        <w:color w:val="FFFFFF"/>
                      </w:rPr>
                      <w:fldChar w:fldCharType="end"/>
                    </w:r>
                  </w:p>
                </w:txbxContent>
              </v:textbox>
              <w10:wrap type="none"/>
            </v:oval>
          </w:pict>
        </mc:Fallback>
      </mc:AlternateContent>
      <mc:AlternateContent>
        <mc:Choice Requires="wps">
          <w:drawing>
            <wp:anchor behindDoc="1" distT="0" distB="0" distL="0" distR="0" simplePos="0" locked="0" layoutInCell="0" allowOverlap="1" relativeHeight="96" wp14:anchorId="6BE75541">
              <wp:simplePos x="0" y="0"/>
              <wp:positionH relativeFrom="column">
                <wp:posOffset>6022340</wp:posOffset>
              </wp:positionH>
              <wp:positionV relativeFrom="paragraph">
                <wp:posOffset>111125</wp:posOffset>
              </wp:positionV>
              <wp:extent cx="490220" cy="490220"/>
              <wp:effectExtent l="0" t="0" r="5715" b="5715"/>
              <wp:wrapNone/>
              <wp:docPr id="10" name="Oval 13"/>
              <a:graphic xmlns:a="http://schemas.openxmlformats.org/drawingml/2006/main">
                <a:graphicData uri="http://schemas.microsoft.com/office/word/2010/wordprocessingShape">
                  <wps:wsp>
                    <wps:cNvSpPr/>
                    <wps:spPr>
                      <a:xfrm>
                        <a:off x="0" y="0"/>
                        <a:ext cx="489600" cy="4896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3" fillcolor="#3eb549" stroked="f" style="position:absolute;margin-left:474.2pt;margin-top:8.75pt;width:38.5pt;height:38.5pt;mso-wrap-style:none;v-text-anchor:middle" wp14:anchorId="6BE75541">
              <v:fill o:detectmouseclick="t" type="solid" color2="#c14ab6" opacity="0.79"/>
              <v:stroke color="#3465a4" weight="12600" joinstyle="miter" endcap="flat"/>
              <w10:wrap type="none"/>
            </v:oval>
          </w:pict>
        </mc:Fallback>
      </mc:AlternateContent>
    </w:r>
    <w:r>
      <w:rPr/>
      <w:t>The Housing Assessment Resource Tools</w:t>
    </w:r>
  </w:p>
  <w:p>
    <w:pPr>
      <w:pStyle w:val="Footer"/>
      <w:rPr>
        <w:sz w:val="16"/>
      </w:rPr>
    </w:pPr>
    <w:hyperlink r:id="rId1">
      <w:r>
        <w:rPr>
          <w:rStyle w:val="InternetLink"/>
        </w:rPr>
        <w:t>hart.ubc.ca</w:t>
      </w:r>
    </w:hyperlink>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40" w:after="0"/>
      <w:rPr/>
    </w:pPr>
    <w:r>
      <mc:AlternateContent>
        <mc:Choice Requires="wps">
          <w:drawing>
            <wp:anchor behindDoc="1" distT="0" distB="0" distL="0" distR="0" simplePos="0" locked="0" layoutInCell="0" allowOverlap="1" relativeHeight="97" wp14:anchorId="3E4A3BFC">
              <wp:simplePos x="0" y="0"/>
              <wp:positionH relativeFrom="column">
                <wp:posOffset>6161405</wp:posOffset>
              </wp:positionH>
              <wp:positionV relativeFrom="paragraph">
                <wp:posOffset>218440</wp:posOffset>
              </wp:positionV>
              <wp:extent cx="973455" cy="973455"/>
              <wp:effectExtent l="0" t="0" r="0" b="0"/>
              <wp:wrapNone/>
              <wp:docPr id="11" name="Oval 3"/>
              <a:graphic xmlns:a="http://schemas.openxmlformats.org/drawingml/2006/main">
                <a:graphicData uri="http://schemas.microsoft.com/office/word/2010/wordprocessingShape">
                  <wps:wsp>
                    <wps:cNvSpPr/>
                    <wps:spPr>
                      <a:xfrm>
                        <a:off x="0" y="0"/>
                        <a:ext cx="972720" cy="9727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1</w:t>
                          </w:r>
                          <w:r>
                            <w:rPr>
                              <w:color w:val="FFFFFF"/>
                            </w:rPr>
                            <w:fldChar w:fldCharType="end"/>
                          </w:r>
                        </w:p>
                      </w:txbxContent>
                    </wps:txbx>
                    <wps:bodyPr anchor="ctr">
                      <a:noAutofit/>
                    </wps:bodyPr>
                  </wps:wsp>
                </a:graphicData>
              </a:graphic>
            </wp:anchor>
          </w:drawing>
        </mc:Choice>
        <mc:Fallback>
          <w:pict>
            <v:oval id="shape_0" ID="Oval 3" fillcolor="#39c0f7" stroked="f" style="position:absolute;margin-left:485.15pt;margin-top:17.2pt;width:76.55pt;height:76.55pt;mso-wrap-style:square;v-text-anchor:middle" wp14:anchorId="3E4A3BFC">
              <v:fill o:detectmouseclick="t" type="solid" color2="#c63f08" opacity="0.83"/>
              <v:stroke color="#3465a4" weight="12600" joinstyle="miter" endcap="flat"/>
              <v:textbox>
                <w:txbxContent>
                  <w:p>
                    <w:pPr>
                      <w:pStyle w:val="FrameContents"/>
                      <w:jc w:val="center"/>
                      <w:rPr>
                        <w:color w:val="FFFFFF" w:themeColor="background1"/>
                      </w:rPr>
                    </w:pPr>
                    <w:r>
                      <w:rPr>
                        <w:color w:val="FFFFFF" w:themeColor="background1"/>
                      </w:rPr>
                      <w:fldChar w:fldCharType="begin"/>
                    </w:r>
                    <w:r>
                      <w:rPr>
                        <w:color w:val="FFFFFF"/>
                      </w:rPr>
                      <w:instrText> PAGE </w:instrText>
                    </w:r>
                    <w:r>
                      <w:rPr>
                        <w:color w:val="FFFFFF"/>
                      </w:rPr>
                      <w:fldChar w:fldCharType="separate"/>
                    </w:r>
                    <w:r>
                      <w:rPr>
                        <w:color w:val="FFFFFF"/>
                      </w:rPr>
                      <w:t>1</w:t>
                    </w:r>
                    <w:r>
                      <w:rPr>
                        <w:color w:val="FFFFFF"/>
                      </w:rPr>
                      <w:fldChar w:fldCharType="end"/>
                    </w:r>
                  </w:p>
                </w:txbxContent>
              </v:textbox>
              <w10:wrap type="none"/>
            </v:oval>
          </w:pict>
        </mc:Fallback>
      </mc:AlternateContent>
      <mc:AlternateContent>
        <mc:Choice Requires="wps">
          <w:drawing>
            <wp:anchor behindDoc="1" distT="0" distB="0" distL="0" distR="0" simplePos="0" locked="0" layoutInCell="0" allowOverlap="1" relativeHeight="98" wp14:anchorId="37C144E0">
              <wp:simplePos x="0" y="0"/>
              <wp:positionH relativeFrom="column">
                <wp:posOffset>6022340</wp:posOffset>
              </wp:positionH>
              <wp:positionV relativeFrom="paragraph">
                <wp:posOffset>111125</wp:posOffset>
              </wp:positionV>
              <wp:extent cx="490220" cy="490220"/>
              <wp:effectExtent l="0" t="0" r="5715" b="5715"/>
              <wp:wrapNone/>
              <wp:docPr id="13" name="Oval 16"/>
              <a:graphic xmlns:a="http://schemas.openxmlformats.org/drawingml/2006/main">
                <a:graphicData uri="http://schemas.microsoft.com/office/word/2010/wordprocessingShape">
                  <wps:wsp>
                    <wps:cNvSpPr/>
                    <wps:spPr>
                      <a:xfrm>
                        <a:off x="0" y="0"/>
                        <a:ext cx="489600" cy="4896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16" fillcolor="#3eb549" stroked="f" style="position:absolute;margin-left:474.2pt;margin-top:8.75pt;width:38.5pt;height:38.5pt;mso-wrap-style:none;v-text-anchor:middle" wp14:anchorId="37C144E0">
              <v:fill o:detectmouseclick="t" type="solid" color2="#c14ab6" opacity="0.79"/>
              <v:stroke color="#3465a4" weight="12600" joinstyle="miter" endcap="flat"/>
              <w10:wrap type="none"/>
            </v:oval>
          </w:pict>
        </mc:Fallback>
      </mc:AlternateContent>
    </w:r>
    <w:r>
      <w:rPr/>
      <w:t>Report prepared by the Housing Assessment Resource Tools (HART) at the Peter A. Allard School of Law, the University of British Columbia, 2023.</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0" allowOverlap="1" relativeHeight="9" wp14:anchorId="59691AA3">
              <wp:simplePos x="0" y="0"/>
              <wp:positionH relativeFrom="column">
                <wp:posOffset>6161405</wp:posOffset>
              </wp:positionH>
              <wp:positionV relativeFrom="paragraph">
                <wp:posOffset>218440</wp:posOffset>
              </wp:positionV>
              <wp:extent cx="973455" cy="973455"/>
              <wp:effectExtent l="0" t="0" r="0" b="0"/>
              <wp:wrapNone/>
              <wp:docPr id="14" name="Oval 7"/>
              <a:graphic xmlns:a="http://schemas.openxmlformats.org/drawingml/2006/main">
                <a:graphicData uri="http://schemas.microsoft.com/office/word/2010/wordprocessingShape">
                  <wps:wsp>
                    <wps:cNvSpPr/>
                    <wps:spPr>
                      <a:xfrm>
                        <a:off x="0" y="0"/>
                        <a:ext cx="972720" cy="9727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rPr>
                          </w:pPr>
                          <w:r>
                            <w:rPr>
                              <w:color w:val="FFFFFF"/>
                            </w:rPr>
                            <w:fldChar w:fldCharType="begin"/>
                          </w:r>
                          <w:r>
                            <w:rPr>
                              <w:color w:val="FFFFFF"/>
                            </w:rPr>
                            <w:instrText> PAGE </w:instrText>
                          </w:r>
                          <w:r>
                            <w:rPr>
                              <w:color w:val="FFFFFF"/>
                            </w:rPr>
                            <w:fldChar w:fldCharType="separate"/>
                          </w:r>
                          <w:r>
                            <w:rPr>
                              <w:color w:val="FFFFFF"/>
                            </w:rPr>
                            <w:t>47</w:t>
                          </w:r>
                          <w:r>
                            <w:rPr>
                              <w:color w:val="FFFFFF"/>
                            </w:rPr>
                            <w:fldChar w:fldCharType="end"/>
                          </w:r>
                        </w:p>
                      </w:txbxContent>
                    </wps:txbx>
                    <wps:bodyPr anchor="ctr">
                      <a:noAutofit/>
                    </wps:bodyPr>
                  </wps:wsp>
                </a:graphicData>
              </a:graphic>
            </wp:anchor>
          </w:drawing>
        </mc:Choice>
        <mc:Fallback>
          <w:pict>
            <v:oval id="shape_0" ID="Oval 7" fillcolor="#39c0f7" stroked="f" style="position:absolute;margin-left:485.15pt;margin-top:17.2pt;width:76.55pt;height:76.55pt;mso-wrap-style:square;v-text-anchor:middle" wp14:anchorId="59691AA3">
              <v:fill o:detectmouseclick="t" type="solid" color2="#c63f08" opacity="0.83"/>
              <v:stroke color="#3465a4" weight="12600" joinstyle="miter" endcap="flat"/>
              <v:textbox>
                <w:txbxContent>
                  <w:p>
                    <w:pPr>
                      <w:pStyle w:val="FrameContents"/>
                      <w:rPr>
                        <w:color w:val="FFFFFF"/>
                      </w:rPr>
                    </w:pPr>
                    <w:r>
                      <w:rPr>
                        <w:color w:val="FFFFFF"/>
                      </w:rPr>
                      <w:fldChar w:fldCharType="begin"/>
                    </w:r>
                    <w:r>
                      <w:rPr>
                        <w:color w:val="FFFFFF"/>
                      </w:rPr>
                      <w:instrText> PAGE </w:instrText>
                    </w:r>
                    <w:r>
                      <w:rPr>
                        <w:color w:val="FFFFFF"/>
                      </w:rPr>
                      <w:fldChar w:fldCharType="separate"/>
                    </w:r>
                    <w:r>
                      <w:rPr>
                        <w:color w:val="FFFFFF"/>
                      </w:rPr>
                      <w:t>47</w:t>
                    </w:r>
                    <w:r>
                      <w:rPr>
                        <w:color w:val="FFFFFF"/>
                      </w:rPr>
                      <w:fldChar w:fldCharType="end"/>
                    </w:r>
                  </w:p>
                </w:txbxContent>
              </v:textbox>
              <w10:wrap type="none"/>
            </v:oval>
          </w:pict>
        </mc:Fallback>
      </mc:AlternateContent>
      <mc:AlternateContent>
        <mc:Choice Requires="wps">
          <w:drawing>
            <wp:anchor behindDoc="1" distT="0" distB="0" distL="0" distR="0" simplePos="0" locked="0" layoutInCell="0" allowOverlap="1" relativeHeight="16" wp14:anchorId="34A6DF8F">
              <wp:simplePos x="0" y="0"/>
              <wp:positionH relativeFrom="column">
                <wp:posOffset>6022340</wp:posOffset>
              </wp:positionH>
              <wp:positionV relativeFrom="paragraph">
                <wp:posOffset>111125</wp:posOffset>
              </wp:positionV>
              <wp:extent cx="490220" cy="490220"/>
              <wp:effectExtent l="0" t="0" r="5715" b="5715"/>
              <wp:wrapNone/>
              <wp:docPr id="16" name="Oval 8"/>
              <a:graphic xmlns:a="http://schemas.openxmlformats.org/drawingml/2006/main">
                <a:graphicData uri="http://schemas.microsoft.com/office/word/2010/wordprocessingShape">
                  <wps:wsp>
                    <wps:cNvSpPr/>
                    <wps:spPr>
                      <a:xfrm>
                        <a:off x="0" y="0"/>
                        <a:ext cx="489600" cy="4896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8" fillcolor="#3eb549" stroked="f" style="position:absolute;margin-left:474.2pt;margin-top:8.75pt;width:38.5pt;height:38.5pt;mso-wrap-style:none;v-text-anchor:middle" wp14:anchorId="34A6DF8F">
              <v:fill o:detectmouseclick="t" type="solid" color2="#c14ab6" opacity="0.79"/>
              <v:stroke color="#3465a4" weight="12600" joinstyle="miter" endcap="flat"/>
              <w10:wrap type="none"/>
            </v:oval>
          </w:pict>
        </mc:Fallback>
      </mc:AlternateContent>
    </w:r>
    <w:r>
      <w:rPr/>
      <w:t>The Housing Assessment Resource Tools</w:t>
    </w:r>
  </w:p>
  <w:p>
    <w:pPr>
      <w:pStyle w:val="Footer"/>
      <w:rPr/>
    </w:pPr>
    <w:hyperlink r:id="rId1">
      <w:r>
        <w:rPr>
          <w:rStyle w:val="InternetLink"/>
        </w:rPr>
        <w:t>hart.ubc.ca</w:t>
      </w:r>
    </w:hyperlink>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0" allowOverlap="1" relativeHeight="147" wp14:anchorId="59691AA3">
              <wp:simplePos x="0" y="0"/>
              <wp:positionH relativeFrom="column">
                <wp:posOffset>6161405</wp:posOffset>
              </wp:positionH>
              <wp:positionV relativeFrom="paragraph">
                <wp:posOffset>218440</wp:posOffset>
              </wp:positionV>
              <wp:extent cx="973455" cy="973455"/>
              <wp:effectExtent l="0" t="0" r="0" b="0"/>
              <wp:wrapNone/>
              <wp:docPr id="17" name="Oval 7_0"/>
              <a:graphic xmlns:a="http://schemas.openxmlformats.org/drawingml/2006/main">
                <a:graphicData uri="http://schemas.microsoft.com/office/word/2010/wordprocessingShape">
                  <wps:wsp>
                    <wps:cNvSpPr/>
                    <wps:spPr>
                      <a:xfrm>
                        <a:off x="0" y="0"/>
                        <a:ext cx="972720" cy="9727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rPr>
                          </w:pPr>
                          <w:r>
                            <w:rPr>
                              <w:color w:val="FFFFFF"/>
                            </w:rPr>
                            <w:fldChar w:fldCharType="begin"/>
                          </w:r>
                          <w:r>
                            <w:rPr>
                              <w:color w:val="FFFFFF"/>
                            </w:rPr>
                            <w:instrText> PAGE </w:instrText>
                          </w:r>
                          <w:r>
                            <w:rPr>
                              <w:color w:val="FFFFFF"/>
                            </w:rPr>
                            <w:fldChar w:fldCharType="separate"/>
                          </w:r>
                          <w:r>
                            <w:rPr>
                              <w:color w:val="FFFFFF"/>
                            </w:rPr>
                            <w:t>49</w:t>
                          </w:r>
                          <w:r>
                            <w:rPr>
                              <w:color w:val="FFFFFF"/>
                            </w:rPr>
                            <w:fldChar w:fldCharType="end"/>
                          </w:r>
                        </w:p>
                      </w:txbxContent>
                    </wps:txbx>
                    <wps:bodyPr anchor="ctr">
                      <a:noAutofit/>
                    </wps:bodyPr>
                  </wps:wsp>
                </a:graphicData>
              </a:graphic>
            </wp:anchor>
          </w:drawing>
        </mc:Choice>
        <mc:Fallback>
          <w:pict>
            <v:oval id="shape_0" ID="Oval 7_0" fillcolor="#39c0f7" stroked="f" style="position:absolute;margin-left:485.15pt;margin-top:17.2pt;width:76.55pt;height:76.55pt;mso-wrap-style:square;v-text-anchor:middle" wp14:anchorId="59691AA3">
              <v:fill o:detectmouseclick="t" type="solid" color2="#c63f08" opacity="0.83"/>
              <v:stroke color="#3465a4" weight="12600" joinstyle="miter" endcap="flat"/>
              <v:textbox>
                <w:txbxContent>
                  <w:p>
                    <w:pPr>
                      <w:pStyle w:val="FrameContents"/>
                      <w:rPr>
                        <w:color w:val="FFFFFF"/>
                      </w:rPr>
                    </w:pPr>
                    <w:r>
                      <w:rPr>
                        <w:color w:val="FFFFFF"/>
                      </w:rPr>
                      <w:fldChar w:fldCharType="begin"/>
                    </w:r>
                    <w:r>
                      <w:rPr>
                        <w:color w:val="FFFFFF"/>
                      </w:rPr>
                      <w:instrText> PAGE </w:instrText>
                    </w:r>
                    <w:r>
                      <w:rPr>
                        <w:color w:val="FFFFFF"/>
                      </w:rPr>
                      <w:fldChar w:fldCharType="separate"/>
                    </w:r>
                    <w:r>
                      <w:rPr>
                        <w:color w:val="FFFFFF"/>
                      </w:rPr>
                      <w:t>49</w:t>
                    </w:r>
                    <w:r>
                      <w:rPr>
                        <w:color w:val="FFFFFF"/>
                      </w:rPr>
                      <w:fldChar w:fldCharType="end"/>
                    </w:r>
                  </w:p>
                </w:txbxContent>
              </v:textbox>
              <w10:wrap type="none"/>
            </v:oval>
          </w:pict>
        </mc:Fallback>
      </mc:AlternateContent>
      <mc:AlternateContent>
        <mc:Choice Requires="wps">
          <w:drawing>
            <wp:anchor behindDoc="1" distT="0" distB="0" distL="0" distR="0" simplePos="0" locked="0" layoutInCell="0" allowOverlap="1" relativeHeight="151" wp14:anchorId="34A6DF8F">
              <wp:simplePos x="0" y="0"/>
              <wp:positionH relativeFrom="column">
                <wp:posOffset>6022340</wp:posOffset>
              </wp:positionH>
              <wp:positionV relativeFrom="paragraph">
                <wp:posOffset>111125</wp:posOffset>
              </wp:positionV>
              <wp:extent cx="490220" cy="490220"/>
              <wp:effectExtent l="0" t="0" r="5715" b="5715"/>
              <wp:wrapNone/>
              <wp:docPr id="19" name="Oval 8_0"/>
              <a:graphic xmlns:a="http://schemas.openxmlformats.org/drawingml/2006/main">
                <a:graphicData uri="http://schemas.microsoft.com/office/word/2010/wordprocessingShape">
                  <wps:wsp>
                    <wps:cNvSpPr/>
                    <wps:spPr>
                      <a:xfrm>
                        <a:off x="0" y="0"/>
                        <a:ext cx="489600" cy="4896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8_0" fillcolor="#3eb549" stroked="f" style="position:absolute;margin-left:474.2pt;margin-top:8.75pt;width:38.5pt;height:38.5pt;mso-wrap-style:none;v-text-anchor:middle" wp14:anchorId="34A6DF8F">
              <v:fill o:detectmouseclick="t" type="solid" color2="#c14ab6" opacity="0.79"/>
              <v:stroke color="#3465a4" weight="12600" joinstyle="miter" endcap="flat"/>
              <w10:wrap type="none"/>
            </v:oval>
          </w:pict>
        </mc:Fallback>
      </mc:AlternateContent>
    </w:r>
    <w:r>
      <w:rPr/>
      <w:t>The Housing Assessment Resource Tools</w:t>
    </w:r>
  </w:p>
  <w:p>
    <w:pPr>
      <w:pStyle w:val="Footer"/>
      <w:rPr/>
    </w:pPr>
    <w:hyperlink r:id="rId1">
      <w:r>
        <w:rPr>
          <w:rStyle w:val="InternetLink"/>
        </w:rPr>
        <w:t>hart.ubc.ca</w:t>
      </w:r>
    </w:hyperlink>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0" allowOverlap="1" relativeHeight="159" wp14:anchorId="59691AA3">
              <wp:simplePos x="0" y="0"/>
              <wp:positionH relativeFrom="column">
                <wp:posOffset>6161405</wp:posOffset>
              </wp:positionH>
              <wp:positionV relativeFrom="paragraph">
                <wp:posOffset>218440</wp:posOffset>
              </wp:positionV>
              <wp:extent cx="973455" cy="973455"/>
              <wp:effectExtent l="0" t="0" r="0" b="0"/>
              <wp:wrapNone/>
              <wp:docPr id="20" name="Oval 7_3"/>
              <a:graphic xmlns:a="http://schemas.openxmlformats.org/drawingml/2006/main">
                <a:graphicData uri="http://schemas.microsoft.com/office/word/2010/wordprocessingShape">
                  <wps:wsp>
                    <wps:cNvSpPr/>
                    <wps:spPr>
                      <a:xfrm>
                        <a:off x="0" y="0"/>
                        <a:ext cx="972720" cy="9727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FFFFFF"/>
                            </w:rPr>
                          </w:pPr>
                          <w:r>
                            <w:rPr>
                              <w:color w:val="FFFFFF"/>
                            </w:rPr>
                            <w:fldChar w:fldCharType="begin"/>
                          </w:r>
                          <w:r>
                            <w:rPr>
                              <w:color w:val="FFFFFF"/>
                            </w:rPr>
                            <w:instrText> PAGE </w:instrText>
                          </w:r>
                          <w:r>
                            <w:rPr>
                              <w:color w:val="FFFFFF"/>
                            </w:rPr>
                            <w:fldChar w:fldCharType="separate"/>
                          </w:r>
                          <w:r>
                            <w:rPr>
                              <w:color w:val="FFFFFF"/>
                            </w:rPr>
                            <w:t>53</w:t>
                          </w:r>
                          <w:r>
                            <w:rPr>
                              <w:color w:val="FFFFFF"/>
                            </w:rPr>
                            <w:fldChar w:fldCharType="end"/>
                          </w:r>
                        </w:p>
                      </w:txbxContent>
                    </wps:txbx>
                    <wps:bodyPr anchor="ctr">
                      <a:noAutofit/>
                    </wps:bodyPr>
                  </wps:wsp>
                </a:graphicData>
              </a:graphic>
            </wp:anchor>
          </w:drawing>
        </mc:Choice>
        <mc:Fallback>
          <w:pict>
            <v:oval id="shape_0" ID="Oval 7_3" fillcolor="#39c0f7" stroked="f" style="position:absolute;margin-left:485.15pt;margin-top:17.2pt;width:76.55pt;height:76.55pt;mso-wrap-style:square;v-text-anchor:middle" wp14:anchorId="59691AA3">
              <v:fill o:detectmouseclick="t" type="solid" color2="#c63f08" opacity="0.83"/>
              <v:stroke color="#3465a4" weight="12600" joinstyle="miter" endcap="flat"/>
              <v:textbox>
                <w:txbxContent>
                  <w:p>
                    <w:pPr>
                      <w:pStyle w:val="FrameContents"/>
                      <w:rPr>
                        <w:color w:val="FFFFFF"/>
                      </w:rPr>
                    </w:pPr>
                    <w:r>
                      <w:rPr>
                        <w:color w:val="FFFFFF"/>
                      </w:rPr>
                      <w:fldChar w:fldCharType="begin"/>
                    </w:r>
                    <w:r>
                      <w:rPr>
                        <w:color w:val="FFFFFF"/>
                      </w:rPr>
                      <w:instrText> PAGE </w:instrText>
                    </w:r>
                    <w:r>
                      <w:rPr>
                        <w:color w:val="FFFFFF"/>
                      </w:rPr>
                      <w:fldChar w:fldCharType="separate"/>
                    </w:r>
                    <w:r>
                      <w:rPr>
                        <w:color w:val="FFFFFF"/>
                      </w:rPr>
                      <w:t>53</w:t>
                    </w:r>
                    <w:r>
                      <w:rPr>
                        <w:color w:val="FFFFFF"/>
                      </w:rPr>
                      <w:fldChar w:fldCharType="end"/>
                    </w:r>
                  </w:p>
                </w:txbxContent>
              </v:textbox>
              <w10:wrap type="none"/>
            </v:oval>
          </w:pict>
        </mc:Fallback>
      </mc:AlternateContent>
      <mc:AlternateContent>
        <mc:Choice Requires="wps">
          <w:drawing>
            <wp:anchor behindDoc="1" distT="0" distB="0" distL="0" distR="0" simplePos="0" locked="0" layoutInCell="0" allowOverlap="1" relativeHeight="167" wp14:anchorId="34A6DF8F">
              <wp:simplePos x="0" y="0"/>
              <wp:positionH relativeFrom="column">
                <wp:posOffset>6022340</wp:posOffset>
              </wp:positionH>
              <wp:positionV relativeFrom="paragraph">
                <wp:posOffset>111125</wp:posOffset>
              </wp:positionV>
              <wp:extent cx="490220" cy="490220"/>
              <wp:effectExtent l="0" t="0" r="5715" b="5715"/>
              <wp:wrapNone/>
              <wp:docPr id="22" name="Oval 8_3"/>
              <a:graphic xmlns:a="http://schemas.openxmlformats.org/drawingml/2006/main">
                <a:graphicData uri="http://schemas.microsoft.com/office/word/2010/wordprocessingShape">
                  <wps:wsp>
                    <wps:cNvSpPr/>
                    <wps:spPr>
                      <a:xfrm>
                        <a:off x="0" y="0"/>
                        <a:ext cx="489600" cy="489600"/>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8_3" fillcolor="#3eb549" stroked="f" style="position:absolute;margin-left:474.2pt;margin-top:8.75pt;width:38.5pt;height:38.5pt;mso-wrap-style:none;v-text-anchor:middle" wp14:anchorId="34A6DF8F">
              <v:fill o:detectmouseclick="t" type="solid" color2="#c14ab6" opacity="0.79"/>
              <v:stroke color="#3465a4" weight="12600" joinstyle="miter" endcap="flat"/>
              <w10:wrap type="none"/>
            </v:oval>
          </w:pict>
        </mc:Fallback>
      </mc:AlternateContent>
    </w:r>
    <w:r>
      <w:rPr/>
      <w:t>The Housing Assessment Resource Tools</w:t>
    </w:r>
  </w:p>
  <w:p>
    <w:pPr>
      <w:pStyle w:val="Footer"/>
      <w:rPr/>
    </w:pPr>
    <w:hyperlink r:id="rId1">
      <w:r>
        <w:rPr>
          <w:rStyle w:val="InternetLink"/>
        </w:rPr>
        <w:t>hart.ubc.ca</w:t>
      </w:r>
    </w:hyperlink>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n-US"/>
        </w:rPr>
      </w:pPr>
      <w:r>
        <w:rPr>
          <w:rStyle w:val="FootnoteCharacters"/>
        </w:rPr>
        <w:footnoteRef/>
      </w:r>
      <w:r>
        <w:rPr/>
        <w:t xml:space="preserve"> </w:t>
      </w:r>
      <w:r>
        <w:rPr/>
        <w:t>https://www.cmhc-schl.gc.ca/professionals/housing-markets-data-and-research/housing-research/core-housing-need</w:t>
      </w:r>
    </w:p>
  </w:footnote>
  <w:footnote w:id="3">
    <w:p>
      <w:pPr>
        <w:pStyle w:val="Footnotes"/>
        <w:suppressAutoHyphens w:val="true"/>
        <w:spacing w:lineRule="auto" w:line="288" w:before="0" w:after="40"/>
        <w:ind w:left="300" w:hanging="300"/>
        <w:textAlignment w:val="center"/>
        <w:rPr/>
      </w:pPr>
      <w:r>
        <w:rPr>
          <w:rStyle w:val="FootnoteCharacters"/>
        </w:rPr>
        <w:footnoteRef/>
      </w:r>
      <w:r>
        <w:rPr/>
        <w:tab/>
        <w:t xml:space="preserve">These HH are considered not to be in Core Housing Need, regardless of their housing circumstances. Attending school is considered a transitional phase, and low incomes earned by student households are viewed as being a temporary condition: </w:t>
      </w:r>
      <w:r>
        <w:rPr>
          <w:rStyle w:val="InternetLink"/>
        </w:rPr>
        <w:t>Statistics Canada</w:t>
      </w:r>
      <w:r>
        <w:rPr/>
        <w:t>.</w:t>
      </w:r>
    </w:p>
  </w:footnote>
  <w:footnote w:id="4">
    <w:p>
      <w:pPr>
        <w:pStyle w:val="Footnotes"/>
        <w:suppressAutoHyphens w:val="true"/>
        <w:spacing w:lineRule="auto" w:line="288" w:before="0" w:after="40"/>
        <w:ind w:left="300" w:hanging="300"/>
        <w:textAlignment w:val="center"/>
        <w:rPr/>
      </w:pPr>
      <w:r>
        <w:rPr>
          <w:rStyle w:val="FootnoteCharacters"/>
        </w:rPr>
        <w:footnoteRef/>
      </w:r>
      <w:r>
        <w:rP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pPr>
        <w:pStyle w:val="Footnote"/>
        <w:rPr>
          <w:lang w:val="en-US"/>
        </w:rPr>
      </w:pPr>
      <w:r>
        <w:rPr>
          <w:rStyle w:val="FootnoteCharacters"/>
        </w:rPr>
        <w:footnoteRef/>
      </w:r>
      <w:r>
        <w:rPr/>
        <w:t xml:space="preserve"> </w:t>
      </w:r>
      <w:r>
        <w:rPr>
          <w:lang w:val="en-US"/>
        </w:rPr>
        <w:t>Read more about our income categories in our HNA Methodology document on our website: https://hart.ubc.ca/housing-needs-assessment-tool/</w:t>
      </w:r>
    </w:p>
  </w:footnote>
  <w:footnote w:id="6">
    <w:p>
      <w:pPr>
        <w:pStyle w:val="Footnote"/>
        <w:rPr>
          <w:lang w:val="en-US"/>
        </w:rPr>
      </w:pPr>
      <w:r>
        <w:rPr>
          <w:rStyle w:val="FootnoteCharacters"/>
        </w:rPr>
        <w:footnoteRef/>
      </w:r>
      <w:r>
        <w:rPr/>
        <w:t xml:space="preserve"> </w:t>
      </w:r>
      <w:r>
        <w:rPr>
          <w:sz w:val="18"/>
        </w:rPr>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ahnschrift Light" w:hAnsi="Bahnschrift Light" w:eastAsia="等线" w:cs="Times New Roman" w:eastAsiaTheme="minorEastAsia"/>
        <w:lang w:val="en-CA"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3b37"/>
    <w:pPr>
      <w:widowControl/>
      <w:bidi w:val="0"/>
      <w:spacing w:lineRule="auto" w:line="360" w:before="0" w:after="0"/>
      <w:jc w:val="left"/>
    </w:pPr>
    <w:rPr>
      <w:rFonts w:eastAsia="Times New Roman" w:ascii="Bahnschrift Light" w:hAnsi="Bahnschrift Light" w:cs="Times New Roman"/>
      <w:color w:val="auto"/>
      <w:kern w:val="0"/>
      <w:sz w:val="20"/>
      <w:szCs w:val="20"/>
      <w:lang w:val="en-CA" w:eastAsia="zh-CN" w:bidi="ar-SA"/>
    </w:rPr>
  </w:style>
  <w:style w:type="paragraph" w:styleId="Heading1">
    <w:name w:val="Heading 1"/>
    <w:basedOn w:val="Normal"/>
    <w:next w:val="Normal"/>
    <w:link w:val="Heading1Char"/>
    <w:uiPriority w:val="9"/>
    <w:qFormat/>
    <w:rsid w:val="00a0084b"/>
    <w:pPr>
      <w:keepNext w:val="true"/>
      <w:keepLines/>
      <w:spacing w:before="240" w:after="0"/>
      <w:outlineLvl w:val="0"/>
    </w:pPr>
    <w:rPr>
      <w:rFonts w:ascii="Bahnschrift" w:hAnsi="Bahnschrift" w:eastAsia="等线 Light" w:cs="" w:cstheme="majorBidi" w:eastAsiaTheme="majorEastAsia"/>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shd w:fill="FFFFFF" w:val="clear"/>
      <w:outlineLvl w:val="2"/>
    </w:pPr>
    <w:rPr/>
  </w:style>
  <w:style w:type="paragraph" w:styleId="Heading4">
    <w:name w:val="Heading 4"/>
    <w:basedOn w:val="Normal"/>
    <w:next w:val="Normal"/>
    <w:link w:val="Heading4Char"/>
    <w:uiPriority w:val="9"/>
    <w:unhideWhenUsed/>
    <w:qFormat/>
    <w:rsid w:val="008757e2"/>
    <w:pPr>
      <w:keepNext w:val="true"/>
      <w:keepLines/>
      <w:spacing w:before="40" w:after="0"/>
      <w:outlineLvl w:val="3"/>
    </w:pPr>
    <w:rPr>
      <w:rFonts w:ascii="Calibri Light" w:hAnsi="Calibri Light" w:eastAsia="等线 Light" w:cs="" w:asciiTheme="majorHAnsi" w:cstheme="majorBidi" w:eastAsiaTheme="majorEastAsia" w:hAnsiTheme="majorHAns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8757e2"/>
    <w:rPr>
      <w:rFonts w:ascii="Bahnschrift" w:hAnsi="Bahnschrift" w:eastAsia="Times New Roman"/>
      <w:b/>
      <w:bCs/>
      <w:sz w:val="24"/>
      <w:szCs w:val="24"/>
      <w:shd w:fill="FFFFFF" w:val="clear"/>
    </w:rPr>
  </w:style>
  <w:style w:type="character" w:styleId="Heading6Char" w:customStyle="1">
    <w:name w:val="Heading 6 Char"/>
    <w:basedOn w:val="DefaultParagraphFont"/>
    <w:link w:val="Heading6"/>
    <w:uiPriority w:val="9"/>
    <w:qFormat/>
    <w:rsid w:val="001b1b63"/>
    <w:rPr>
      <w:rFonts w:ascii="Times New Roman" w:hAnsi="Times New Roman" w:eastAsia="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Annotationreference">
    <w:name w:val="annotation reference"/>
    <w:basedOn w:val="DefaultParagraphFont"/>
    <w:uiPriority w:val="99"/>
    <w:semiHidden/>
    <w:unhideWhenUsed/>
    <w:qFormat/>
    <w:rsid w:val="00c5014f"/>
    <w:rPr>
      <w:sz w:val="16"/>
      <w:szCs w:val="16"/>
    </w:rPr>
  </w:style>
  <w:style w:type="character" w:styleId="CommentTextChar" w:customStyle="1">
    <w:name w:val="Comment Text Char"/>
    <w:basedOn w:val="DefaultParagraphFont"/>
    <w:link w:val="CommentText"/>
    <w:uiPriority w:val="99"/>
    <w:semiHidden/>
    <w:qFormat/>
    <w:rsid w:val="00c5014f"/>
    <w:rPr>
      <w:sz w:val="20"/>
      <w:szCs w:val="20"/>
    </w:rPr>
  </w:style>
  <w:style w:type="character" w:styleId="CommentSubjectChar" w:customStyle="1">
    <w:name w:val="Comment Subject Char"/>
    <w:basedOn w:val="CommentTextChar"/>
    <w:link w:val="CommentSubject"/>
    <w:uiPriority w:val="99"/>
    <w:semiHidden/>
    <w:qFormat/>
    <w:rsid w:val="00c5014f"/>
    <w:rPr>
      <w:b/>
      <w:bCs/>
      <w:sz w:val="20"/>
      <w:szCs w:val="20"/>
    </w:rPr>
  </w:style>
  <w:style w:type="character" w:styleId="BalloonTextChar" w:customStyle="1">
    <w:name w:val="Balloon Text Char"/>
    <w:basedOn w:val="DefaultParagraphFont"/>
    <w:link w:val="BalloonText"/>
    <w:uiPriority w:val="99"/>
    <w:semiHidden/>
    <w:qFormat/>
    <w:rsid w:val="00e54825"/>
    <w:rPr>
      <w:rFonts w:ascii="Segoe UI" w:hAnsi="Segoe UI" w:cs="Segoe UI"/>
      <w:sz w:val="18"/>
      <w:szCs w:val="18"/>
    </w:rPr>
  </w:style>
  <w:style w:type="character" w:styleId="Internet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qFormat/>
    <w:rsid w:val="00f33766"/>
    <w:rPr>
      <w:color w:val="605E5C"/>
      <w:shd w:fill="E1DFDD" w:val="clear"/>
    </w:rPr>
  </w:style>
  <w:style w:type="character" w:styleId="HeaderChar" w:customStyle="1">
    <w:name w:val="Header Char"/>
    <w:basedOn w:val="DefaultParagraphFont"/>
    <w:link w:val="Header"/>
    <w:uiPriority w:val="99"/>
    <w:qFormat/>
    <w:rsid w:val="003e3953"/>
    <w:rPr>
      <w:rFonts w:ascii="Times New Roman" w:hAnsi="Times New Roman" w:eastAsia="Times New Roman"/>
      <w:sz w:val="24"/>
      <w:szCs w:val="24"/>
    </w:rPr>
  </w:style>
  <w:style w:type="character" w:styleId="FooterChar" w:customStyle="1">
    <w:name w:val="Footer Char"/>
    <w:basedOn w:val="DefaultParagraphFont"/>
    <w:link w:val="Footer"/>
    <w:uiPriority w:val="99"/>
    <w:qFormat/>
    <w:rsid w:val="003e3953"/>
    <w:rPr>
      <w:rFonts w:ascii="Times New Roman" w:hAnsi="Times New Roman" w:eastAsia="Times New Roman"/>
      <w:sz w:val="24"/>
      <w:szCs w:val="24"/>
    </w:rPr>
  </w:style>
  <w:style w:type="character" w:styleId="Heading1Char" w:customStyle="1">
    <w:name w:val="Heading 1 Char"/>
    <w:basedOn w:val="DefaultParagraphFont"/>
    <w:link w:val="Heading1"/>
    <w:uiPriority w:val="9"/>
    <w:qFormat/>
    <w:rsid w:val="00a0084b"/>
    <w:rPr>
      <w:rFonts w:ascii="Bahnschrift" w:hAnsi="Bahnschrift" w:eastAsia="等线 Light" w:cs="" w:cstheme="majorBidi" w:eastAsiaTheme="majorEastAsia"/>
      <w:color w:val="00B0F0"/>
      <w:sz w:val="32"/>
      <w:szCs w:val="32"/>
    </w:rPr>
  </w:style>
  <w:style w:type="character" w:styleId="HARTSubheaderChar" w:customStyle="1">
    <w:name w:val="HART Subheader Char"/>
    <w:basedOn w:val="DefaultParagraphFont"/>
    <w:link w:val="HARTSubheader"/>
    <w:qFormat/>
    <w:rsid w:val="0009320d"/>
    <w:rPr>
      <w:rFonts w:ascii="Bahnschrift" w:hAnsi="Bahnschrift" w:eastAsia="Times New Roman"/>
      <w:b/>
      <w:bCs/>
      <w:sz w:val="24"/>
      <w:szCs w:val="24"/>
    </w:rPr>
  </w:style>
  <w:style w:type="character" w:styleId="Heading2Char" w:customStyle="1">
    <w:name w:val="Heading 2 Char"/>
    <w:basedOn w:val="DefaultParagraphFont"/>
    <w:link w:val="Heading2"/>
    <w:uiPriority w:val="9"/>
    <w:qFormat/>
    <w:rsid w:val="00a0084b"/>
    <w:rPr>
      <w:rFonts w:ascii="Bahnschrift" w:hAnsi="Bahnschrift" w:eastAsia="Times New Roman"/>
      <w:b/>
      <w:bCs/>
      <w:sz w:val="24"/>
      <w:szCs w:val="24"/>
      <w:shd w:fill="FFFFFF" w:val="clear"/>
    </w:rPr>
  </w:style>
  <w:style w:type="character" w:styleId="Heading4Char" w:customStyle="1">
    <w:name w:val="Heading 4 Char"/>
    <w:basedOn w:val="DefaultParagraphFont"/>
    <w:link w:val="Heading4"/>
    <w:uiPriority w:val="9"/>
    <w:qFormat/>
    <w:rsid w:val="008757e2"/>
    <w:rPr>
      <w:rFonts w:ascii="Calibri Light" w:hAnsi="Calibri Light" w:eastAsia="等线 Light" w:cs="" w:asciiTheme="majorHAnsi" w:cstheme="majorBidi" w:eastAsiaTheme="majorEastAsia" w:hAnsiTheme="majorHAnsi"/>
      <w:i/>
      <w:iCs/>
      <w:color w:val="2F5496" w:themeColor="accent1" w:themeShade="bf"/>
      <w:sz w:val="24"/>
      <w:szCs w:val="24"/>
    </w:rPr>
  </w:style>
  <w:style w:type="character" w:styleId="FootnoteTextChar" w:customStyle="1">
    <w:name w:val="Footnote Text Char"/>
    <w:basedOn w:val="DefaultParagraphFont"/>
    <w:link w:val="FootnoteText"/>
    <w:uiPriority w:val="99"/>
    <w:qFormat/>
    <w:rsid w:val="00023110"/>
    <w:rPr>
      <w:rFonts w:ascii="Times New Roman" w:hAnsi="Times New Roman" w:eastAsia="Times New Roman"/>
    </w:rPr>
  </w:style>
  <w:style w:type="character" w:styleId="FootnoteCharacters">
    <w:name w:val="Footnote Characters"/>
    <w:basedOn w:val="DefaultParagraphFont"/>
    <w:uiPriority w:val="99"/>
    <w:semiHidden/>
    <w:unhideWhenUsed/>
    <w:qFormat/>
    <w:rsid w:val="00023110"/>
    <w:rPr>
      <w:vertAlign w:val="superscript"/>
    </w:rPr>
  </w:style>
  <w:style w:type="character" w:styleId="FootnoteAnchor">
    <w:name w:val="Footnote Anchor"/>
    <w:rPr>
      <w:vertAlign w:val="superscript"/>
    </w:rPr>
  </w:style>
  <w:style w:type="character" w:styleId="Emphasisgreen" w:customStyle="1">
    <w:name w:val="Emphasis green"/>
    <w:basedOn w:val="BodyTextBlack"/>
    <w:uiPriority w:val="99"/>
    <w:qFormat/>
    <w:rsid w:val="005b3473"/>
    <w:rPr>
      <w:rFonts w:ascii="Open Sans Light" w:hAnsi="Open Sans Light" w:cs="Open Sans Light"/>
      <w:b/>
      <w:bCs/>
      <w:color w:val="37BB31"/>
      <w:sz w:val="22"/>
      <w:szCs w:val="22"/>
    </w:rPr>
  </w:style>
  <w:style w:type="character" w:styleId="BodyTextBlack" w:customStyle="1">
    <w:name w:val="Body Text Black"/>
    <w:uiPriority w:val="99"/>
    <w:qFormat/>
    <w:rsid w:val="005b3473"/>
    <w:rPr>
      <w:color w:val="000000"/>
      <w:sz w:val="22"/>
      <w:szCs w:val="22"/>
    </w:rPr>
  </w:style>
  <w:style w:type="character" w:styleId="Emphasisblue" w:customStyle="1">
    <w:name w:val="Emphasis blue"/>
    <w:basedOn w:val="Emphasisgreen"/>
    <w:uiPriority w:val="99"/>
    <w:qFormat/>
    <w:rsid w:val="005b3473"/>
    <w:rPr>
      <w:rFonts w:ascii="Open Sans Light" w:hAnsi="Open Sans Light" w:cs="Open Sans Light"/>
      <w:b/>
      <w:bCs/>
      <w:color w:val="39C0F7"/>
      <w:sz w:val="22"/>
      <w:szCs w:val="22"/>
    </w:rPr>
  </w:style>
  <w:style w:type="character" w:styleId="BodyParagraphBlackChar" w:customStyle="1">
    <w:name w:val="Body Paragraph Black Char"/>
    <w:basedOn w:val="DefaultParagraphFont"/>
    <w:link w:val="BodyParagraphBlack"/>
    <w:uiPriority w:val="99"/>
    <w:qFormat/>
    <w:rsid w:val="000f11a3"/>
    <w:rPr>
      <w:rFonts w:ascii="Open Sans Light" w:hAnsi="Open Sans Light" w:eastAsia="Calibri" w:cs="Open Sans Light" w:eastAsiaTheme="minorHAnsi"/>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styleId="ChapterHeader" w:customStyle="1">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nnotationtext">
    <w:name w:val="annotation text"/>
    <w:basedOn w:val="Normal"/>
    <w:link w:val="CommentTextChar"/>
    <w:uiPriority w:val="99"/>
    <w:semiHidden/>
    <w:unhideWhenUsed/>
    <w:qFormat/>
    <w:rsid w:val="00c5014f"/>
    <w:pPr/>
    <w:rPr/>
  </w:style>
  <w:style w:type="paragraph" w:styleId="Annotationsubject">
    <w:name w:val="annotation subject"/>
    <w:basedOn w:val="Annotationtext"/>
    <w:next w:val="Annotationtext"/>
    <w:link w:val="CommentSubjectChar"/>
    <w:uiPriority w:val="99"/>
    <w:semiHidden/>
    <w:unhideWhenUsed/>
    <w:qFormat/>
    <w:rsid w:val="00c5014f"/>
    <w:pPr/>
    <w:rPr>
      <w:b/>
      <w:bCs/>
    </w:rPr>
  </w:style>
  <w:style w:type="paragraph" w:styleId="BalloonText">
    <w:name w:val="Balloon Text"/>
    <w:basedOn w:val="Normal"/>
    <w:link w:val="BalloonTextChar"/>
    <w:uiPriority w:val="99"/>
    <w:semiHidden/>
    <w:unhideWhenUsed/>
    <w:qFormat/>
    <w:rsid w:val="00e54825"/>
    <w:pPr/>
    <w:rPr>
      <w:rFonts w:ascii="Segoe UI" w:hAnsi="Segoe UI" w:cs="Segoe UI"/>
      <w:sz w:val="18"/>
      <w:szCs w:val="18"/>
    </w:rPr>
  </w:style>
  <w:style w:type="paragraph" w:styleId="Revision">
    <w:name w:val="Revision"/>
    <w:uiPriority w:val="99"/>
    <w:semiHidden/>
    <w:qFormat/>
    <w:rsid w:val="00a31ca8"/>
    <w:pPr>
      <w:widowControl/>
      <w:bidi w:val="0"/>
      <w:spacing w:lineRule="auto" w:line="240" w:before="0" w:after="0"/>
      <w:jc w:val="left"/>
    </w:pPr>
    <w:rPr>
      <w:rFonts w:ascii="Bahnschrift Light" w:hAnsi="Bahnschrift Light" w:eastAsia="等线" w:cs="Times New Roman" w:eastAsiaTheme="minorEastAsia"/>
      <w:color w:val="auto"/>
      <w:kern w:val="0"/>
      <w:sz w:val="20"/>
      <w:szCs w:val="20"/>
      <w:lang w:val="en-CA" w:eastAsia="zh-CN" w:bidi="ar-SA"/>
    </w:rPr>
  </w:style>
  <w:style w:type="paragraph" w:styleId="ListParagraph">
    <w:name w:val="List Paragraph"/>
    <w:basedOn w:val="Normal"/>
    <w:uiPriority w:val="34"/>
    <w:qFormat/>
    <w:rsid w:val="00e94c22"/>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e3953"/>
    <w:pPr>
      <w:tabs>
        <w:tab w:val="clear" w:pos="720"/>
        <w:tab w:val="center" w:pos="4680" w:leader="none"/>
        <w:tab w:val="right" w:pos="9360" w:leader="none"/>
      </w:tabs>
    </w:pPr>
    <w:rPr/>
  </w:style>
  <w:style w:type="paragraph" w:styleId="Footer">
    <w:name w:val="Footer"/>
    <w:basedOn w:val="Normal"/>
    <w:link w:val="FooterChar"/>
    <w:uiPriority w:val="99"/>
    <w:unhideWhenUsed/>
    <w:rsid w:val="003e3953"/>
    <w:pPr>
      <w:tabs>
        <w:tab w:val="clear" w:pos="720"/>
        <w:tab w:val="center" w:pos="4680" w:leader="none"/>
        <w:tab w:val="right" w:pos="9360" w:leader="none"/>
      </w:tabs>
    </w:pPr>
    <w:rPr/>
  </w:style>
  <w:style w:type="paragraph" w:styleId="TOCHeading">
    <w:name w:val="TOC Heading"/>
    <w:basedOn w:val="Heading1"/>
    <w:next w:val="Normal"/>
    <w:uiPriority w:val="39"/>
    <w:unhideWhenUsed/>
    <w:qFormat/>
    <w:rsid w:val="0009320d"/>
    <w:pPr>
      <w:spacing w:lineRule="auto" w:line="259"/>
    </w:pPr>
    <w:rPr>
      <w:lang w:val="en-US" w:eastAsia="en-US"/>
    </w:rPr>
  </w:style>
  <w:style w:type="paragraph" w:styleId="Contents3">
    <w:name w:val="TOC 3"/>
    <w:basedOn w:val="Normal"/>
    <w:next w:val="Normal"/>
    <w:autoRedefine/>
    <w:uiPriority w:val="39"/>
    <w:unhideWhenUsed/>
    <w:rsid w:val="0009320d"/>
    <w:pPr>
      <w:tabs>
        <w:tab w:val="clear" w:pos="720"/>
        <w:tab w:val="right" w:pos="9350" w:leader="dot"/>
      </w:tabs>
      <w:spacing w:before="0" w:after="100"/>
      <w:ind w:left="480" w:hanging="0"/>
    </w:pPr>
    <w:rPr/>
  </w:style>
  <w:style w:type="paragraph" w:styleId="HARTSubheader" w:customStyle="1">
    <w:name w:val="HART Subheader"/>
    <w:basedOn w:val="Normal"/>
    <w:next w:val="Heading1"/>
    <w:link w:val="HARTSubheaderChar"/>
    <w:qFormat/>
    <w:rsid w:val="0009320d"/>
    <w:pPr/>
    <w:rPr>
      <w:rFonts w:ascii="Bahnschrift" w:hAnsi="Bahnschrift"/>
      <w:b/>
      <w:bCs/>
    </w:rPr>
  </w:style>
  <w:style w:type="paragraph" w:styleId="Contents1">
    <w:name w:val="TOC 1"/>
    <w:basedOn w:val="Normal"/>
    <w:next w:val="Normal"/>
    <w:autoRedefine/>
    <w:uiPriority w:val="39"/>
    <w:unhideWhenUsed/>
    <w:rsid w:val="008757e2"/>
    <w:pPr>
      <w:spacing w:before="0" w:after="100"/>
    </w:pPr>
    <w:rPr/>
  </w:style>
  <w:style w:type="paragraph" w:styleId="Contents2">
    <w:name w:val="TOC 2"/>
    <w:basedOn w:val="Normal"/>
    <w:next w:val="Normal"/>
    <w:autoRedefine/>
    <w:uiPriority w:val="39"/>
    <w:unhideWhenUsed/>
    <w:rsid w:val="008757e2"/>
    <w:pPr>
      <w:spacing w:before="0" w:after="100"/>
      <w:ind w:left="240" w:hanging="0"/>
    </w:pPr>
    <w:rPr/>
  </w:style>
  <w:style w:type="paragraph" w:styleId="NoSpacing">
    <w:name w:val="No Spacing"/>
    <w:uiPriority w:val="1"/>
    <w:qFormat/>
    <w:rsid w:val="002a5074"/>
    <w:pPr>
      <w:widowControl/>
      <w:bidi w:val="0"/>
      <w:spacing w:lineRule="auto" w:line="240" w:before="0" w:after="0"/>
      <w:jc w:val="left"/>
    </w:pPr>
    <w:rPr>
      <w:rFonts w:ascii="Times New Roman" w:hAnsi="Times New Roman" w:eastAsia="Times New Roman" w:cs="Times New Roman"/>
      <w:color w:val="auto"/>
      <w:kern w:val="0"/>
      <w:sz w:val="24"/>
      <w:szCs w:val="24"/>
      <w:lang w:val="en-CA" w:eastAsia="zh-CN" w:bidi="ar-SA"/>
    </w:rPr>
  </w:style>
  <w:style w:type="paragraph" w:styleId="Caption1">
    <w:name w:val="caption"/>
    <w:basedOn w:val="Normal"/>
    <w:next w:val="Normal"/>
    <w:uiPriority w:val="35"/>
    <w:unhideWhenUsed/>
    <w:qFormat/>
    <w:rsid w:val="006e541a"/>
    <w:pPr>
      <w:spacing w:before="0" w:after="200"/>
    </w:pPr>
    <w:rPr>
      <w:i/>
      <w:iCs/>
      <w:color w:val="44546A" w:themeColor="text2"/>
      <w:sz w:val="18"/>
      <w:szCs w:val="18"/>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styleId="Footnote">
    <w:name w:val="Footnote Text"/>
    <w:basedOn w:val="Normal"/>
    <w:link w:val="FootnoteTextChar"/>
    <w:uiPriority w:val="99"/>
    <w:unhideWhenUsed/>
    <w:rsid w:val="00023110"/>
    <w:pPr/>
    <w:rPr/>
  </w:style>
  <w:style w:type="paragraph" w:styleId="Bullets" w:customStyle="1">
    <w:name w:val="Bullets"/>
    <w:basedOn w:val="Normal"/>
    <w:uiPriority w:val="99"/>
    <w:qFormat/>
    <w:rsid w:val="005b3473"/>
    <w:pPr>
      <w:tabs>
        <w:tab w:val="clear" w:pos="720"/>
        <w:tab w:val="left" w:pos="420" w:leader="none"/>
      </w:tabs>
      <w:suppressAutoHyphens w:val="true"/>
      <w:spacing w:lineRule="auto" w:line="288" w:before="0" w:after="160"/>
      <w:ind w:left="420" w:hanging="300"/>
      <w:textAlignment w:val="center"/>
    </w:pPr>
    <w:rPr>
      <w:rFonts w:ascii="Open Sans Light" w:hAnsi="Open Sans Light" w:eastAsia="Calibri" w:cs="Open Sans Light" w:eastAsiaTheme="minorHAnsi"/>
      <w:color w:val="000000"/>
      <w:sz w:val="22"/>
      <w:szCs w:val="22"/>
      <w:lang w:val="en-US" w:eastAsia="en-US"/>
    </w:rPr>
  </w:style>
  <w:style w:type="paragraph" w:styleId="Footnotes" w:customStyle="1">
    <w:name w:val="Footnotes"/>
    <w:basedOn w:val="Normal"/>
    <w:uiPriority w:val="99"/>
    <w:qFormat/>
    <w:rsid w:val="005b3473"/>
    <w:pPr>
      <w:suppressAutoHyphens w:val="true"/>
      <w:spacing w:lineRule="auto" w:line="288" w:before="0" w:after="40"/>
      <w:ind w:left="300" w:hanging="300"/>
      <w:textAlignment w:val="center"/>
    </w:pPr>
    <w:rPr>
      <w:rFonts w:ascii="Open Sans Light" w:hAnsi="Open Sans Light" w:eastAsia="Calibri" w:cs="Open Sans Light" w:eastAsiaTheme="minorHAnsi"/>
      <w:color w:val="000000"/>
      <w:sz w:val="18"/>
      <w:szCs w:val="18"/>
      <w:lang w:val="en-US" w:eastAsia="en-US"/>
    </w:rPr>
  </w:style>
  <w:style w:type="paragraph" w:styleId="BodyParagraphBlack" w:customStyle="1">
    <w:name w:val="Body Paragraph Black"/>
    <w:basedOn w:val="Normal"/>
    <w:link w:val="BodyParagraphBlackChar"/>
    <w:uiPriority w:val="99"/>
    <w:qFormat/>
    <w:rsid w:val="000f11a3"/>
    <w:pPr>
      <w:suppressAutoHyphens w:val="true"/>
      <w:spacing w:lineRule="auto" w:line="288" w:before="0" w:after="160"/>
      <w:jc w:val="both"/>
      <w:textAlignment w:val="center"/>
    </w:pPr>
    <w:rPr>
      <w:rFonts w:ascii="Open Sans Light" w:hAnsi="Open Sans Light" w:eastAsia="Calibri" w:cs="Open Sans Light" w:eastAsiaTheme="minorHAnsi"/>
      <w:color w:val="000000"/>
      <w:sz w:val="22"/>
      <w:szCs w:val="22"/>
      <w:lang w:val="en-US" w:eastAsia="en-US"/>
    </w:rPr>
  </w:style>
  <w:style w:type="paragraph" w:styleId="Subbullets" w:customStyle="1">
    <w:name w:val="Sub bullets"/>
    <w:basedOn w:val="Bullets"/>
    <w:uiPriority w:val="99"/>
    <w:qFormat/>
    <w:rsid w:val="000f11a3"/>
    <w:pPr>
      <w:ind w:left="740" w:hanging="30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24391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23.statcan.gc.ca/imdb/p3Var.pl?Function=Unit&amp;Id=100236" TargetMode="External"/><Relationship Id="rId4" Type="http://schemas.openxmlformats.org/officeDocument/2006/relationships/hyperlink" Target="https://www.canada.ca/en/services/benefits/ei/cerb-application.html" TargetMode="Externa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s://www12.statcan.gc.ca/census-recensement/2006/dp-pd/prof/92-591/" TargetMode="External"/><Relationship Id="rId15" Type="http://schemas.openxmlformats.org/officeDocument/2006/relationships/hyperlink" Target="https://www12.statcan.gc.ca/census-recensement/2011/dp-pd/prof/index.cfm?Lang=E" TargetMode="External"/><Relationship Id="rId16" Type="http://schemas.openxmlformats.org/officeDocument/2006/relationships/hyperlink" Target="https://www12.statcan.gc.ca/census-recensement/2016/dp-pd/prof/index.cfm?Lang=E" TargetMode="External"/><Relationship Id="rId17" Type="http://schemas.openxmlformats.org/officeDocument/2006/relationships/hyperlink" Target="https://www12.statcan.gc.ca/census-recensement/2021/dp-pd/prof/index.cfm?Lang=E"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Relationship Id="rId28"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hyperlink" Target="https://hart.ubc.ca/" TargetMode="External"/>
</Relationships>
</file>

<file path=word/_rels/footer3.xml.rels><?xml version="1.0" encoding="UTF-8"?>
<Relationships xmlns="http://schemas.openxmlformats.org/package/2006/relationships"><Relationship Id="rId1" Type="http://schemas.openxmlformats.org/officeDocument/2006/relationships/hyperlink" Target="https://hart.ubc.ca/" TargetMode="External"/>
</Relationships>
</file>

<file path=word/_rels/footer4.xml.rels><?xml version="1.0" encoding="UTF-8"?>
<Relationships xmlns="http://schemas.openxmlformats.org/package/2006/relationships"><Relationship Id="rId1" Type="http://schemas.openxmlformats.org/officeDocument/2006/relationships/hyperlink" Target="https://hart.ubc.ca/" TargetMode="External"/>
</Relationships>
</file>

<file path=word/_rels/footer5.xml.rels><?xml version="1.0" encoding="UTF-8"?>
<Relationships xmlns="http://schemas.openxmlformats.org/package/2006/relationships"><Relationship Id="rId1" Type="http://schemas.openxmlformats.org/officeDocument/2006/relationships/hyperlink" Target="https://hart.ubc.ca/"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050" spc="-1" strike="noStrike">
                <a:solidFill>
                  <a:srgbClr val="002145"/>
                </a:solidFill>
                <a:latin typeface="Calibri"/>
              </a:defRPr>
            </a:pPr>
            <a:r>
              <a:rPr b="1" lang="en-US" sz="1050" spc="-1" strike="noStrike">
                <a:solidFill>
                  <a:srgbClr val="002145"/>
                </a:solidFill>
                <a:latin typeface="Calibri"/>
              </a:rPr>
              <a:t>Impact of CERB on Median Incomes
(Canada)</a:t>
            </a:r>
          </a:p>
        </c:rich>
      </c:tx>
      <c:overlay val="0"/>
      <c:spPr>
        <a:noFill/>
        <a:ln w="0">
          <a:noFill/>
        </a:ln>
      </c:spPr>
    </c:title>
    <c:autoTitleDeleted val="0"/>
    <c:plotArea>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txPr>
              <a:bodyPr wrap="none"/>
              <a:lstStyle/>
              <a:p>
                <a:pPr>
                  <a:defRPr b="0" sz="1000" spc="-1" strike="noStrike">
                    <a:solidFill>
                      <a:srgbClr val="002145"/>
                    </a:solidFill>
                    <a:latin typeface="Calibri"/>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c:v>
                </c:pt>
                <c:pt idx="1">
                  <c:v>0.658823529411765</c:v>
                </c:pt>
                <c:pt idx="2">
                  <c:v>0.234567901234568</c:v>
                </c:pt>
                <c:pt idx="3">
                  <c:v>0.103448275862069</c:v>
                </c:pt>
                <c:pt idx="4">
                  <c:v>0.0759493670886076</c:v>
                </c:pt>
                <c:pt idx="5">
                  <c:v>0.0155038759689922</c:v>
                </c:pt>
              </c:numCache>
            </c:numRef>
          </c:val>
        </c:ser>
        <c:gapWidth val="50"/>
        <c:overlap val="-27"/>
        <c:axId val="76649"/>
        <c:axId val="2146938"/>
      </c:barChart>
      <c:catAx>
        <c:axId val="76649"/>
        <c:scaling>
          <c:orientation val="minMax"/>
        </c:scaling>
        <c:delete val="0"/>
        <c:axPos val="b"/>
        <c:title>
          <c:tx>
            <c:rich>
              <a:bodyPr rot="0"/>
              <a:lstStyle/>
              <a:p>
                <a:pPr>
                  <a:defRPr b="0" lang="en-US" sz="800" spc="-1" strike="noStrike">
                    <a:solidFill>
                      <a:srgbClr val="002145"/>
                    </a:solidFill>
                    <a:latin typeface="Calibri"/>
                  </a:defRPr>
                </a:pPr>
                <a:r>
                  <a:rPr b="0" lang="en-US" sz="800" spc="-1" strike="noStrike">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800" spc="-1" strike="noStrike">
                <a:solidFill>
                  <a:srgbClr val="002145"/>
                </a:solidFill>
                <a:latin typeface="Calibri"/>
              </a:defRPr>
            </a:pPr>
          </a:p>
        </c:txPr>
        <c:crossAx val="2146938"/>
        <c:crosses val="autoZero"/>
        <c:auto val="1"/>
        <c:lblAlgn val="ctr"/>
        <c:lblOffset val="100"/>
        <c:noMultiLvlLbl val="0"/>
      </c:catAx>
      <c:valAx>
        <c:axId val="2146938"/>
        <c:scaling>
          <c:orientation val="minMax"/>
        </c:scaling>
        <c:delete val="0"/>
        <c:axPos val="l"/>
        <c:majorGridlines>
          <c:spPr>
            <a:ln w="9360">
              <a:solidFill>
                <a:srgbClr val="d9d9d9"/>
              </a:solidFill>
              <a:round/>
            </a:ln>
          </c:spPr>
        </c:majorGridlines>
        <c:title>
          <c:tx>
            <c:rich>
              <a:bodyPr rot="-5400000"/>
              <a:lstStyle/>
              <a:p>
                <a:pPr>
                  <a:defRPr b="0" lang="en-US" sz="800" spc="-1" strike="noStrike">
                    <a:solidFill>
                      <a:srgbClr val="002145"/>
                    </a:solidFill>
                    <a:latin typeface="Calibri"/>
                  </a:defRPr>
                </a:pPr>
                <a:r>
                  <a:rPr b="0" lang="en-US" sz="800" spc="-1" strike="noStrike">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b="0" sz="800" spc="-1" strike="noStrike">
                <a:solidFill>
                  <a:srgbClr val="002145"/>
                </a:solidFill>
                <a:latin typeface="Calibri"/>
              </a:defRPr>
            </a:pPr>
          </a:p>
        </c:txPr>
        <c:crossAx val="76649"/>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100" spc="-1" strike="noStrike">
                <a:solidFill>
                  <a:srgbClr val="595959"/>
                </a:solidFill>
                <a:latin typeface="Calibri"/>
              </a:defRPr>
            </a:pPr>
            <a:r>
              <a:rPr b="0" lang="en-US" sz="1100" spc="-1" strike="noStrike">
                <a:solidFill>
                  <a:srgbClr val="595959"/>
                </a:solidFill>
                <a:latin typeface="Calibri"/>
              </a:rPr>
              <a:t>Population by Age, 2006-2021 - [Community CD]</a:t>
            </a:r>
          </a:p>
        </c:rich>
      </c:tx>
      <c:overlay val="0"/>
      <c:spPr>
        <a:noFill/>
        <a:ln w="0">
          <a:noFill/>
        </a:ln>
      </c:spPr>
    </c:title>
    <c:autoTitleDeleted val="0"/>
    <c:plotArea>
      <c:lineChart>
        <c:grouping val="standard"/>
        <c:varyColors val="0"/>
        <c:ser>
          <c:idx val="0"/>
          <c:order val="0"/>
          <c:tx>
            <c:strRef>
              <c:f>label 0</c:f>
              <c:strCache>
                <c:ptCount val="1"/>
                <c:pt idx="0">
                  <c:v>2006</c:v>
                </c:pt>
              </c:strCache>
            </c:strRef>
          </c:tx>
          <c:spPr>
            <a:solidFill>
              <a:srgbClr val="deebf7"/>
            </a:solidFill>
            <a:ln cap="rnd" w="28440">
              <a:solidFill>
                <a:srgbClr val="deebf7"/>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9"/>
                <c:pt idx="0">
                  <c:v>0 to 14 years</c:v>
                </c:pt>
                <c:pt idx="1">
                  <c:v>15 to 24 years</c:v>
                </c:pt>
                <c:pt idx="2">
                  <c:v>25 to 34 years</c:v>
                </c:pt>
                <c:pt idx="3">
                  <c:v>35 to 44 years</c:v>
                </c:pt>
                <c:pt idx="4">
                  <c:v>45 to 54 years</c:v>
                </c:pt>
                <c:pt idx="5">
                  <c:v>55 to 64 years</c:v>
                </c:pt>
                <c:pt idx="6">
                  <c:v>65 to 74 years</c:v>
                </c:pt>
                <c:pt idx="7">
                  <c:v>75 to 84 years</c:v>
                </c:pt>
                <c:pt idx="8">
                  <c:v>85+</c:v>
                </c:pt>
              </c:strCache>
            </c:strRef>
          </c:cat>
          <c:val>
            <c:numRef>
              <c:f>0</c:f>
              <c:numCache>
                <c:formatCode>General</c:formatCode>
                <c:ptCount val="9"/>
                <c:pt idx="0">
                  <c:v>6830</c:v>
                </c:pt>
                <c:pt idx="1">
                  <c:v>4625</c:v>
                </c:pt>
                <c:pt idx="2">
                  <c:v>4090</c:v>
                </c:pt>
                <c:pt idx="3">
                  <c:v>5950</c:v>
                </c:pt>
                <c:pt idx="4">
                  <c:v>6485</c:v>
                </c:pt>
                <c:pt idx="5">
                  <c:v>5885</c:v>
                </c:pt>
                <c:pt idx="6">
                  <c:v>3570</c:v>
                </c:pt>
                <c:pt idx="7">
                  <c:v>2240</c:v>
                </c:pt>
                <c:pt idx="8">
                  <c:v>875</c:v>
                </c:pt>
              </c:numCache>
            </c:numRef>
          </c:val>
          <c:smooth val="1"/>
        </c:ser>
        <c:ser>
          <c:idx val="1"/>
          <c:order val="1"/>
          <c:tx>
            <c:strRef>
              <c:f>label 1</c:f>
              <c:strCache>
                <c:ptCount val="1"/>
                <c:pt idx="0">
                  <c:v>2011</c:v>
                </c:pt>
              </c:strCache>
            </c:strRef>
          </c:tx>
          <c:spPr>
            <a:solidFill>
              <a:srgbClr val="bdd7ee"/>
            </a:solidFill>
            <a:ln cap="rnd" w="28440">
              <a:solidFill>
                <a:srgbClr val="bdd7ee"/>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9"/>
                <c:pt idx="0">
                  <c:v>0 to 14 years</c:v>
                </c:pt>
                <c:pt idx="1">
                  <c:v>15 to 24 years</c:v>
                </c:pt>
                <c:pt idx="2">
                  <c:v>25 to 34 years</c:v>
                </c:pt>
                <c:pt idx="3">
                  <c:v>35 to 44 years</c:v>
                </c:pt>
                <c:pt idx="4">
                  <c:v>45 to 54 years</c:v>
                </c:pt>
                <c:pt idx="5">
                  <c:v>55 to 64 years</c:v>
                </c:pt>
                <c:pt idx="6">
                  <c:v>65 to 74 years</c:v>
                </c:pt>
                <c:pt idx="7">
                  <c:v>75 to 84 years</c:v>
                </c:pt>
                <c:pt idx="8">
                  <c:v>85+</c:v>
                </c:pt>
              </c:strCache>
            </c:strRef>
          </c:cat>
          <c:val>
            <c:numRef>
              <c:f>1</c:f>
              <c:numCache>
                <c:formatCode>General</c:formatCode>
                <c:ptCount val="9"/>
                <c:pt idx="0">
                  <c:v>6480</c:v>
                </c:pt>
                <c:pt idx="1">
                  <c:v>4710</c:v>
                </c:pt>
                <c:pt idx="2">
                  <c:v>4195</c:v>
                </c:pt>
                <c:pt idx="3">
                  <c:v>5275</c:v>
                </c:pt>
                <c:pt idx="4">
                  <c:v>6915</c:v>
                </c:pt>
                <c:pt idx="5">
                  <c:v>6660</c:v>
                </c:pt>
                <c:pt idx="6">
                  <c:v>4430</c:v>
                </c:pt>
                <c:pt idx="7">
                  <c:v>2230</c:v>
                </c:pt>
                <c:pt idx="8">
                  <c:v>920</c:v>
                </c:pt>
              </c:numCache>
            </c:numRef>
          </c:val>
          <c:smooth val="1"/>
        </c:ser>
        <c:ser>
          <c:idx val="2"/>
          <c:order val="2"/>
          <c:tx>
            <c:strRef>
              <c:f>label 2</c:f>
              <c:strCache>
                <c:ptCount val="1"/>
                <c:pt idx="0">
                  <c:v>2016</c:v>
                </c:pt>
              </c:strCache>
            </c:strRef>
          </c:tx>
          <c:spPr>
            <a:solidFill>
              <a:srgbClr val="2e75b6">
                <a:alpha val="80000"/>
              </a:srgbClr>
            </a:solidFill>
            <a:ln cap="rnd" w="28440">
              <a:solidFill>
                <a:srgbClr val="2e75b6">
                  <a:alpha val="80000"/>
                </a:srgbClr>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9"/>
                <c:pt idx="0">
                  <c:v>0 to 14 years</c:v>
                </c:pt>
                <c:pt idx="1">
                  <c:v>15 to 24 years</c:v>
                </c:pt>
                <c:pt idx="2">
                  <c:v>25 to 34 years</c:v>
                </c:pt>
                <c:pt idx="3">
                  <c:v>35 to 44 years</c:v>
                </c:pt>
                <c:pt idx="4">
                  <c:v>45 to 54 years</c:v>
                </c:pt>
                <c:pt idx="5">
                  <c:v>55 to 64 years</c:v>
                </c:pt>
                <c:pt idx="6">
                  <c:v>65 to 74 years</c:v>
                </c:pt>
                <c:pt idx="7">
                  <c:v>75 to 84 years</c:v>
                </c:pt>
                <c:pt idx="8">
                  <c:v>85+</c:v>
                </c:pt>
              </c:strCache>
            </c:strRef>
          </c:cat>
          <c:val>
            <c:numRef>
              <c:f>2</c:f>
              <c:numCache>
                <c:formatCode>General</c:formatCode>
                <c:ptCount val="9"/>
                <c:pt idx="0">
                  <c:v>6455</c:v>
                </c:pt>
                <c:pt idx="1">
                  <c:v>4385</c:v>
                </c:pt>
                <c:pt idx="2">
                  <c:v>4375</c:v>
                </c:pt>
                <c:pt idx="3">
                  <c:v>4985</c:v>
                </c:pt>
                <c:pt idx="4">
                  <c:v>6360</c:v>
                </c:pt>
                <c:pt idx="5">
                  <c:v>7070</c:v>
                </c:pt>
                <c:pt idx="6">
                  <c:v>5545</c:v>
                </c:pt>
                <c:pt idx="7">
                  <c:v>2595</c:v>
                </c:pt>
                <c:pt idx="8">
                  <c:v>1105</c:v>
                </c:pt>
              </c:numCache>
            </c:numRef>
          </c:val>
          <c:smooth val="1"/>
        </c:ser>
        <c:ser>
          <c:idx val="3"/>
          <c:order val="3"/>
          <c:tx>
            <c:strRef>
              <c:f>label 3</c:f>
              <c:strCache>
                <c:ptCount val="1"/>
                <c:pt idx="0">
                  <c:v>2021</c:v>
                </c:pt>
              </c:strCache>
            </c:strRef>
          </c:tx>
          <c:spPr>
            <a:solidFill>
              <a:srgbClr val="1f4e79"/>
            </a:solidFill>
            <a:ln cap="rnd" w="28440">
              <a:solidFill>
                <a:srgbClr val="1f4e79"/>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9"/>
                <c:pt idx="0">
                  <c:v>0 to 14 years</c:v>
                </c:pt>
                <c:pt idx="1">
                  <c:v>15 to 24 years</c:v>
                </c:pt>
                <c:pt idx="2">
                  <c:v>25 to 34 years</c:v>
                </c:pt>
                <c:pt idx="3">
                  <c:v>35 to 44 years</c:v>
                </c:pt>
                <c:pt idx="4">
                  <c:v>45 to 54 years</c:v>
                </c:pt>
                <c:pt idx="5">
                  <c:v>55 to 64 years</c:v>
                </c:pt>
                <c:pt idx="6">
                  <c:v>65 to 74 years</c:v>
                </c:pt>
                <c:pt idx="7">
                  <c:v>75 to 84 years</c:v>
                </c:pt>
                <c:pt idx="8">
                  <c:v>85+</c:v>
                </c:pt>
              </c:strCache>
            </c:strRef>
          </c:cat>
          <c:val>
            <c:numRef>
              <c:f>3</c:f>
              <c:numCache>
                <c:formatCode>General</c:formatCode>
                <c:ptCount val="9"/>
                <c:pt idx="0">
                  <c:v>6625</c:v>
                </c:pt>
                <c:pt idx="1">
                  <c:v>4125</c:v>
                </c:pt>
                <c:pt idx="2">
                  <c:v>4980</c:v>
                </c:pt>
                <c:pt idx="3">
                  <c:v>5265</c:v>
                </c:pt>
                <c:pt idx="4">
                  <c:v>5630</c:v>
                </c:pt>
                <c:pt idx="5">
                  <c:v>7435</c:v>
                </c:pt>
                <c:pt idx="6">
                  <c:v>6385</c:v>
                </c:pt>
                <c:pt idx="7">
                  <c:v>3275</c:v>
                </c:pt>
                <c:pt idx="8">
                  <c:v>1465</c:v>
                </c:pt>
              </c:numCache>
            </c:numRef>
          </c:val>
          <c:smooth val="1"/>
        </c:ser>
        <c:hiLowLines>
          <c:spPr>
            <a:ln w="0">
              <a:noFill/>
            </a:ln>
          </c:spPr>
        </c:hiLowLines>
        <c:marker val="0"/>
        <c:axId val="92675766"/>
        <c:axId val="99432353"/>
      </c:lineChart>
      <c:catAx>
        <c:axId val="92675766"/>
        <c:scaling>
          <c:orientation val="minMax"/>
        </c:scaling>
        <c:delete val="0"/>
        <c:axPos val="b"/>
        <c:numFmt formatCode="General" sourceLinked="0"/>
        <c:majorTickMark val="cross"/>
        <c:minorTickMark val="none"/>
        <c:tickLblPos val="nextTo"/>
        <c:spPr>
          <a:ln w="9360">
            <a:solidFill>
              <a:srgbClr val="d9d9d9"/>
            </a:solidFill>
            <a:round/>
          </a:ln>
        </c:spPr>
        <c:txPr>
          <a:bodyPr/>
          <a:lstStyle/>
          <a:p>
            <a:pPr>
              <a:defRPr b="0" sz="800" spc="-1" strike="noStrike">
                <a:solidFill>
                  <a:srgbClr val="595959"/>
                </a:solidFill>
                <a:latin typeface="Calibri"/>
              </a:defRPr>
            </a:pPr>
          </a:p>
        </c:txPr>
        <c:crossAx val="99432353"/>
        <c:crosses val="autoZero"/>
        <c:auto val="1"/>
        <c:lblAlgn val="ctr"/>
        <c:lblOffset val="100"/>
        <c:noMultiLvlLbl val="0"/>
      </c:catAx>
      <c:valAx>
        <c:axId val="99432353"/>
        <c:scaling>
          <c:orientation val="minMax"/>
        </c:scaling>
        <c:delete val="0"/>
        <c:axPos val="l"/>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2675766"/>
        <c:crosses val="autoZero"/>
        <c:crossBetween val="midCat"/>
        <c:majorUnit val="2000"/>
      </c:valAx>
      <c:spPr>
        <a:noFill/>
        <a:ln w="0">
          <a:noFill/>
        </a:ln>
      </c:spPr>
    </c:plotArea>
    <c:legend>
      <c:legendPos val="t"/>
      <c:overlay val="0"/>
      <c:spPr>
        <a:noFill/>
        <a:ln w="0">
          <a:noFill/>
        </a:ln>
      </c:spPr>
      <c:txPr>
        <a:bodyPr/>
        <a:lstStyle/>
        <a:p>
          <a:pPr>
            <a:defRPr b="0" sz="900" spc="-1" strike="noStrike">
              <a:solidFill>
                <a:srgbClr val="595959"/>
              </a:solidFill>
              <a:latin typeface="Calibri"/>
            </a:defRPr>
          </a:pPr>
        </a:p>
      </c:txPr>
    </c:legend>
    <c:plotVisOnly val="1"/>
    <c:dispBlanksAs val="zero"/>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Headship rate by age group - 2006 vs. 2021</a:t>
            </a:r>
          </a:p>
        </c:rich>
      </c:tx>
      <c:overlay val="0"/>
      <c:spPr>
        <a:noFill/>
        <a:ln w="0">
          <a:noFill/>
        </a:ln>
      </c:spPr>
    </c:title>
    <c:autoTitleDeleted val="0"/>
    <c:plotArea>
      <c:lineChart>
        <c:grouping val="standard"/>
        <c:varyColors val="0"/>
        <c:ser>
          <c:idx val="0"/>
          <c:order val="0"/>
          <c:tx>
            <c:strRef>
              <c:f>label 0</c:f>
              <c:strCache>
                <c:ptCount val="1"/>
                <c:pt idx="0">
                  <c:v>Lennox and Addington (CD) - 2006</c:v>
                </c:pt>
              </c:strCache>
            </c:strRef>
          </c:tx>
          <c:spPr>
            <a:solidFill>
              <a:srgbClr val="94b8e0"/>
            </a:solidFill>
            <a:ln cap="rnd" w="28440">
              <a:solidFill>
                <a:srgbClr val="94b8e0"/>
              </a:solidFill>
              <a:prstDash val="dash"/>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8"/>
                <c:pt idx="0">
                  <c:v>15-24</c:v>
                </c:pt>
                <c:pt idx="1">
                  <c:v>25-34</c:v>
                </c:pt>
                <c:pt idx="2">
                  <c:v>35-44</c:v>
                </c:pt>
                <c:pt idx="3">
                  <c:v>45-54</c:v>
                </c:pt>
                <c:pt idx="4">
                  <c:v>55-64</c:v>
                </c:pt>
                <c:pt idx="5">
                  <c:v>65-74</c:v>
                </c:pt>
                <c:pt idx="6">
                  <c:v>75-84</c:v>
                </c:pt>
                <c:pt idx="7">
                  <c:v>85 + </c:v>
                </c:pt>
              </c:strCache>
            </c:strRef>
          </c:cat>
          <c:val>
            <c:numRef>
              <c:f>0</c:f>
              <c:numCache>
                <c:formatCode>General</c:formatCode>
                <c:ptCount val="8"/>
                <c:pt idx="0">
                  <c:v>0.0508108108108108</c:v>
                </c:pt>
                <c:pt idx="1">
                  <c:v>0.422982885085575</c:v>
                </c:pt>
                <c:pt idx="2">
                  <c:v>0.505042016806723</c:v>
                </c:pt>
                <c:pt idx="3">
                  <c:v>0.532767925983038</c:v>
                </c:pt>
                <c:pt idx="4">
                  <c:v>0.542905692438403</c:v>
                </c:pt>
                <c:pt idx="5">
                  <c:v>0.620448179271709</c:v>
                </c:pt>
                <c:pt idx="6">
                  <c:v>0.618303571428571</c:v>
                </c:pt>
                <c:pt idx="7">
                  <c:v>0.354285714285714</c:v>
                </c:pt>
              </c:numCache>
            </c:numRef>
          </c:val>
          <c:smooth val="0"/>
        </c:ser>
        <c:ser>
          <c:idx val="1"/>
          <c:order val="1"/>
          <c:tx>
            <c:strRef>
              <c:f>label 1</c:f>
              <c:strCache>
                <c:ptCount val="1"/>
                <c:pt idx="0">
                  <c:v>Lennox and Addington (CD) - 2021</c:v>
                </c:pt>
              </c:strCache>
            </c:strRef>
          </c:tx>
          <c:spPr>
            <a:solidFill>
              <a:srgbClr val="1a3758"/>
            </a:solidFill>
            <a:ln cap="rnd" w="28440">
              <a:solidFill>
                <a:srgbClr val="1a3758"/>
              </a:solidFill>
              <a:prstDash val="dash"/>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8"/>
                <c:pt idx="0">
                  <c:v>15-24</c:v>
                </c:pt>
                <c:pt idx="1">
                  <c:v>25-34</c:v>
                </c:pt>
                <c:pt idx="2">
                  <c:v>35-44</c:v>
                </c:pt>
                <c:pt idx="3">
                  <c:v>45-54</c:v>
                </c:pt>
                <c:pt idx="4">
                  <c:v>55-64</c:v>
                </c:pt>
                <c:pt idx="5">
                  <c:v>65-74</c:v>
                </c:pt>
                <c:pt idx="6">
                  <c:v>75-84</c:v>
                </c:pt>
                <c:pt idx="7">
                  <c:v>85 + </c:v>
                </c:pt>
              </c:strCache>
            </c:strRef>
          </c:cat>
          <c:val>
            <c:numRef>
              <c:f>1</c:f>
              <c:numCache>
                <c:formatCode>General</c:formatCode>
                <c:ptCount val="8"/>
                <c:pt idx="0">
                  <c:v>0.0460606060606061</c:v>
                </c:pt>
                <c:pt idx="1">
                  <c:v>0.389558232931727</c:v>
                </c:pt>
                <c:pt idx="2">
                  <c:v>0.475783475783476</c:v>
                </c:pt>
                <c:pt idx="3">
                  <c:v>0.513321492007105</c:v>
                </c:pt>
                <c:pt idx="4">
                  <c:v>0.546065904505716</c:v>
                </c:pt>
                <c:pt idx="5">
                  <c:v>0.592795614722005</c:v>
                </c:pt>
                <c:pt idx="6">
                  <c:v>0.589312977099237</c:v>
                </c:pt>
                <c:pt idx="7">
                  <c:v>0.395904436860068</c:v>
                </c:pt>
              </c:numCache>
            </c:numRef>
          </c:val>
          <c:smooth val="0"/>
        </c:ser>
        <c:ser>
          <c:idx val="2"/>
          <c:order val="2"/>
          <c:tx>
            <c:strRef>
              <c:f>label 2</c:f>
              <c:strCache>
                <c:ptCount val="1"/>
                <c:pt idx="0">
                  <c:v>Prince Edward County (CD) - 2006</c:v>
                </c:pt>
              </c:strCache>
            </c:strRef>
          </c:tx>
          <c:spPr>
            <a:solidFill>
              <a:srgbClr val="cfedd2"/>
            </a:solidFill>
            <a:ln cap="rnd" w="28440">
              <a:solidFill>
                <a:srgbClr val="cfedd2"/>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8"/>
                <c:pt idx="0">
                  <c:v>15-24</c:v>
                </c:pt>
                <c:pt idx="1">
                  <c:v>25-34</c:v>
                </c:pt>
                <c:pt idx="2">
                  <c:v>35-44</c:v>
                </c:pt>
                <c:pt idx="3">
                  <c:v>45-54</c:v>
                </c:pt>
                <c:pt idx="4">
                  <c:v>55-64</c:v>
                </c:pt>
                <c:pt idx="5">
                  <c:v>65-74</c:v>
                </c:pt>
                <c:pt idx="6">
                  <c:v>75-84</c:v>
                </c:pt>
                <c:pt idx="7">
                  <c:v>85 + </c:v>
                </c:pt>
              </c:strCache>
            </c:strRef>
          </c:cat>
          <c:val>
            <c:numRef>
              <c:f>2</c:f>
              <c:numCache>
                <c:formatCode>General</c:formatCode>
                <c:ptCount val="8"/>
                <c:pt idx="0">
                  <c:v>0.0492091388400703</c:v>
                </c:pt>
                <c:pt idx="1">
                  <c:v>0.428947368421053</c:v>
                </c:pt>
                <c:pt idx="2">
                  <c:v>0.501572327044025</c:v>
                </c:pt>
                <c:pt idx="3">
                  <c:v>0.531510107015458</c:v>
                </c:pt>
                <c:pt idx="4">
                  <c:v>0.538647342995169</c:v>
                </c:pt>
                <c:pt idx="5">
                  <c:v>0.574750830564784</c:v>
                </c:pt>
                <c:pt idx="6">
                  <c:v>0.612403100775194</c:v>
                </c:pt>
                <c:pt idx="7">
                  <c:v>0.60655737704918</c:v>
                </c:pt>
              </c:numCache>
            </c:numRef>
          </c:val>
          <c:smooth val="0"/>
        </c:ser>
        <c:ser>
          <c:idx val="3"/>
          <c:order val="3"/>
          <c:tx>
            <c:strRef>
              <c:f>label 3</c:f>
              <c:strCache>
                <c:ptCount val="1"/>
                <c:pt idx="0">
                  <c:v>Prince Edward County (CD) - 2021</c:v>
                </c:pt>
              </c:strCache>
            </c:strRef>
          </c:tx>
          <c:spPr>
            <a:solidFill>
              <a:srgbClr val="51bc5b"/>
            </a:solidFill>
            <a:ln cap="rnd" w="28440">
              <a:solidFill>
                <a:srgbClr val="51bc5b"/>
              </a:solidFill>
              <a:round/>
            </a:ln>
          </c:spPr>
          <c:marker>
            <c:symbol val="none"/>
          </c:marker>
          <c:dLbls>
            <c:txPr>
              <a:bodyPr wrap="non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8"/>
                <c:pt idx="0">
                  <c:v>15-24</c:v>
                </c:pt>
                <c:pt idx="1">
                  <c:v>25-34</c:v>
                </c:pt>
                <c:pt idx="2">
                  <c:v>35-44</c:v>
                </c:pt>
                <c:pt idx="3">
                  <c:v>45-54</c:v>
                </c:pt>
                <c:pt idx="4">
                  <c:v>55-64</c:v>
                </c:pt>
                <c:pt idx="5">
                  <c:v>65-74</c:v>
                </c:pt>
                <c:pt idx="6">
                  <c:v>75-84</c:v>
                </c:pt>
                <c:pt idx="7">
                  <c:v>85 + </c:v>
                </c:pt>
              </c:strCache>
            </c:strRef>
          </c:cat>
          <c:val>
            <c:numRef>
              <c:f>3</c:f>
              <c:numCache>
                <c:formatCode>General</c:formatCode>
                <c:ptCount val="8"/>
                <c:pt idx="0">
                  <c:v>0.0389972144846797</c:v>
                </c:pt>
                <c:pt idx="1">
                  <c:v>0.372960372960373</c:v>
                </c:pt>
                <c:pt idx="2">
                  <c:v>0.478260869565217</c:v>
                </c:pt>
                <c:pt idx="3">
                  <c:v>0.507326007326007</c:v>
                </c:pt>
                <c:pt idx="4">
                  <c:v>0.545361875637105</c:v>
                </c:pt>
                <c:pt idx="5">
                  <c:v>0.582253240279163</c:v>
                </c:pt>
                <c:pt idx="6">
                  <c:v>0.619961612284069</c:v>
                </c:pt>
                <c:pt idx="7">
                  <c:v>0.663265306122449</c:v>
                </c:pt>
              </c:numCache>
            </c:numRef>
          </c:val>
          <c:smooth val="0"/>
        </c:ser>
        <c:hiLowLines>
          <c:spPr>
            <a:ln w="0">
              <a:noFill/>
            </a:ln>
          </c:spPr>
        </c:hiLowLines>
        <c:marker val="0"/>
        <c:axId val="39794708"/>
        <c:axId val="56878278"/>
      </c:lineChart>
      <c:catAx>
        <c:axId val="39794708"/>
        <c:scaling>
          <c:orientation val="minMax"/>
        </c:scaling>
        <c:delete val="0"/>
        <c:axPos val="b"/>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Age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56878278"/>
        <c:crosses val="autoZero"/>
        <c:auto val="1"/>
        <c:lblAlgn val="ctr"/>
        <c:lblOffset val="100"/>
        <c:noMultiLvlLbl val="0"/>
      </c:catAx>
      <c:valAx>
        <c:axId val="56878278"/>
        <c:scaling>
          <c:orientation val="minMax"/>
        </c:scaling>
        <c:delete val="0"/>
        <c:axPos val="l"/>
        <c:majorGridlines>
          <c:spPr>
            <a:ln w="9360">
              <a:solidFill>
                <a:srgbClr val="d9d9d9"/>
              </a:solidFill>
              <a:round/>
            </a:ln>
          </c:spPr>
        </c:majorGridlines>
        <c:numFmt formatCode="#,##0.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39794708"/>
        <c:crosses val="autoZero"/>
        <c:crossBetween val="between"/>
      </c:valAx>
      <c:spPr>
        <a:noFill/>
        <a:ln w="0">
          <a:noFill/>
        </a:ln>
      </c:spPr>
    </c:plotArea>
    <c:legend>
      <c:legendPos val="t"/>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200" spc="-1" strike="noStrike">
                <a:solidFill>
                  <a:srgbClr val="595959"/>
                </a:solidFill>
                <a:latin typeface="Calibri"/>
              </a:defRPr>
            </a:pPr>
            <a:r>
              <a:rPr b="0" lang="en-US" sz="1200" spc="-1" strike="noStrike">
                <a:solidFill>
                  <a:srgbClr val="595959"/>
                </a:solidFill>
                <a:latin typeface="Calibri"/>
              </a:rPr>
              <a:t>Housing stock in 2021 by Period of Construction - [Community CD]</a:t>
            </a:r>
          </a:p>
        </c:rich>
      </c:tx>
      <c:overlay val="0"/>
      <c:spPr>
        <a:noFill/>
        <a:ln w="0">
          <a:noFill/>
        </a:ln>
      </c:spPr>
    </c:title>
    <c:autoTitleDeleted val="0"/>
    <c:plotArea>
      <c:barChart>
        <c:barDir val="col"/>
        <c:grouping val="stacked"/>
        <c:varyColors val="0"/>
        <c:ser>
          <c:idx val="0"/>
          <c:order val="0"/>
          <c:tx>
            <c:strRef>
              <c:f>label 0</c:f>
              <c:strCache>
                <c:ptCount val="1"/>
                <c:pt idx="0">
                  <c:v>All Dwellings</c:v>
                </c:pt>
              </c:strCache>
            </c:strRef>
          </c:tx>
          <c:spPr>
            <a:solidFill>
              <a:srgbClr val="51bc5b"/>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0</c:f>
              <c:numCache>
                <c:formatCode>General</c:formatCode>
                <c:ptCount val="12"/>
                <c:pt idx="0">
                  <c:v>2710</c:v>
                </c:pt>
                <c:pt idx="1">
                  <c:v>740</c:v>
                </c:pt>
                <c:pt idx="2">
                  <c:v>1825</c:v>
                </c:pt>
                <c:pt idx="3">
                  <c:v>2225</c:v>
                </c:pt>
                <c:pt idx="4">
                  <c:v>3095</c:v>
                </c:pt>
                <c:pt idx="5">
                  <c:v>1915</c:v>
                </c:pt>
                <c:pt idx="6">
                  <c:v>1055</c:v>
                </c:pt>
                <c:pt idx="7">
                  <c:v>745</c:v>
                </c:pt>
                <c:pt idx="8">
                  <c:v>810</c:v>
                </c:pt>
                <c:pt idx="9">
                  <c:v>870</c:v>
                </c:pt>
                <c:pt idx="10">
                  <c:v>1000</c:v>
                </c:pt>
                <c:pt idx="11">
                  <c:v>910</c:v>
                </c:pt>
              </c:numCache>
            </c:numRef>
          </c:val>
        </c:ser>
        <c:gapWidth val="50"/>
        <c:overlap val="100"/>
        <c:axId val="64295752"/>
        <c:axId val="86590280"/>
      </c:barChart>
      <c:lineChart>
        <c:grouping val="stacked"/>
        <c:varyColors val="0"/>
        <c:ser>
          <c:idx val="1"/>
          <c:order val="1"/>
          <c:tx>
            <c:strRef>
              <c:f>label 1</c:f>
              <c:strCache>
                <c:ptCount val="1"/>
                <c:pt idx="0">
                  <c:v>Cumulative Percentage</c:v>
                </c:pt>
              </c:strCache>
            </c:strRef>
          </c:tx>
          <c:spPr>
            <a:solidFill>
              <a:srgbClr val="d9d9d9"/>
            </a:solidFill>
            <a:ln cap="rnd" w="28440">
              <a:solidFill>
                <a:srgbClr val="d9d9d9"/>
              </a:solidFill>
              <a:round/>
            </a:ln>
          </c:spPr>
          <c:marker>
            <c:symbol val="square"/>
            <c:size val="5"/>
            <c:spPr>
              <a:solidFill>
                <a:srgbClr val="d9d9d9"/>
              </a:solidFill>
            </c:spPr>
          </c:marker>
          <c:dLbls>
            <c:numFmt formatCode="0%" sourceLinked="0"/>
            <c:txPr>
              <a:bodyPr wrap="square"/>
              <a:lstStyle/>
              <a:p>
                <a:pPr>
                  <a:defRPr b="0" sz="1050" spc="-1" strike="noStrike">
                    <a:solidFill>
                      <a:srgbClr val="404040"/>
                    </a:solidFill>
                    <a:latin typeface="Calibri"/>
                  </a:defRPr>
                </a:pPr>
              </a:p>
            </c:txPr>
            <c:dLblPos val="t"/>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1</c:f>
              <c:numCache>
                <c:formatCode>General</c:formatCode>
                <c:ptCount val="12"/>
                <c:pt idx="0">
                  <c:v>0.15</c:v>
                </c:pt>
                <c:pt idx="1">
                  <c:v>0.19</c:v>
                </c:pt>
                <c:pt idx="2">
                  <c:v>0.29</c:v>
                </c:pt>
                <c:pt idx="3">
                  <c:v>0.42</c:v>
                </c:pt>
                <c:pt idx="4">
                  <c:v>0.59</c:v>
                </c:pt>
                <c:pt idx="5">
                  <c:v>0.7</c:v>
                </c:pt>
                <c:pt idx="6">
                  <c:v>0.76</c:v>
                </c:pt>
                <c:pt idx="7">
                  <c:v>0.8</c:v>
                </c:pt>
                <c:pt idx="8">
                  <c:v>0.85</c:v>
                </c:pt>
                <c:pt idx="9">
                  <c:v>0.89</c:v>
                </c:pt>
                <c:pt idx="10">
                  <c:v>0.95</c:v>
                </c:pt>
                <c:pt idx="11">
                  <c:v>1</c:v>
                </c:pt>
              </c:numCache>
            </c:numRef>
          </c:val>
          <c:smooth val="0"/>
        </c:ser>
        <c:hiLowLines>
          <c:spPr>
            <a:ln w="0">
              <a:noFill/>
            </a:ln>
          </c:spPr>
        </c:hiLowLines>
        <c:marker val="1"/>
        <c:axId val="77486464"/>
        <c:axId val="87673253"/>
      </c:lineChart>
      <c:catAx>
        <c:axId val="64295752"/>
        <c:scaling>
          <c:orientation val="minMax"/>
        </c:scaling>
        <c:delete val="0"/>
        <c:axPos val="b"/>
        <c:title>
          <c:tx>
            <c:rich>
              <a:bodyPr rot="0"/>
              <a:lstStyle/>
              <a:p>
                <a:pPr>
                  <a:defRPr b="0" lang="en-US" sz="800" spc="-1" strike="noStrike">
                    <a:solidFill>
                      <a:srgbClr val="595959"/>
                    </a:solidFill>
                    <a:latin typeface="Calibri"/>
                  </a:defRPr>
                </a:pPr>
                <a:r>
                  <a:rPr b="0" lang="en-US" sz="800" spc="-1" strike="noStrike">
                    <a:solidFill>
                      <a:srgbClr val="595959"/>
                    </a:solidFill>
                    <a:latin typeface="Calibri"/>
                  </a:rPr>
                  <a:t>Period of Construction</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800" spc="-1" strike="noStrike">
                <a:solidFill>
                  <a:srgbClr val="595959"/>
                </a:solidFill>
                <a:latin typeface="Calibri"/>
              </a:defRPr>
            </a:pPr>
          </a:p>
        </c:txPr>
        <c:crossAx val="86590280"/>
        <c:crosses val="autoZero"/>
        <c:auto val="1"/>
        <c:lblAlgn val="ctr"/>
        <c:lblOffset val="100"/>
        <c:noMultiLvlLbl val="0"/>
      </c:catAx>
      <c:valAx>
        <c:axId val="86590280"/>
        <c:scaling>
          <c:orientation val="minMax"/>
        </c:scaling>
        <c:delete val="0"/>
        <c:axPos val="l"/>
        <c:majorGridlines>
          <c:spPr>
            <a:ln w="9360">
              <a:solidFill>
                <a:srgbClr val="d9d9d9"/>
              </a:solidFill>
              <a:round/>
            </a:ln>
          </c:spPr>
        </c:majorGridlines>
        <c:title>
          <c:tx>
            <c:rich>
              <a:bodyPr rot="-5400000"/>
              <a:lstStyle/>
              <a:p>
                <a:pPr>
                  <a:defRPr b="0" lang="en-US" sz="800" spc="-1" strike="noStrike">
                    <a:solidFill>
                      <a:srgbClr val="595959"/>
                    </a:solidFill>
                    <a:latin typeface="Calibri"/>
                  </a:defRPr>
                </a:pPr>
                <a:r>
                  <a:rPr b="0" lang="en-US" sz="800" spc="-1" strike="noStrike">
                    <a:solidFill>
                      <a:srgbClr val="595959"/>
                    </a:solidFill>
                    <a:latin typeface="Calibri"/>
                  </a:rPr>
                  <a:t>Number of dwellings</a:t>
                </a:r>
              </a:p>
            </c:rich>
          </c:tx>
          <c:overlay val="0"/>
          <c:spPr>
            <a:noFill/>
            <a:ln w="0">
              <a:noFill/>
            </a:ln>
          </c:spPr>
        </c:title>
        <c:numFmt formatCode="\ * #,##0\ ;\ * \(#,##0\);\ * \-#\ ;\ @\ " sourceLinked="0"/>
        <c:majorTickMark val="none"/>
        <c:minorTickMark val="none"/>
        <c:tickLblPos val="nextTo"/>
        <c:spPr>
          <a:ln w="6480">
            <a:noFill/>
          </a:ln>
        </c:spPr>
        <c:txPr>
          <a:bodyPr/>
          <a:lstStyle/>
          <a:p>
            <a:pPr>
              <a:defRPr b="0" sz="800" spc="-1" strike="noStrike">
                <a:solidFill>
                  <a:srgbClr val="595959"/>
                </a:solidFill>
                <a:latin typeface="Calibri"/>
              </a:defRPr>
            </a:pPr>
          </a:p>
        </c:txPr>
        <c:crossAx val="64295752"/>
        <c:crosses val="autoZero"/>
        <c:crossBetween val="between"/>
      </c:valAx>
      <c:catAx>
        <c:axId val="77486464"/>
        <c:scaling>
          <c:orientation val="minMax"/>
        </c:scaling>
        <c:delete val="1"/>
        <c:axPos val="t"/>
        <c:numFmt formatCode="[$-409]mm/dd/yyyy" sourceLinked="1"/>
        <c:majorTickMark val="out"/>
        <c:minorTickMark val="none"/>
        <c:tickLblPos val="nextTo"/>
        <c:spPr>
          <a:ln w="6480">
            <a:solidFill>
              <a:srgbClr val="8b8b8b"/>
            </a:solidFill>
            <a:round/>
          </a:ln>
        </c:spPr>
        <c:txPr>
          <a:bodyPr/>
          <a:lstStyle/>
          <a:p>
            <a:pPr>
              <a:defRPr b="0" sz="1050" spc="-1" strike="noStrike">
                <a:solidFill>
                  <a:srgbClr val="000000"/>
                </a:solidFill>
                <a:latin typeface="Calibri"/>
              </a:defRPr>
            </a:pPr>
          </a:p>
        </c:txPr>
        <c:crossAx val="87673253"/>
        <c:auto val="1"/>
        <c:lblAlgn val="ctr"/>
        <c:lblOffset val="100"/>
        <c:noMultiLvlLbl val="0"/>
      </c:catAx>
      <c:valAx>
        <c:axId val="87673253"/>
        <c:scaling>
          <c:orientation val="minMax"/>
          <c:max val="1"/>
        </c:scaling>
        <c:delete val="0"/>
        <c:axPos val="r"/>
        <c:numFmt formatCode="0%" sourceLinked="0"/>
        <c:majorTickMark val="out"/>
        <c:minorTickMark val="none"/>
        <c:tickLblPos val="none"/>
        <c:spPr>
          <a:ln w="6480">
            <a:noFill/>
          </a:ln>
        </c:spPr>
        <c:txPr>
          <a:bodyPr/>
          <a:lstStyle/>
          <a:p>
            <a:pPr>
              <a:defRPr b="0" sz="1050" spc="-1" strike="noStrike">
                <a:solidFill>
                  <a:srgbClr val="595959"/>
                </a:solidFill>
                <a:latin typeface="Calibri"/>
              </a:defRPr>
            </a:pPr>
          </a:p>
        </c:txPr>
        <c:crossAx val="77486464"/>
        <c:crosses val="max"/>
        <c:crossBetween val="between"/>
        <c:majorUnit val="0.25"/>
      </c:valAx>
      <c:spPr>
        <a:noFill/>
        <a:ln w="0">
          <a:noFill/>
        </a:ln>
      </c:spPr>
    </c:plotArea>
    <c:legend>
      <c:legendPos val="b"/>
      <c:overlay val="0"/>
      <c:spPr>
        <a:noFill/>
        <a:ln w="0">
          <a:noFill/>
        </a:ln>
      </c:spPr>
      <c:txPr>
        <a:bodyPr/>
        <a:lstStyle/>
        <a:p>
          <a:pPr>
            <a:defRPr b="0" sz="8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200" spc="-1" strike="noStrike">
                <a:solidFill>
                  <a:srgbClr val="595959"/>
                </a:solidFill>
                <a:latin typeface="Calibri"/>
              </a:defRPr>
            </a:pPr>
            <a:r>
              <a:rPr b="0" lang="en-US" sz="1200" spc="-1" strike="noStrike">
                <a:solidFill>
                  <a:srgbClr val="595959"/>
                </a:solidFill>
                <a:latin typeface="Calibri"/>
              </a:rPr>
              <a:t>2021 Housing stock by Dwelling Type, Period of Construction - [Community CD]</a:t>
            </a:r>
          </a:p>
        </c:rich>
      </c:tx>
      <c:overlay val="0"/>
      <c:spPr>
        <a:noFill/>
        <a:ln w="0">
          <a:noFill/>
        </a:ln>
      </c:spPr>
    </c:title>
    <c:autoTitleDeleted val="0"/>
    <c:plotArea>
      <c:barChart>
        <c:barDir val="bar"/>
        <c:grouping val="percentStacked"/>
        <c:varyColors val="0"/>
        <c:ser>
          <c:idx val="0"/>
          <c:order val="0"/>
          <c:tx>
            <c:strRef>
              <c:f>label 0</c:f>
              <c:strCache>
                <c:ptCount val="1"/>
                <c:pt idx="0">
                  <c:v>Apartment in building with 5+ storeys</c:v>
                </c:pt>
              </c:strCache>
            </c:strRef>
          </c:tx>
          <c:spPr>
            <a:solidFill>
              <a:srgbClr val="00729a"/>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0</c:f>
              <c:numCache>
                <c:formatCode>General</c:formatCode>
                <c:ptCount val="12"/>
                <c:pt idx="0">
                  <c:v>0</c:v>
                </c:pt>
                <c:pt idx="1">
                  <c:v>0</c:v>
                </c:pt>
                <c:pt idx="2">
                  <c:v>10</c:v>
                </c:pt>
                <c:pt idx="3">
                  <c:v>30</c:v>
                </c:pt>
                <c:pt idx="4">
                  <c:v>55</c:v>
                </c:pt>
                <c:pt idx="5">
                  <c:v>15</c:v>
                </c:pt>
                <c:pt idx="6">
                  <c:v>0</c:v>
                </c:pt>
                <c:pt idx="7">
                  <c:v>0</c:v>
                </c:pt>
                <c:pt idx="8">
                  <c:v>0</c:v>
                </c:pt>
                <c:pt idx="9">
                  <c:v>0</c:v>
                </c:pt>
                <c:pt idx="10">
                  <c:v>0</c:v>
                </c:pt>
                <c:pt idx="11">
                  <c:v>0</c:v>
                </c:pt>
              </c:numCache>
            </c:numRef>
          </c:val>
        </c:ser>
        <c:ser>
          <c:idx val="1"/>
          <c:order val="1"/>
          <c:tx>
            <c:strRef>
              <c:f>label 1</c:f>
              <c:strCache>
                <c:ptCount val="1"/>
                <c:pt idx="0">
                  <c:v>Apartment in building with &lt;5 storeys, duplexes</c:v>
                </c:pt>
              </c:strCache>
            </c:strRef>
          </c:tx>
          <c:spPr>
            <a:solidFill>
              <a:srgbClr val="4dc6f8"/>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1</c:f>
              <c:numCache>
                <c:formatCode>General</c:formatCode>
                <c:ptCount val="12"/>
                <c:pt idx="0">
                  <c:v>260</c:v>
                </c:pt>
                <c:pt idx="1">
                  <c:v>65</c:v>
                </c:pt>
                <c:pt idx="2">
                  <c:v>245</c:v>
                </c:pt>
                <c:pt idx="3">
                  <c:v>345</c:v>
                </c:pt>
                <c:pt idx="4">
                  <c:v>300</c:v>
                </c:pt>
                <c:pt idx="5">
                  <c:v>205</c:v>
                </c:pt>
                <c:pt idx="6">
                  <c:v>110</c:v>
                </c:pt>
                <c:pt idx="7">
                  <c:v>40</c:v>
                </c:pt>
                <c:pt idx="8">
                  <c:v>15</c:v>
                </c:pt>
                <c:pt idx="9">
                  <c:v>15</c:v>
                </c:pt>
                <c:pt idx="10">
                  <c:v>40</c:v>
                </c:pt>
                <c:pt idx="11">
                  <c:v>90</c:v>
                </c:pt>
              </c:numCache>
            </c:numRef>
          </c:val>
        </c:ser>
        <c:ser>
          <c:idx val="2"/>
          <c:order val="2"/>
          <c:tx>
            <c:strRef>
              <c:f>label 2</c:f>
              <c:strCache>
                <c:ptCount val="1"/>
                <c:pt idx="0">
                  <c:v>Attached, semi-detached, row housing</c:v>
                </c:pt>
              </c:strCache>
            </c:strRef>
          </c:tx>
          <c:spPr>
            <a:solidFill>
              <a:srgbClr val="404040"/>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2</c:f>
              <c:numCache>
                <c:formatCode>General</c:formatCode>
                <c:ptCount val="12"/>
                <c:pt idx="0">
                  <c:v>140</c:v>
                </c:pt>
                <c:pt idx="1">
                  <c:v>55</c:v>
                </c:pt>
                <c:pt idx="2">
                  <c:v>120</c:v>
                </c:pt>
                <c:pt idx="3">
                  <c:v>195</c:v>
                </c:pt>
                <c:pt idx="4">
                  <c:v>345</c:v>
                </c:pt>
                <c:pt idx="5">
                  <c:v>155</c:v>
                </c:pt>
                <c:pt idx="6">
                  <c:v>115</c:v>
                </c:pt>
                <c:pt idx="7">
                  <c:v>85</c:v>
                </c:pt>
                <c:pt idx="8">
                  <c:v>60</c:v>
                </c:pt>
                <c:pt idx="9">
                  <c:v>90</c:v>
                </c:pt>
                <c:pt idx="10">
                  <c:v>130</c:v>
                </c:pt>
                <c:pt idx="11">
                  <c:v>85</c:v>
                </c:pt>
              </c:numCache>
            </c:numRef>
          </c:val>
        </c:ser>
        <c:ser>
          <c:idx val="3"/>
          <c:order val="3"/>
          <c:tx>
            <c:strRef>
              <c:f>label 3</c:f>
              <c:strCache>
                <c:ptCount val="1"/>
                <c:pt idx="0">
                  <c:v>Moveable dwelling</c:v>
                </c:pt>
              </c:strCache>
            </c:strRef>
          </c:tx>
          <c:spPr>
            <a:solidFill>
              <a:srgbClr val="51bc5b"/>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3</c:f>
              <c:numCache>
                <c:formatCode>General</c:formatCode>
                <c:ptCount val="12"/>
                <c:pt idx="0">
                  <c:v>0</c:v>
                </c:pt>
                <c:pt idx="1">
                  <c:v>0</c:v>
                </c:pt>
                <c:pt idx="2">
                  <c:v>0</c:v>
                </c:pt>
                <c:pt idx="3">
                  <c:v>0</c:v>
                </c:pt>
                <c:pt idx="4">
                  <c:v>40</c:v>
                </c:pt>
                <c:pt idx="5">
                  <c:v>10</c:v>
                </c:pt>
                <c:pt idx="6">
                  <c:v>0</c:v>
                </c:pt>
                <c:pt idx="7">
                  <c:v>0</c:v>
                </c:pt>
                <c:pt idx="8">
                  <c:v>0</c:v>
                </c:pt>
                <c:pt idx="9">
                  <c:v>0</c:v>
                </c:pt>
                <c:pt idx="10">
                  <c:v>10</c:v>
                </c:pt>
                <c:pt idx="11">
                  <c:v>0</c:v>
                </c:pt>
              </c:numCache>
            </c:numRef>
          </c:val>
        </c:ser>
        <c:ser>
          <c:idx val="4"/>
          <c:order val="4"/>
          <c:tx>
            <c:strRef>
              <c:f>label 4</c:f>
              <c:strCache>
                <c:ptCount val="1"/>
                <c:pt idx="0">
                  <c:v>Single-detached house</c:v>
                </c:pt>
              </c:strCache>
            </c:strRef>
          </c:tx>
          <c:spPr>
            <a:solidFill>
              <a:srgbClr val="7d7d7d"/>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 Before 1921 </c:v>
                </c:pt>
                <c:pt idx="1">
                  <c:v> 1921 - 1945 </c:v>
                </c:pt>
                <c:pt idx="2">
                  <c:v> 1946 - 1960 </c:v>
                </c:pt>
                <c:pt idx="3">
                  <c:v> 1961 - 1970 </c:v>
                </c:pt>
                <c:pt idx="4">
                  <c:v> 1971 - 1980 </c:v>
                </c:pt>
                <c:pt idx="5">
                  <c:v> 1981 - 1990 </c:v>
                </c:pt>
                <c:pt idx="6">
                  <c:v> 1991 - 1995 </c:v>
                </c:pt>
                <c:pt idx="7">
                  <c:v> 1996 - 2000 </c:v>
                </c:pt>
                <c:pt idx="8">
                  <c:v> 2001 - 2005 </c:v>
                </c:pt>
                <c:pt idx="9">
                  <c:v> 2006 - 2010 </c:v>
                </c:pt>
                <c:pt idx="10">
                  <c:v> 2011 - 2015 </c:v>
                </c:pt>
                <c:pt idx="11">
                  <c:v> 2016 - 2021 </c:v>
                </c:pt>
              </c:strCache>
            </c:strRef>
          </c:cat>
          <c:val>
            <c:numRef>
              <c:f>4</c:f>
              <c:numCache>
                <c:formatCode>General</c:formatCode>
                <c:ptCount val="12"/>
                <c:pt idx="0">
                  <c:v>2315</c:v>
                </c:pt>
                <c:pt idx="1">
                  <c:v>605</c:v>
                </c:pt>
                <c:pt idx="2">
                  <c:v>1450</c:v>
                </c:pt>
                <c:pt idx="3">
                  <c:v>1655</c:v>
                </c:pt>
                <c:pt idx="4">
                  <c:v>2360</c:v>
                </c:pt>
                <c:pt idx="5">
                  <c:v>1525</c:v>
                </c:pt>
                <c:pt idx="6">
                  <c:v>830</c:v>
                </c:pt>
                <c:pt idx="7">
                  <c:v>610</c:v>
                </c:pt>
                <c:pt idx="8">
                  <c:v>735</c:v>
                </c:pt>
                <c:pt idx="9">
                  <c:v>770</c:v>
                </c:pt>
                <c:pt idx="10">
                  <c:v>810</c:v>
                </c:pt>
                <c:pt idx="11">
                  <c:v>730</c:v>
                </c:pt>
              </c:numCache>
            </c:numRef>
          </c:val>
        </c:ser>
        <c:gapWidth val="50"/>
        <c:overlap val="100"/>
        <c:axId val="72120462"/>
        <c:axId val="8322823"/>
      </c:barChart>
      <c:catAx>
        <c:axId val="72120462"/>
        <c:scaling>
          <c:orientation val="minMax"/>
        </c:scaling>
        <c:delete val="0"/>
        <c:axPos val="b"/>
        <c:title>
          <c:tx>
            <c:rich>
              <a:bodyPr rot="-5400000"/>
              <a:lstStyle/>
              <a:p>
                <a:pPr>
                  <a:defRPr b="0" lang="en-US" sz="800" spc="-1" strike="noStrike">
                    <a:solidFill>
                      <a:srgbClr val="595959"/>
                    </a:solidFill>
                    <a:latin typeface="Calibri"/>
                  </a:defRPr>
                </a:pPr>
                <a:r>
                  <a:rPr b="0" lang="en-US" sz="800" spc="-1" strike="noStrike">
                    <a:solidFill>
                      <a:srgbClr val="595959"/>
                    </a:solidFill>
                    <a:latin typeface="Calibri"/>
                  </a:rPr>
                  <a:t>Period of Construction</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b="0" sz="800" spc="-1" strike="noStrike">
                <a:solidFill>
                  <a:srgbClr val="595959"/>
                </a:solidFill>
                <a:latin typeface="Calibri"/>
              </a:defRPr>
            </a:pPr>
          </a:p>
        </c:txPr>
        <c:crossAx val="8322823"/>
        <c:crosses val="autoZero"/>
        <c:auto val="1"/>
        <c:lblAlgn val="ctr"/>
        <c:lblOffset val="100"/>
        <c:noMultiLvlLbl val="0"/>
      </c:catAx>
      <c:valAx>
        <c:axId val="8322823"/>
        <c:scaling>
          <c:orientation val="minMax"/>
        </c:scaling>
        <c:delete val="0"/>
        <c:axPos val="l"/>
        <c:majorGridlines>
          <c:spPr>
            <a:ln w="9360">
              <a:solidFill>
                <a:srgbClr val="d9d9d9"/>
              </a:solidFill>
              <a:round/>
            </a:ln>
          </c:spPr>
        </c:majorGridlines>
        <c:title>
          <c:tx>
            <c:rich>
              <a:bodyPr rot="0"/>
              <a:lstStyle/>
              <a:p>
                <a:pPr>
                  <a:defRPr b="0" lang="en-US" sz="800" spc="-1" strike="noStrike">
                    <a:solidFill>
                      <a:srgbClr val="595959"/>
                    </a:solidFill>
                    <a:latin typeface="Calibri"/>
                  </a:defRPr>
                </a:pPr>
                <a:r>
                  <a:rPr b="0" lang="en-US" sz="800" spc="-1" strike="noStrike">
                    <a:solidFill>
                      <a:srgbClr val="595959"/>
                    </a:solidFill>
                    <a:latin typeface="Calibri"/>
                  </a:rPr>
                  <a:t>Proportion of all dwellings</a:t>
                </a:r>
              </a:p>
            </c:rich>
          </c:tx>
          <c:overlay val="0"/>
          <c:spPr>
            <a:noFill/>
            <a:ln w="0">
              <a:noFill/>
            </a:ln>
          </c:spPr>
        </c:title>
        <c:numFmt formatCode="0%" sourceLinked="0"/>
        <c:majorTickMark val="none"/>
        <c:minorTickMark val="none"/>
        <c:tickLblPos val="nextTo"/>
        <c:spPr>
          <a:ln w="6480">
            <a:noFill/>
          </a:ln>
        </c:spPr>
        <c:txPr>
          <a:bodyPr/>
          <a:lstStyle/>
          <a:p>
            <a:pPr>
              <a:defRPr b="0" sz="800" spc="-1" strike="noStrike">
                <a:solidFill>
                  <a:srgbClr val="595959"/>
                </a:solidFill>
                <a:latin typeface="Calibri"/>
              </a:defRPr>
            </a:pPr>
          </a:p>
        </c:txPr>
        <c:crossAx val="72120462"/>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200" spc="-1" strike="noStrike">
                <a:solidFill>
                  <a:srgbClr val="595959"/>
                </a:solidFill>
                <a:latin typeface="Calibri"/>
              </a:defRPr>
            </a:pPr>
            <a:r>
              <a:rPr b="0" lang="en-US" sz="1200" spc="-1" strike="noStrike">
                <a:solidFill>
                  <a:srgbClr val="595959"/>
                </a:solidFill>
                <a:latin typeface="Calibri"/>
              </a:rPr>
              <a:t>2021 Housing stock by Number of Bedrooms, Dwelling Type - [Community CD]</a:t>
            </a:r>
          </a:p>
        </c:rich>
      </c:tx>
      <c:overlay val="0"/>
      <c:spPr>
        <a:noFill/>
        <a:ln w="0">
          <a:noFill/>
        </a:ln>
      </c:spPr>
    </c:title>
    <c:autoTitleDeleted val="0"/>
    <c:plotArea>
      <c:barChart>
        <c:barDir val="bar"/>
        <c:grouping val="stacked"/>
        <c:varyColors val="0"/>
        <c:ser>
          <c:idx val="0"/>
          <c:order val="0"/>
          <c:tx>
            <c:strRef>
              <c:f>label 0</c:f>
              <c:strCache>
                <c:ptCount val="1"/>
                <c:pt idx="0">
                  <c:v>No bedrooms</c:v>
                </c:pt>
              </c:strCache>
            </c:strRef>
          </c:tx>
          <c:spPr>
            <a:solidFill>
              <a:srgbClr val="51bc5b"/>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0</c:f>
              <c:numCache>
                <c:formatCode>General</c:formatCode>
                <c:ptCount val="5"/>
                <c:pt idx="0">
                  <c:v>20</c:v>
                </c:pt>
                <c:pt idx="1">
                  <c:v>0</c:v>
                </c:pt>
                <c:pt idx="2">
                  <c:v>25</c:v>
                </c:pt>
                <c:pt idx="3">
                  <c:v>0</c:v>
                </c:pt>
                <c:pt idx="4">
                  <c:v>0</c:v>
                </c:pt>
              </c:numCache>
            </c:numRef>
          </c:val>
        </c:ser>
        <c:ser>
          <c:idx val="1"/>
          <c:order val="1"/>
          <c:tx>
            <c:strRef>
              <c:f>label 1</c:f>
              <c:strCache>
                <c:ptCount val="1"/>
                <c:pt idx="0">
                  <c:v>1 bedroom</c:v>
                </c:pt>
              </c:strCache>
            </c:strRef>
          </c:tx>
          <c:spPr>
            <a:solidFill>
              <a:srgbClr val="afcae7"/>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1</c:f>
              <c:numCache>
                <c:formatCode>General</c:formatCode>
                <c:ptCount val="5"/>
                <c:pt idx="0">
                  <c:v>350</c:v>
                </c:pt>
                <c:pt idx="1">
                  <c:v>75</c:v>
                </c:pt>
                <c:pt idx="2">
                  <c:v>570</c:v>
                </c:pt>
                <c:pt idx="3">
                  <c:v>125</c:v>
                </c:pt>
                <c:pt idx="4">
                  <c:v>0</c:v>
                </c:pt>
              </c:numCache>
            </c:numRef>
          </c:val>
        </c:ser>
        <c:ser>
          <c:idx val="2"/>
          <c:order val="2"/>
          <c:tx>
            <c:strRef>
              <c:f>label 2</c:f>
              <c:strCache>
                <c:ptCount val="1"/>
                <c:pt idx="0">
                  <c:v>2 bedrooms</c:v>
                </c:pt>
              </c:strCache>
            </c:strRef>
          </c:tx>
          <c:spPr>
            <a:solidFill>
              <a:srgbClr val="6598d1"/>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2</c:f>
              <c:numCache>
                <c:formatCode>General</c:formatCode>
                <c:ptCount val="5"/>
                <c:pt idx="0">
                  <c:v>2280</c:v>
                </c:pt>
                <c:pt idx="1">
                  <c:v>40</c:v>
                </c:pt>
                <c:pt idx="2">
                  <c:v>905</c:v>
                </c:pt>
                <c:pt idx="3">
                  <c:v>315</c:v>
                </c:pt>
                <c:pt idx="4">
                  <c:v>30</c:v>
                </c:pt>
              </c:numCache>
            </c:numRef>
          </c:val>
        </c:ser>
        <c:ser>
          <c:idx val="3"/>
          <c:order val="3"/>
          <c:tx>
            <c:strRef>
              <c:f>label 3</c:f>
              <c:strCache>
                <c:ptCount val="1"/>
                <c:pt idx="0">
                  <c:v>3 bedrooms</c:v>
                </c:pt>
              </c:strCache>
            </c:strRef>
          </c:tx>
          <c:spPr>
            <a:solidFill>
              <a:srgbClr val="3168a5"/>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3</c:f>
              <c:numCache>
                <c:formatCode>General</c:formatCode>
                <c:ptCount val="5"/>
                <c:pt idx="0">
                  <c:v>7105</c:v>
                </c:pt>
                <c:pt idx="1">
                  <c:v>0</c:v>
                </c:pt>
                <c:pt idx="2">
                  <c:v>205</c:v>
                </c:pt>
                <c:pt idx="3">
                  <c:v>1025</c:v>
                </c:pt>
                <c:pt idx="4">
                  <c:v>25</c:v>
                </c:pt>
              </c:numCache>
            </c:numRef>
          </c:val>
        </c:ser>
        <c:ser>
          <c:idx val="4"/>
          <c:order val="4"/>
          <c:tx>
            <c:strRef>
              <c:f>label 4</c:f>
              <c:strCache>
                <c:ptCount val="1"/>
                <c:pt idx="0">
                  <c:v>4 or more bedrooms</c:v>
                </c:pt>
              </c:strCache>
            </c:strRef>
          </c:tx>
          <c:spPr>
            <a:solidFill>
              <a:srgbClr val="1a3758"/>
            </a:solidFill>
            <a:ln w="0">
              <a:noFill/>
            </a:ln>
          </c:spPr>
          <c:invertIfNegative val="0"/>
          <c:dLbls>
            <c:txPr>
              <a:bodyPr wrap="none"/>
              <a:lstStyle/>
              <a:p>
                <a:pPr>
                  <a:defRPr b="0" sz="1050" spc="-1" strike="noStrike">
                    <a:solidFill>
                      <a:srgbClr val="000000"/>
                    </a:solidFill>
                    <a:latin typeface="Calibri"/>
                  </a:defRPr>
                </a:pPr>
              </a:p>
            </c:txPr>
            <c:dLblPos val="ctr"/>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Single-detached house</c:v>
                </c:pt>
                <c:pt idx="1">
                  <c:v>Apartment in building with 5+ storeys</c:v>
                </c:pt>
                <c:pt idx="2">
                  <c:v>Apartment in building with &lt;5 storeys, duplexes</c:v>
                </c:pt>
                <c:pt idx="3">
                  <c:v>Attached, semi-detached, row housing</c:v>
                </c:pt>
                <c:pt idx="4">
                  <c:v>Moveable dwelling</c:v>
                </c:pt>
              </c:strCache>
            </c:strRef>
          </c:cat>
          <c:val>
            <c:numRef>
              <c:f>4</c:f>
              <c:numCache>
                <c:formatCode>General</c:formatCode>
                <c:ptCount val="5"/>
                <c:pt idx="0">
                  <c:v>4640</c:v>
                </c:pt>
                <c:pt idx="1">
                  <c:v>0</c:v>
                </c:pt>
                <c:pt idx="2">
                  <c:v>40</c:v>
                </c:pt>
                <c:pt idx="3">
                  <c:v>100</c:v>
                </c:pt>
                <c:pt idx="4">
                  <c:v>0</c:v>
                </c:pt>
              </c:numCache>
            </c:numRef>
          </c:val>
        </c:ser>
        <c:gapWidth val="50"/>
        <c:overlap val="100"/>
        <c:axId val="89777440"/>
        <c:axId val="98013008"/>
      </c:barChart>
      <c:catAx>
        <c:axId val="89777440"/>
        <c:scaling>
          <c:orientation val="maxMin"/>
        </c:scaling>
        <c:delete val="0"/>
        <c:axPos val="b"/>
        <c:numFmt formatCode="General" sourceLinked="0"/>
        <c:majorTickMark val="none"/>
        <c:minorTickMark val="none"/>
        <c:tickLblPos val="nextTo"/>
        <c:spPr>
          <a:ln w="9360">
            <a:solidFill>
              <a:srgbClr val="d9d9d9"/>
            </a:solidFill>
            <a:round/>
          </a:ln>
        </c:spPr>
        <c:txPr>
          <a:bodyPr/>
          <a:lstStyle/>
          <a:p>
            <a:pPr>
              <a:defRPr b="0" sz="800" spc="-1" strike="noStrike">
                <a:solidFill>
                  <a:srgbClr val="595959"/>
                </a:solidFill>
                <a:latin typeface="Calibri"/>
              </a:defRPr>
            </a:pPr>
          </a:p>
        </c:txPr>
        <c:crossAx val="98013008"/>
        <c:crosses val="autoZero"/>
        <c:auto val="1"/>
        <c:lblAlgn val="ctr"/>
        <c:lblOffset val="100"/>
        <c:noMultiLvlLbl val="0"/>
      </c:catAx>
      <c:valAx>
        <c:axId val="98013008"/>
        <c:scaling>
          <c:orientation val="minMax"/>
        </c:scaling>
        <c:delete val="0"/>
        <c:axPos val="l"/>
        <c:majorGridlines>
          <c:spPr>
            <a:ln w="9360">
              <a:solidFill>
                <a:srgbClr val="d9d9d9"/>
              </a:solidFill>
              <a:round/>
            </a:ln>
          </c:spPr>
        </c:majorGridlines>
        <c:title>
          <c:tx>
            <c:rich>
              <a:bodyPr rot="0"/>
              <a:lstStyle/>
              <a:p>
                <a:pPr>
                  <a:defRPr b="0" lang="en-US" sz="800" spc="-1" strike="noStrike">
                    <a:solidFill>
                      <a:srgbClr val="595959"/>
                    </a:solidFill>
                    <a:latin typeface="Calibri"/>
                  </a:defRPr>
                </a:pPr>
                <a:r>
                  <a:rPr b="0" lang="en-US" sz="800" spc="-1" strike="noStrike">
                    <a:solidFill>
                      <a:srgbClr val="595959"/>
                    </a:solidFill>
                    <a:latin typeface="Calibri"/>
                  </a:rPr>
                  <a:t>Number of dwellings</a:t>
                </a:r>
              </a:p>
            </c:rich>
          </c:tx>
          <c:overlay val="0"/>
          <c:spPr>
            <a:noFill/>
            <a:ln w="0">
              <a:noFill/>
            </a:ln>
          </c:spPr>
        </c:title>
        <c:numFmt formatCode="#,##0" sourceLinked="0"/>
        <c:majorTickMark val="none"/>
        <c:minorTickMark val="none"/>
        <c:tickLblPos val="nextTo"/>
        <c:spPr>
          <a:ln w="6480">
            <a:noFill/>
          </a:ln>
        </c:spPr>
        <c:txPr>
          <a:bodyPr/>
          <a:lstStyle/>
          <a:p>
            <a:pPr>
              <a:defRPr b="0" sz="800" spc="-1" strike="noStrike">
                <a:solidFill>
                  <a:srgbClr val="595959"/>
                </a:solidFill>
                <a:latin typeface="Calibri"/>
              </a:defRPr>
            </a:pPr>
          </a:p>
        </c:txPr>
        <c:crossAx val="89777440"/>
        <c:crosses val="max"/>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221D37A1-649F-4FF8-9602-8B90E4404CD3}">
  <ds:schemaRefs>
    <ds:schemaRef ds:uri="http://schemas.openxmlformats.org/package/2006/metadata/core-properties"/>
    <ds:schemaRef ds:uri="http://www.w3.org/XML/1998/namespace"/>
    <ds:schemaRef ds:uri="http://purl.org/dc/terms/"/>
    <ds:schemaRef ds:uri="http://schemas.microsoft.com/office/2006/documentManagement/types"/>
    <ds:schemaRef ds:uri="http://purl.org/dc/elements/1.1/"/>
    <ds:schemaRef ds:uri="http://schemas.microsoft.com/office/2006/metadata/properties"/>
    <ds:schemaRef ds:uri="http://purl.org/dc/dcmitype/"/>
    <ds:schemaRef ds:uri="http://schemas.microsoft.com/office/infopath/2007/PartnerControls"/>
    <ds:schemaRef ds:uri="80a65c86-bf93-44d4-bd2f-74f3da072c85"/>
    <ds:schemaRef ds:uri="98101ca2-ee96-452b-bdf6-1f816a874ee4"/>
  </ds:schemaRefs>
</ds:datastoreItem>
</file>

<file path=customXml/itemProps3.xml><?xml version="1.0" encoding="utf-8"?>
<ds:datastoreItem xmlns:ds="http://schemas.openxmlformats.org/officeDocument/2006/customXml" ds:itemID="{652E67B4-0393-4B20-8DA0-0302524608E4}"/>
</file>

<file path=customXml/itemProps4.xml><?xml version="1.0" encoding="utf-8"?>
<ds:datastoreItem xmlns:ds="http://schemas.openxmlformats.org/officeDocument/2006/customXml" ds:itemID="{B42AF83F-7CA2-4EF6-9C60-BB92FB1F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20269</TotalTime>
  <Application>LibreOffice/7.0.4.2$Windows_X86_64 LibreOffice_project/dcf040e67528d9187c66b2379df5ea4407429775</Application>
  <AppVersion>15.0000</AppVersion>
  <Pages>53</Pages>
  <Words>7847</Words>
  <Characters>41245</Characters>
  <CharactersWithSpaces>48287</CharactersWithSpaces>
  <Paragraphs>1194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2023-08-16T20:41:00Z</dcterms:created>
  <dc:creator>Cameron Leong</dc:creator>
  <dc:description/>
  <dc:language>en-US</dc:language>
  <cp:lastModifiedBy/>
  <cp:lastPrinted>2023-11-02T23:10:00Z</cp:lastPrinted>
  <dcterms:modified xsi:type="dcterms:W3CDTF">2024-02-14T14:26:51Z</dcterms:modified>
  <cp:revision>838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