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3BDAB">
      <w:pPr>
        <w:pStyle w:val="2"/>
        <w:keepNext/>
        <w:spacing w:before="480" w:after="200"/>
        <w:rPr>
          <w:rFonts w:ascii="仿宋_GB2312" w:eastAsia="仿宋_GB2312"/>
          <w:color w:val="auto"/>
        </w:rPr>
      </w:pPr>
      <w:bookmarkStart w:id="0" w:name="_Toc100000"/>
      <w:bookmarkStart w:id="1" w:name="_Toc236653376"/>
      <w:r>
        <w:rPr>
          <w:rFonts w:hint="eastAsia" w:ascii="仿宋_GB2312" w:eastAsia="仿宋_GB2312"/>
          <w:b/>
          <w:bCs/>
          <w:color w:val="auto"/>
        </w:rPr>
        <w:t>一、产品定位与建设目标</w:t>
      </w:r>
      <w:bookmarkEnd w:id="0"/>
      <w:bookmarkEnd w:id="1"/>
    </w:p>
    <w:p w14:paraId="3064EC2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2" w:name="_Toc236653377"/>
      <w:bookmarkStart w:id="3" w:name="_Toc100001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产品定位</w:t>
      </w:r>
      <w:bookmarkEnd w:id="2"/>
      <w:bookmarkEnd w:id="3"/>
    </w:p>
    <w:p w14:paraId="46BFF67A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本平台面向高职院校教师AI通识教学和教师AI能力发展，将课程备课、教学实施、知识库、AI助教、测评评价、能力培训、工具实训、教学研究、学校管理和可信AI治理组织在统一平台中</w:t>
      </w:r>
      <w:r>
        <w:rPr>
          <w:rFonts w:hint="eastAsia" w:ascii="仿宋_GB2312" w:hAnsi="仿宋_GB2312" w:eastAsia="仿宋_GB2312" w:cs="仿宋_GB2312"/>
        </w:rPr>
        <w:t>。平台以教师真实工作任务为入口，以课程与能力证据为数据主线，帮助学校形成可持续运行、可量化评价、可沉淀复用的</w:t>
      </w:r>
      <w:r>
        <w:rPr>
          <w:rFonts w:hint="eastAsia" w:ascii="仿宋_GB2312" w:eastAsia="仿宋_GB2312"/>
        </w:rPr>
        <w:t>AI教育能力体系。本期产品面向100名教师，共100个正式账号，管理权限由获授权人员承担。学校管理端完整呈现课程、班级、学习质量、测评运行、教师培训、AI应用和风险治理数据。</w:t>
      </w:r>
    </w:p>
    <w:p w14:paraId="71FC9F61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4" w:name="_Toc236653378"/>
      <w:bookmarkStart w:id="5" w:name="_Toc100002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学校建设需求与产品响应</w:t>
      </w:r>
      <w:bookmarkEnd w:id="4"/>
      <w:bookmarkEnd w:id="5"/>
    </w:p>
    <w:p w14:paraId="043820E6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针对高职院校</w:t>
      </w:r>
      <w:r>
        <w:rPr>
          <w:rFonts w:ascii="仿宋_GB2312" w:eastAsia="仿宋_GB2312"/>
        </w:rPr>
        <w:t>AI</w:t>
      </w:r>
      <w:r>
        <w:rPr>
          <w:rFonts w:hint="eastAsia" w:ascii="仿宋_GB2312" w:eastAsia="仿宋_GB2312"/>
        </w:rPr>
        <w:t>通识</w:t>
      </w:r>
      <w:r>
        <w:rPr>
          <w:rFonts w:ascii="仿宋_GB2312" w:eastAsia="仿宋_GB2312"/>
        </w:rPr>
        <w:t>教育建设的典型痛点，平台提供系统性响应。课程建设方面，以课程知识底座连接备课、授课、助教、命题、评价与复盘全流程，将分散的课程结构、资源、题库、量规和版本纳入连续业务链条，形成可复用、可迭代的校本数字资产。教师发展方面，以摸底测评、个性化学习计划、实训任务、教学研究和复测能力证据构建从培训到课堂的闭环，确保学习成果迁移到真实教学场景。AI可信方面，统一记录生成内容的来源追踪、量规评分、置信度、证据充分度和人工复核信息，保障AI输出可解释、可追溯、可信赖。学校治理方面，提供教学运行、培训质量、AI成本、成果资产和预警管理的统一视图，并通过模型网关集中管控密钥、权限、内容安全、预算限额和审计日志，将关键运营指标集中呈现，降低治理成本与安全风险。</w:t>
      </w:r>
    </w:p>
    <w:p w14:paraId="7FA295CD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6" w:name="_Toc100008"/>
      <w:bookmarkStart w:id="7" w:name="_Toc23665338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核心产品特色</w:t>
      </w:r>
      <w:bookmarkEnd w:id="6"/>
      <w:bookmarkEnd w:id="7"/>
    </w:p>
    <w:p w14:paraId="35470E6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平台具备七项核心差异化特色，形成区别于普通</w:t>
      </w:r>
      <w:r>
        <w:rPr>
          <w:rFonts w:ascii="仿宋_GB2312" w:eastAsia="仿宋_GB2312"/>
        </w:rPr>
        <w:t>AI工具的教育专属能力。一是教师工作与个人成长双空间，同一身份下教学空间与个人学习空间共享成果证据但保持课程、笔记和权限边界互不干扰。二是课程全流程一体化，从标准课程、智能备课、课堂实施、课程资源、AI助教到测评报告形成连续业务链，避免功能孤岛和数据断裂。三是知识与证据驱动，知识库同时服务于助教、命题、评分和研究，关键AI结果均可回溯到来源、量规、版本和人工判断。四是教师真实任务化成长，将课程学习、自由实训、教学应用、评价复核、教学研究和复测纳入统一能力档案，使培训</w:t>
      </w:r>
      <w:r>
        <w:rPr>
          <w:rFonts w:hint="eastAsia" w:ascii="仿宋_GB2312" w:eastAsia="仿宋_GB2312"/>
        </w:rPr>
        <w:t>产出可被实际教学检验。五是前沿</w:t>
      </w:r>
      <w:r>
        <w:rPr>
          <w:rFonts w:ascii="仿宋_GB2312" w:eastAsia="仿宋_GB2312"/>
        </w:rPr>
        <w:t>AI教学能力，将上下文工程、Agent Skill、RAG、MCP、多模态和智能体安全转化为可教学、可实训的任务。六是学校教学运行管理，管理端在统一视图中掌控课程运行、学习质量、教师发展、AI用量、风险预警和成果资产。七是混合部署与模型可替换，业务数据和治理能力部署于校内，获准模型经统一网关调用，支持路由、限流、切换和成本管理，兼顾数据可控与模型能力弹性。</w:t>
      </w:r>
    </w:p>
    <w:p w14:paraId="0DE4EEB3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8" w:name="_Toc236653392"/>
      <w:bookmarkStart w:id="9" w:name="_Toc100016"/>
      <w:r>
        <w:rPr>
          <w:rFonts w:hint="eastAsia" w:ascii="仿宋_GB2312" w:eastAsia="仿宋_GB2312"/>
          <w:b/>
          <w:bCs/>
          <w:color w:val="auto"/>
        </w:rPr>
        <w:t>二、产品总体架构</w:t>
      </w:r>
      <w:bookmarkEnd w:id="8"/>
      <w:bookmarkEnd w:id="9"/>
    </w:p>
    <w:p w14:paraId="71930A11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0" w:name="_Toc236653393"/>
      <w:bookmarkStart w:id="11" w:name="_Toc10001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架构设计原则</w:t>
      </w:r>
      <w:bookmarkEnd w:id="10"/>
      <w:bookmarkEnd w:id="11"/>
    </w:p>
    <w:p w14:paraId="22E81D76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平台采用分层架构设计，由访问层、教师业务层、学校管理层、AI能力层、数据与知识层、集成层、安全治理层和基础设施层组成，便于学校分层建设、运维和持续扩展。各层职能边界清晰、接口规范、可独立升级。</w:t>
      </w:r>
    </w:p>
    <w:p w14:paraId="2169923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2" w:name="_Toc236653394"/>
      <w:bookmarkStart w:id="13" w:name="_Toc10001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混合部署架构</w:t>
      </w:r>
      <w:bookmarkEnd w:id="12"/>
      <w:bookmarkEnd w:id="13"/>
    </w:p>
    <w:p w14:paraId="1B6AB77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账号、权限、课程业务、数据库、对象存储、向量索引、模型网关、日志和备份部署于校内或学校指定环境；获准的文本、视觉、图片和音视频模型通过云端接口调用。该架构兼顾数据可控、模型能力和弹性并发，浏览器端不保存模型密钥，降低安全风险。</w:t>
      </w:r>
    </w:p>
    <w:p w14:paraId="455A365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4" w:name="_Toc100019"/>
      <w:bookmarkStart w:id="15" w:name="_Toc23665339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 xml:space="preserve"> 3. 统一模型网关</w:t>
      </w:r>
      <w:bookmarkEnd w:id="14"/>
      <w:bookmarkEnd w:id="15"/>
    </w:p>
    <w:p w14:paraId="067AA77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所有模型请求经服务端统一网关完成路由、限流、超时、重试、熔断、预算、成本统计和模型切换，实现模型质量、成本与安全的集中管理。网关支持多模型并行测试与质量对比，为学校选模和模型切换提供数据依据。</w:t>
      </w:r>
    </w:p>
    <w:p w14:paraId="7408920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6" w:name="_Toc236653396"/>
      <w:bookmarkStart w:id="17" w:name="_Toc10002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异步任务中心</w:t>
      </w:r>
      <w:bookmarkEnd w:id="16"/>
      <w:bookmarkEnd w:id="17"/>
    </w:p>
    <w:p w14:paraId="653BBB8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图片、视频、知识库解析、批量报告和批量评价采用异步任务，提供排队、进度跟踪、取消、失败原因、重试和完成通知。高峰期任务可见、可控、不丢失，避免用户等待和任务丢失。</w:t>
      </w:r>
    </w:p>
    <w:p w14:paraId="022A804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8" w:name="_Toc236653397"/>
      <w:bookmarkStart w:id="19" w:name="_Toc100021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5. 统一数据与知识底座</w:t>
      </w:r>
      <w:bookmarkEnd w:id="18"/>
      <w:bookmarkEnd w:id="19"/>
    </w:p>
    <w:p w14:paraId="5E1B0C47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课程、资源、题目、量规、任务、作品、报告、能力证据和研究成果使用统一对象模型，保留来源与版本信息。该底座减少信息孤岛，将教师产出和教学过程数据沉淀为学校数字资产。</w:t>
      </w:r>
    </w:p>
    <w:p w14:paraId="575B2771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20" w:name="_Toc100022"/>
      <w:bookmarkStart w:id="21" w:name="_Toc23665339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6. 开放集成与运行可观测性</w:t>
      </w:r>
      <w:bookmarkEnd w:id="20"/>
      <w:bookmarkEnd w:id="21"/>
    </w:p>
    <w:p w14:paraId="5D6576D3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平台提供标准REST API，预留统一身份认证、教务、课程平台、对象存储和MCP等协议的集成能力，从而接入学校现有信息化环境。运行可观测性方面，集中监控业务接口、模型调用、任务队列、Tokens、费用、失败率、低置信度、人工接管、存储和备份状态，支持主动发现问题和持续优化。终端方面，适配主流Chromium内核桌面浏览器，关键页面兼容1440px桌面和390px移动视口，支持键盘操作、清晰焦点和语义标题，满足办公室、教室和移动查看场景。</w:t>
      </w:r>
    </w:p>
    <w:p w14:paraId="5F853867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3C822F08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22" w:name="_Toc236653399"/>
      <w:bookmarkStart w:id="23" w:name="_Toc100023"/>
      <w:r>
        <w:rPr>
          <w:rFonts w:hint="eastAsia" w:ascii="仿宋_GB2312" w:eastAsia="仿宋_GB2312"/>
          <w:b/>
          <w:bCs/>
          <w:color w:val="auto"/>
        </w:rPr>
        <w:t>三、教师工作空间与任务体系</w:t>
      </w:r>
      <w:bookmarkEnd w:id="22"/>
      <w:bookmarkEnd w:id="23"/>
    </w:p>
    <w:p w14:paraId="473AA15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24" w:name="_Toc236653400"/>
      <w:bookmarkStart w:id="25" w:name="_Toc10002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教师账号与权限管理</w:t>
      </w:r>
      <w:bookmarkEnd w:id="24"/>
      <w:bookmarkEnd w:id="25"/>
    </w:p>
    <w:p w14:paraId="41FB707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平台标准配置支持100名教师、共100个正式账号，可按学校、院系、专业、课程和教师组进行组织，形成清晰的教师应用范围和组织结构。管理权限可从正式账号中授权平台管理、教学管理和运维管理权限，并按菜单、对象、数据和操作进行配置，兼顾管理效率和最小权限。</w:t>
      </w:r>
    </w:p>
    <w:p w14:paraId="2372049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26" w:name="_Toc100025"/>
      <w:bookmarkStart w:id="27" w:name="_Toc236653401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对象化任务首页</w:t>
      </w:r>
      <w:bookmarkEnd w:id="26"/>
      <w:bookmarkEnd w:id="27"/>
    </w:p>
    <w:p w14:paraId="11FAB67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页面可展示课程、班级、课次、测评、报告、实训和研究等真实工作对象，每个对象显示状态、时间、指标和唯一主操作。教师从待办任务直接进入工作，降低学习成本。</w:t>
      </w:r>
    </w:p>
    <w:p w14:paraId="35DFD249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28" w:name="_Toc100026"/>
      <w:bookmarkStart w:id="29" w:name="_Toc236653402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课程与班级上下文继承</w:t>
      </w:r>
      <w:bookmarkEnd w:id="28"/>
      <w:bookmarkEnd w:id="29"/>
    </w:p>
    <w:p w14:paraId="0613077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教师选择的课程和班级可在备课、教学、学习促进、测评和诊断之间继承，切换对象时清理不兼容的测评与报告选择，减少重复选择和对象错配。教师身份包含“教学工作”和“我的成长”两个独立空间；个人学习课程、笔记、实训和能力报告不覆盖教学班级上下文，同时支撑教师教学与个人发展。</w:t>
      </w:r>
    </w:p>
    <w:p w14:paraId="3EA0F787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30" w:name="_Toc100027"/>
      <w:bookmarkStart w:id="31" w:name="_Toc23665340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★4. 六类教师任务入口</w:t>
      </w:r>
      <w:bookmarkEnd w:id="30"/>
      <w:bookmarkEnd w:id="31"/>
    </w:p>
    <w:p w14:paraId="746AFD5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教学工作空间可支持并展示智能教学、学习促进、测评管理、教学诊断、AI研究和自由实训六类入口，按照教师真实任务组织平台功能。测评和课程任务根据待配置、待发布、进行中、待评价、待复核和已完成等状态进入对应操作页面，让教师直接处理当前阶段任务。课程、班级、任务、资源、测评、报告和补学状态使用课程主键隔离，不同课程之间不串用数据和上下文，支持学校并行运行多门课程。</w:t>
      </w:r>
    </w:p>
    <w:p w14:paraId="26AF6452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0EB11BAF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32" w:name="_Toc236653404"/>
      <w:bookmarkStart w:id="33" w:name="_Toc100028"/>
      <w:r>
        <w:rPr>
          <w:rFonts w:hint="eastAsia" w:ascii="仿宋_GB2312" w:eastAsia="仿宋_GB2312"/>
          <w:b/>
          <w:bCs/>
          <w:color w:val="auto"/>
        </w:rPr>
        <w:t>四、课程建设与智能教学</w:t>
      </w:r>
      <w:bookmarkEnd w:id="32"/>
      <w:bookmarkEnd w:id="33"/>
    </w:p>
    <w:p w14:paraId="362CB35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34" w:name="_Toc100029"/>
      <w:bookmarkStart w:id="35" w:name="_Toc23665340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课程结构配置</w:t>
      </w:r>
      <w:bookmarkEnd w:id="34"/>
      <w:bookmarkEnd w:id="35"/>
    </w:p>
    <w:p w14:paraId="449E2F22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配置为模块、课次和课时三级结构，每次课包含目标、知识点、流程、资源、活动、任务、题目、量规和课后安排，将课程设计转化为可运行的教学单元。平台提供48课时、16个模块、24次课的AI通识课程结构，支持学校按专业和校本要求复制、调整和形成版本，缩短课程从规划到开课的准备周期。</w:t>
      </w:r>
    </w:p>
    <w:p w14:paraId="5E8FA356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36" w:name="_Toc100030"/>
      <w:bookmarkStart w:id="37" w:name="_Toc23665340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2. 智能备课流程</w:t>
      </w:r>
      <w:bookmarkEnd w:id="36"/>
      <w:bookmarkEnd w:id="37"/>
    </w:p>
    <w:p w14:paraId="7A78263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标准方案选择、教学情境配置、方案生成、方案对比、教师修改、采纳发布和版本留痕六个环节，保留教师主导权同时提高备课效率。教学情境可设置教学对象、基础水平、人数、授课方式、课时、目标难度和教学重点，作为方案适配依据，同一课程可适配不同院系和班级。</w:t>
      </w:r>
    </w:p>
    <w:p w14:paraId="14EA7886">
      <w:pPr>
        <w:pStyle w:val="4"/>
        <w:keepNext/>
        <w:adjustRightInd w:val="0"/>
        <w:snapToGrid w:val="0"/>
        <w:spacing w:before="280" w:after="120" w:line="360" w:lineRule="auto"/>
        <w:ind w:firstLine="482" w:firstLineChars="200"/>
        <w:rPr>
          <w:rFonts w:ascii="仿宋_GB2312" w:eastAsia="仿宋_GB2312"/>
          <w:color w:val="auto"/>
        </w:rPr>
      </w:pPr>
      <w:bookmarkStart w:id="38" w:name="_Toc100031"/>
      <w:bookmarkStart w:id="39" w:name="_Toc236653407"/>
      <w:r>
        <w:rPr>
          <w:rFonts w:hint="eastAsia" w:ascii="仿宋_GB2312" w:eastAsia="仿宋_GB2312"/>
          <w:b/>
          <w:bCs/>
          <w:color w:val="auto"/>
        </w:rPr>
        <w:t>2.1 方案差异说明与教师采纳</w:t>
      </w:r>
      <w:bookmarkEnd w:id="38"/>
      <w:bookmarkEnd w:id="39"/>
    </w:p>
    <w:p w14:paraId="4E08B60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系统展示标准方案与适配方案在目标、难度、节奏、活动、资源、题目和进度方面的差异及依据，让教师理解并判断AI调整结果。AI方案先保存为草稿，教师修改确认后发布，系统同时保留AI原稿、教师修改、发布版本、时间和操作人，确保课程方案可复核、可回退。采纳方案后形成情境化教案、课堂活动包、配套题目集和教学进度方案四类结构化成果，一次备课形成完整的教学实施材料。</w:t>
      </w:r>
    </w:p>
    <w:p w14:paraId="661EA018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40" w:name="_Toc100032"/>
      <w:bookmarkStart w:id="41" w:name="_Toc23665340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教学实施工作台</w:t>
      </w:r>
      <w:bookmarkEnd w:id="40"/>
      <w:bookmarkEnd w:id="41"/>
    </w:p>
    <w:p w14:paraId="1A5863D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展示可衡量目标、适配知识点、课堂流程、关联资源、分层题目和准备度检查，支持步骤时长、资源和题目调整，帮助教师按课次组织课堂。教学任务发布前提供目标、资源、题目、截止时间和对象检查，发布后进入课程运行记录，降低遗漏并形成教学过程数据。</w:t>
      </w:r>
    </w:p>
    <w:p w14:paraId="700F9FE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42" w:name="_Toc236653409"/>
      <w:bookmarkStart w:id="43" w:name="_Toc10003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★4. 课程资源中心</w:t>
      </w:r>
      <w:bookmarkEnd w:id="42"/>
      <w:bookmarkEnd w:id="43"/>
    </w:p>
    <w:p w14:paraId="6ADF7255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资源分为标准资源、AI生成资源和校本资源，记录来源、版本、状态、权限、标签、知识点和引用关系，形成可管理、可复用的课程资源库。资源导入支持课程大纲、讲义、案例、题目、任务单和术语表，显示解析、重复、覆盖和异常信息，帮助学校快速初始化校本课程资料。课程、模块、课次、方案和资源支持草稿与发布版本隔离、版本对比、历史引用和回退，保障课程长期迭代的稳定性。</w:t>
      </w:r>
    </w:p>
    <w:p w14:paraId="0773A4B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44" w:name="_Toc100034"/>
      <w:bookmarkStart w:id="45" w:name="_Toc23665341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5. 多模态教学资源与成果导出</w:t>
      </w:r>
      <w:bookmarkEnd w:id="44"/>
      <w:bookmarkEnd w:id="45"/>
    </w:p>
    <w:p w14:paraId="6132739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图文、流程图、海报、音频、短视频和数字人脚本等资源生成，记录提示、模型、版本、人工修改、授权和AI标识，丰富课程呈现并落实版权和标识管理。教案、活动、进度、题目、量规和资源清单可按权限导出，用于教研、归档和线下教学，与校本资产沉淀和成果复用。</w:t>
      </w:r>
    </w:p>
    <w:p w14:paraId="09B38A3B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55300A4E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46" w:name="_Toc236653411"/>
      <w:bookmarkStart w:id="47" w:name="_Toc100035"/>
      <w:r>
        <w:rPr>
          <w:rFonts w:hint="eastAsia" w:ascii="仿宋_GB2312" w:eastAsia="仿宋_GB2312"/>
          <w:b/>
          <w:bCs/>
          <w:color w:val="auto"/>
        </w:rPr>
        <w:t>五、课程知识库与AI助教</w:t>
      </w:r>
      <w:bookmarkEnd w:id="46"/>
      <w:bookmarkEnd w:id="47"/>
    </w:p>
    <w:p w14:paraId="23F4401D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48" w:name="_Toc100036"/>
      <w:bookmarkStart w:id="49" w:name="_Toc236653412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课程知识库建设</w:t>
      </w:r>
      <w:bookmarkEnd w:id="48"/>
      <w:bookmarkEnd w:id="49"/>
    </w:p>
    <w:p w14:paraId="65CD682D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将课程大纲、讲义、案例、题目、量规和制度文件组织为可检索、可引用的统一课程知识源，为助教、命题、评价和研究提供可信依据。文档处理提供解析、分段、去重、元数据、向量化和索引能力，保留文件、章节、页码和更新时间，让知识片段可追踪、可维护。</w:t>
      </w:r>
    </w:p>
    <w:p w14:paraId="51FE1E87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50" w:name="_Toc236653413"/>
      <w:bookmarkStart w:id="51" w:name="_Toc10003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检索配置与知识质量检测</w:t>
      </w:r>
      <w:bookmarkEnd w:id="50"/>
      <w:bookmarkEnd w:id="51"/>
    </w:p>
    <w:p w14:paraId="1554EE26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关键词、向量和混合检索，可配置召回数量、相似度阈值、重排和知识范围，适配不同课程的问答和生成任务。提供覆盖率、重复率、失效内容、解析异常、检索命中和测试集结果，帮助课程团队持续提升知识质量。知识点、先修关系、资源、题目、任务和掌握证据形成可视化关联，支持教师调整，直观呈现课程结构和教学覆盖。</w:t>
      </w:r>
    </w:p>
    <w:p w14:paraId="12BD172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52" w:name="_Toc236653414"/>
      <w:bookmarkStart w:id="53" w:name="_Toc10003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3. AI助教配置与发布</w:t>
      </w:r>
      <w:bookmarkEnd w:id="52"/>
      <w:bookmarkEnd w:id="53"/>
    </w:p>
    <w:p w14:paraId="338BDCA9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配置流程包含知识绑定、教学人格、呈现形态、规则边界、测试和发布，知识库为基础，知识图谱作为增强，快速形成面向课程的专属AI助教。助教回答展示课程来源、章节、知识点和置信度，引用可返回原始知识片段，便于教师核验回答依据。超出知识范围、证据冲突或置信度不足时，助教明确提示边界并转入教师确认，减少无依据的确定性回答。</w:t>
      </w:r>
    </w:p>
    <w:p w14:paraId="0A4B50FC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54" w:name="_Toc236653415"/>
      <w:bookmarkStart w:id="55" w:name="_Toc100039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助教运营分析</w:t>
      </w:r>
      <w:bookmarkEnd w:id="54"/>
      <w:bookmarkEnd w:id="55"/>
    </w:p>
    <w:p w14:paraId="3C13F48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统计解决率、知识命中率、高频问题、低置信度、越界问题、人工接管、调用量和成本，支持课程团队优化知识和助教规则。助教发布前检查知识、版本、测试集、开放范围、内容安全和人工接管规则，发布后保留入口和版本信息，实现受控上线和按课程使用。</w:t>
      </w:r>
    </w:p>
    <w:p w14:paraId="1ADFE73A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501E6309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56" w:name="_Toc236653416"/>
      <w:bookmarkStart w:id="57" w:name="_Toc100040"/>
      <w:r>
        <w:rPr>
          <w:rFonts w:hint="eastAsia" w:ascii="仿宋_GB2312" w:eastAsia="仿宋_GB2312"/>
          <w:b/>
          <w:bCs/>
          <w:color w:val="auto"/>
        </w:rPr>
        <w:t>六、学习促进与教学诊断</w:t>
      </w:r>
      <w:bookmarkEnd w:id="56"/>
      <w:bookmarkEnd w:id="57"/>
    </w:p>
    <w:p w14:paraId="70BD2B30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58" w:name="_Toc236653417"/>
      <w:bookmarkStart w:id="59" w:name="_Toc100041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★1. 多周期学习观察与班级态势</w:t>
      </w:r>
      <w:bookmarkEnd w:id="58"/>
      <w:bookmarkEnd w:id="59"/>
    </w:p>
    <w:p w14:paraId="050980EA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教师可按当前课次、本周和本单元查看参与、完成、进度、作品和能力变化。班级态势集中展示参与度、完成率、进度分布、目标达成和可行动信号，可查看对应课程与课次，帮助教师快速识别需要关注的范围。</w:t>
      </w:r>
    </w:p>
    <w:p w14:paraId="3B746D0F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60" w:name="_Toc100042"/>
      <w:bookmarkStart w:id="61" w:name="_Toc23665341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2. 多源学习证据与诊断结果区分</w:t>
      </w:r>
      <w:bookmarkEnd w:id="60"/>
      <w:bookmarkEnd w:id="61"/>
    </w:p>
    <w:p w14:paraId="599360C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按目标聚合任务、课堂练习、作品迭代、测评过程、助教互动和教师评价，显示来源、充分度和更新时间，以证据支撑教学判断。诊断结果明确区分“尚未掌握”和“证据不足”，证据不足结果进入教师复核，避免将数据不足误判为能力不足。</w:t>
      </w:r>
    </w:p>
    <w:p w14:paraId="54F5609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62" w:name="_Toc236653419"/>
      <w:bookmarkStart w:id="63" w:name="_Toc10004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动态分组与教师可编辑干预</w:t>
      </w:r>
      <w:bookmarkEnd w:id="62"/>
      <w:bookmarkEnd w:id="63"/>
    </w:p>
    <w:p w14:paraId="51CCDB47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根据目标差距和证据将教学支持组织为补强、巩固和拓展三类动态分组，让分层教学具有明确依据。教师可调整干预目标、资源、题目、难度、时长、截止时间和接收对象后发布，确保AI建议符合真实教学安排。任务完成、作品变化和教师确认结果回流班级态势、目标诊断和下一轮教学建议，形成发现问题、实施干预、观察变化的闭环。</w:t>
      </w:r>
    </w:p>
    <w:p w14:paraId="4B050BAC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64" w:name="_Toc100044"/>
      <w:bookmarkStart w:id="65" w:name="_Toc23665342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教学诊断报告</w:t>
      </w:r>
      <w:bookmarkEnd w:id="64"/>
      <w:bookmarkEnd w:id="65"/>
    </w:p>
    <w:p w14:paraId="03F86E9D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提供班级、课程、知识点和匿名个体层级的成绩、达成、误区、作品变化、复核和改进建议，把过程数据转化为可执行的教学改进。</w:t>
      </w:r>
    </w:p>
    <w:p w14:paraId="3C8681CB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6AA3DE3D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66" w:name="_Toc100045"/>
      <w:bookmarkStart w:id="67" w:name="_Toc236653421"/>
      <w:r>
        <w:rPr>
          <w:rFonts w:hint="eastAsia" w:ascii="仿宋_GB2312" w:eastAsia="仿宋_GB2312"/>
          <w:b/>
          <w:bCs/>
          <w:color w:val="auto"/>
        </w:rPr>
        <w:t>七、测评评价与报告</w:t>
      </w:r>
      <w:bookmarkEnd w:id="66"/>
      <w:bookmarkEnd w:id="67"/>
    </w:p>
    <w:p w14:paraId="584397B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68" w:name="_Toc236653422"/>
      <w:bookmarkStart w:id="69" w:name="_Toc10004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★1. 测评场景与题型</w:t>
      </w:r>
      <w:bookmarkEnd w:id="68"/>
      <w:bookmarkEnd w:id="69"/>
    </w:p>
    <w:p w14:paraId="420DB21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摸底测、随堂测、单元测、正式考试、实训和综合项目等多类测评，覆盖教师培训和课程教学的不同评价阶段。题库支持单选、多选、判断、填空、简答、案例分析和创作实操七类题型。统一管理AI生成、教师创建和历史题目，记录来源、知识点、题型、难度、答案、解析、版本和使用效果，形成可复用、可持续改进的测评资产。</w:t>
      </w:r>
    </w:p>
    <w:p w14:paraId="49066CC9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70" w:name="_Toc236653423"/>
      <w:bookmarkStart w:id="71" w:name="_Toc10004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智能命题与组卷蓝图</w:t>
      </w:r>
      <w:bookmarkEnd w:id="70"/>
      <w:bookmarkEnd w:id="71"/>
    </w:p>
    <w:p w14:paraId="6516E312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根据课程目标、知识点、题型、难度和认知层级生成题目、答案、解析、来源和评分量规，教师确认后入库，提高命题效率并保留专业审核。组卷先设置总分、知识覆盖、难度、题型、认知层级和评分主体，再自动匹配题目并检查相似题与量规，确保试卷结构与课程目标一致。</w:t>
      </w:r>
    </w:p>
    <w:p w14:paraId="525060E0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72" w:name="_Toc100048"/>
      <w:bookmarkStart w:id="73" w:name="_Toc23665342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3. 状态化测评管理与多主体评分</w:t>
      </w:r>
      <w:bookmarkEnd w:id="72"/>
      <w:bookmarkEnd w:id="73"/>
    </w:p>
    <w:p w14:paraId="59A5B01C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待发布、进行中、待评价和已完成测评分别进入组卷发布、进度监控、AI辅助评价和教师复核，减少教师查找和切换成本。综合项目支持机器客观评分、AI作品评价和教师人工评分，标准比例为30/50/20，允许课程级配置，兼顾效率、开放作品评价和教师判断。AI作品评价展示任务符合度</w:t>
      </w:r>
      <w:bookmarkStart w:id="166" w:name="_GoBack"/>
      <w:bookmarkEnd w:id="166"/>
      <w:r>
        <w:rPr>
          <w:rFonts w:hint="eastAsia" w:ascii="仿宋_GB2312" w:eastAsia="仿宋_GB2312"/>
        </w:rPr>
        <w:t>、专业准确性初检、方法与工具、迭代证据、内容安全、量规条目和置信度，让评价过程透明、可复核。</w:t>
      </w:r>
    </w:p>
    <w:p w14:paraId="2F5D2406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74" w:name="_Toc236653425"/>
      <w:bookmarkStart w:id="75" w:name="_Toc100049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教师复核与过程性评价</w:t>
      </w:r>
      <w:bookmarkEnd w:id="74"/>
      <w:bookmarkEnd w:id="75"/>
    </w:p>
    <w:p w14:paraId="7484E969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教师可修改AI分、人工分和评语，最终分实时重算，同时保留AI原值、修改理由和最终结果，落实教师对评价结果的最终责任。质量检查提供总分、覆盖、难度、相似题、量规、异常评分、低置信度和人工复核率检查，提升测评和评价质量。报告体系提供提交、成绩、达成、复核、难度、分布、知识掌握、共性误区和改进建议，可下钻到原始证据，支持课程复盘和教学改进。能力评价综合课程学习、知识测评、实训作品、教学应用、研究成果和复测，不以登录次数或单次考试替代，形成更真实的教师能力评价。</w:t>
      </w:r>
    </w:p>
    <w:p w14:paraId="4A19502D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0FADB59C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76" w:name="_Toc100050"/>
      <w:bookmarkStart w:id="77" w:name="_Toc236653426"/>
      <w:r>
        <w:rPr>
          <w:rFonts w:hint="eastAsia" w:ascii="仿宋_GB2312" w:eastAsia="仿宋_GB2312"/>
          <w:b/>
          <w:bCs/>
          <w:color w:val="auto"/>
        </w:rPr>
        <w:t>八、教师AI能力成长体系</w:t>
      </w:r>
      <w:bookmarkEnd w:id="76"/>
      <w:bookmarkEnd w:id="77"/>
    </w:p>
    <w:p w14:paraId="66CF70A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78" w:name="_Toc100051"/>
      <w:bookmarkStart w:id="79" w:name="_Toc23665342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1. 成长全流程与能力模型</w:t>
      </w:r>
      <w:bookmarkEnd w:id="78"/>
      <w:bookmarkEnd w:id="79"/>
    </w:p>
    <w:p w14:paraId="71A67B67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形成摸底测评、能力报告、培训计划、课程学习、自主学习、AI实训、教学应用、研究成果、成长报告和复测的连续闭环，将一次培训转化为持续能力发展。五个计分维度为AI基础认知、提示词与多模态、知识库与智能体、教学融合、研究创新，另设事实核验、数据版权和人工责任三项通关门槛，兼顾能力水平和可信应用底线。支持L1入门、L2实践、L3创新和L4引领四级能力等级，等级由测评、任务、作品和应用证据共同支撑，从而便于学校制定分层培养目标。</w:t>
      </w:r>
    </w:p>
    <w:p w14:paraId="744B57B3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80" w:name="_Toc100052"/>
      <w:bookmarkStart w:id="81" w:name="_Toc23665342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摸底测评与个性化培训计划</w:t>
      </w:r>
      <w:bookmarkEnd w:id="80"/>
      <w:bookmarkEnd w:id="81"/>
    </w:p>
    <w:p w14:paraId="3F303BB5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微软雅黑" w:hAnsi="微软雅黑" w:eastAsia="微软雅黑" w:cs="微软雅黑"/>
        </w:rPr>
        <w:t>摸底</w:t>
      </w:r>
      <w:r>
        <w:rPr>
          <w:rFonts w:hint="eastAsia" w:ascii="仿宋_GB2312" w:hAnsi="仿宋_GB2312" w:eastAsia="仿宋_GB2312" w:cs="仿宋_GB2312"/>
        </w:rPr>
        <w:t>包含理论、情境和实操证据，可记</w:t>
      </w:r>
      <w:r>
        <w:rPr>
          <w:rFonts w:hint="eastAsia" w:ascii="仿宋_GB2312" w:eastAsia="仿宋_GB2312"/>
        </w:rPr>
        <w:t>录选择、提示词、截图、文件、测试结果和人工确认，识别教师真实起点而非自我评价。根据能力报告从已配置课程生成计划，教师可调整学习顺序、每周投入和选修内容，提高培训与个人短板的匹配度。同时提供AI推荐路径和教师自主路径，记录资源进度、收藏、笔记、任务和继续学习位置，兼顾学校组织和教师自主发展。</w:t>
      </w:r>
    </w:p>
    <w:p w14:paraId="72A0C4B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82" w:name="_Toc236653429"/>
      <w:bookmarkStart w:id="83" w:name="_Toc10005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七类能力证据与真实任务</w:t>
      </w:r>
      <w:bookmarkEnd w:id="82"/>
      <w:bookmarkEnd w:id="83"/>
    </w:p>
    <w:p w14:paraId="795B04AC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课程学习、自由实训、教学实施、评价复核、分层干预、教学研究和复测等成果进入个人证据台账，把培训成果与真实工作表现连接起来。能力报告可查看证据来源、任务、作品、时间、量规、得分、教师确认和版本，让能力结论可解释、可复核。平台配置不少于18项教师真实工作任务，覆盖备课资源、命题评价、知识库智能体和教学研究四条任务链，任务包含目标、输入、操作、成果、量规、前置、难度、时长、风险边界和人工确认字段，以可交付成果促进能力迁移。</w:t>
      </w:r>
    </w:p>
    <w:p w14:paraId="54081E5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84" w:name="_Toc236653430"/>
      <w:bookmarkStart w:id="85" w:name="_Toc10005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成长报告与延迟复测</w:t>
      </w:r>
      <w:bookmarkEnd w:id="84"/>
      <w:bookmarkEnd w:id="85"/>
    </w:p>
    <w:p w14:paraId="6CD78653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报告展示综合等级、五维能力、任务达成、代表成果、证据充分度、优势、短板和下一步建议，支持教师自我发展和学校培养决策。支持首次摸底、过程评价、结业复测和30/90天延迟复测，展示能力变化和工作迁移证据，观察培训效果是否稳定迁移。教师可将课程、实训、教学和研究成果按权限归档为个人或学校资产，保留版本和复用记录，沉淀可持续使用的校本成果。个人答案、笔记、计划和研究草稿默认仅本人可见，学校管理视图使用授权范围内的统计和成果信息，保护教师个人发展空间。</w:t>
      </w:r>
    </w:p>
    <w:p w14:paraId="16FABB9B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33360E4E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86" w:name="_Toc100055"/>
      <w:bookmarkStart w:id="87" w:name="_Toc236653431"/>
      <w:r>
        <w:rPr>
          <w:rFonts w:hint="eastAsia" w:ascii="仿宋_GB2312" w:eastAsia="仿宋_GB2312"/>
          <w:b/>
          <w:bCs/>
          <w:color w:val="auto"/>
        </w:rPr>
        <w:t>九、AI工具、实训与教学研究</w:t>
      </w:r>
      <w:bookmarkEnd w:id="86"/>
      <w:bookmarkEnd w:id="87"/>
    </w:p>
    <w:p w14:paraId="793B6496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88" w:name="_Toc100056"/>
      <w:bookmarkStart w:id="89" w:name="_Toc236653432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共享工具入口与研究助手</w:t>
      </w:r>
      <w:bookmarkEnd w:id="88"/>
      <w:bookmarkEnd w:id="89"/>
    </w:p>
    <w:p w14:paraId="27EFF8BC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研究与自由实训使用同一工具目录，支持分类筛选、工具详情、起步任务、难度、时长、权限和启动记录，避免工具孤岛，统一教师使用体验。深度研究助手支持研究问题、检索范围、证据矩阵、来源核验、冲突证据、过程记录和人工结论，提升资料研究的规范性和可追溯性。文献研读与证据库支持文献摘要、观点、证据、引用、主题标签和研究问题关联，形成可复用的教学研究证据。研究数据分析室支持匿名数据导入、描述统计、交叉分析、图表、异常说明和人工解释，帮助教师用数据验证教学问题。</w:t>
      </w:r>
    </w:p>
    <w:p w14:paraId="10CDAA0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90" w:name="_Toc100057"/>
      <w:bookmarkStart w:id="91" w:name="_Toc23665343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提示词实验室与多模态内容工坊</w:t>
      </w:r>
      <w:bookmarkEnd w:id="90"/>
      <w:bookmarkEnd w:id="91"/>
    </w:p>
    <w:p w14:paraId="733D5210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记录任务、上下文、提示版本、输出、评价、修改和最佳实践，培养可复用的上下文与提示设计能力。多模态内容工坊提供图片、图文、语音和多模态内容生成，记录模型、提示、版本、授权、人工修改和标识，支持课程资源和成果表达。文生视频工坊支持教学短视频脚本、镜头、字幕、生成任务、版本和披露信息，降低微课和演示资源制作门槛。</w:t>
      </w:r>
    </w:p>
    <w:p w14:paraId="6F1EF71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92" w:name="_Toc236653434"/>
      <w:bookmarkStart w:id="93" w:name="_Toc10005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知识库RAG实训与智能体搭建</w:t>
      </w:r>
      <w:bookmarkEnd w:id="92"/>
      <w:bookmarkEnd w:id="93"/>
    </w:p>
    <w:p w14:paraId="55C5365C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提供资料导入、检索配置、测试集、引用核验和质量报告，让教师掌握可信知识增强方法。智能体搭建可配置目标、角色、指令、知识、Skill、工具、状态、规划、权限、护栏和人工接管，把智能体能力转化为可控教学应用。MCP工具连接支持在受控环境理解和配置资源、提示与工具，展示输入输出、权限、调用轨迹和失败信息，培养开放工具连接和权限意识。多模态识别支持图片、文档、表格和界面内容识别，并保留来源、识别结果和人工校对，服务资源整理、分析和无障碍应用。</w:t>
      </w:r>
    </w:p>
    <w:p w14:paraId="5C188CDF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94" w:name="_Toc100059"/>
      <w:bookmarkStart w:id="95" w:name="_Toc23665343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Vibe Coding与模型评测场</w:t>
      </w:r>
      <w:bookmarkEnd w:id="94"/>
      <w:bookmarkEnd w:id="95"/>
    </w:p>
    <w:p w14:paraId="19DAF8C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自然语言生成轻量网页或工具原型，保留需求、验收标准、依赖、测试、修改和安全检查，帮助非开发教师快速验证教学创意。模型评测场使用固定评测集对不同模型或版本进行重复测试，记录质量、引用、耗时、成本、失败和人工接管，为学校选模和模型切换提供依据。</w:t>
      </w:r>
    </w:p>
    <w:p w14:paraId="588CF4A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96" w:name="_Toc100060"/>
      <w:bookmarkStart w:id="97" w:name="_Toc23665343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★5. 平台实训任务与成果回流</w:t>
      </w:r>
      <w:bookmarkEnd w:id="96"/>
      <w:bookmarkEnd w:id="97"/>
    </w:p>
    <w:p w14:paraId="696FB0C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提供创建知识库、检索优化、生成图谱、配置智能体、数字人、发布助教、智能出题、设计实训、智能组卷、AI评价和学情分析任务链，把平台核心能力转化为可完成的实训。实训记录工具、任务、时长、得分、作品、版本和人工确认，并回流教师能力报告，让每次实训形成可评价成果。研究项目按问题设计、证据汇集、分析验证、成果复核四阶段推进，保留来源、参数和人工判断，支持教师围绕真实教学问题开展研究。科研智能体支持绑定研究项目和资料，配置角色、工具、测试集、版本和权限，关联运行记录与研究成果，提高研究过程组织和工具复用效率。</w:t>
      </w:r>
    </w:p>
    <w:p w14:paraId="5B36D35C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793D098C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98" w:name="_Toc236653437"/>
      <w:bookmarkStart w:id="99" w:name="_Toc100061"/>
      <w:r>
        <w:rPr>
          <w:rFonts w:hint="eastAsia" w:ascii="仿宋_GB2312" w:eastAsia="仿宋_GB2312"/>
          <w:b/>
          <w:bCs/>
          <w:color w:val="auto"/>
        </w:rPr>
        <w:t>十、学校教学运行管理</w:t>
      </w:r>
      <w:bookmarkEnd w:id="98"/>
      <w:bookmarkEnd w:id="99"/>
    </w:p>
    <w:p w14:paraId="4D73218C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00" w:name="_Toc100062"/>
      <w:bookmarkStart w:id="101" w:name="_Toc23665343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运行总览与课程班级管理</w:t>
      </w:r>
      <w:bookmarkEnd w:id="100"/>
      <w:bookmarkEnd w:id="101"/>
    </w:p>
    <w:p w14:paraId="0523012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集中展示课程、教师、班级、任务、测评、报告、AI应用、预警和服务健康等指标，并支持组织范围筛选，为学校提供统一运行视图。查看课程版本、班级状态、教师安排、课次进度、资源、任务和异常，支持按院系、专业和课程筛选，掌控课程运行和教学组织情况。</w:t>
      </w:r>
    </w:p>
    <w:p w14:paraId="0DDFCEA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02" w:name="_Toc100063"/>
      <w:bookmarkStart w:id="103" w:name="_Toc236653439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学习质量与测评运行</w:t>
      </w:r>
      <w:bookmarkEnd w:id="102"/>
      <w:bookmarkEnd w:id="103"/>
    </w:p>
    <w:p w14:paraId="5F0FCF9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统计目标达成、证据充分度、任务完成、作品迭代、知识点趋势和干预效果，个体明细默认匿名，从结果和过程共同判断教学质量。统计待发布、进行中、待评价、待复核和已完成测评，以及提交、成绩、复核、异常和改进情况，及时发现测评组织和评价问题。展示培训参与、计划完成、任务达成、能力分布、成果类型、复测变化和支持需求，支持教师分层培养和资源配置。</w:t>
      </w:r>
    </w:p>
    <w:p w14:paraId="4D71B0A1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04" w:name="_Toc236653440"/>
      <w:bookmarkStart w:id="105" w:name="_Toc10006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AI应用与成本管理</w:t>
      </w:r>
      <w:bookmarkEnd w:id="104"/>
      <w:bookmarkEnd w:id="105"/>
    </w:p>
    <w:p w14:paraId="732BA6D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展示Tokens、费用、模型、成功率、响应、引用命中、低置信度、人工接管、内容安全和工具调用指标，控制模型成本并监测应用质量。统一归档课程模板、提示词、量规、知识库、Skill、智能体、评测集和研究成果，支持审核、复用和版本管理，形成学校可持续复用的AI教育资产。</w:t>
      </w:r>
    </w:p>
    <w:p w14:paraId="129A4A10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06" w:name="_Toc236653441"/>
      <w:bookmarkStart w:id="107" w:name="_Toc10006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4. 风险预警与教师干预闭环</w:t>
      </w:r>
      <w:bookmarkEnd w:id="106"/>
      <w:bookmarkEnd w:id="107"/>
    </w:p>
    <w:p w14:paraId="4BBA303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预警记录对象范围、证据、责任人、截止时间、状态和处置结果，支持交办、跟踪、解决和指标更新。管理关注可转化为教师任务，教师完成教学干预和人工确认后，结果回流管理指标和审计记录，形成学校管理与教师改进的闭环。按学期、课程、院系和项目导出运行、培训、成本、风险、成果和改进数据，并执行权限和匿名检查，支持项目汇报、归档和持续改进。</w:t>
      </w:r>
    </w:p>
    <w:p w14:paraId="02488A88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2C825A41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08" w:name="_Toc236653442"/>
      <w:bookmarkStart w:id="109" w:name="_Toc100066"/>
      <w:r>
        <w:rPr>
          <w:rFonts w:hint="eastAsia" w:ascii="仿宋_GB2312" w:eastAsia="仿宋_GB2312"/>
          <w:b/>
          <w:bCs/>
          <w:color w:val="auto"/>
        </w:rPr>
        <w:t>十一、前沿AI教学设计</w:t>
      </w:r>
      <w:bookmarkEnd w:id="108"/>
      <w:bookmarkEnd w:id="109"/>
    </w:p>
    <w:p w14:paraId="57E11D8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10" w:name="_Toc236653443"/>
      <w:bookmarkStart w:id="111" w:name="_Toc10006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上下文工程与结构化输出</w:t>
      </w:r>
      <w:bookmarkEnd w:id="110"/>
      <w:bookmarkEnd w:id="111"/>
    </w:p>
    <w:p w14:paraId="01F8B0D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将任务目标、角色、受众、输入资料、约束、示例、输出格式和评价标准组织为可复用上下文模板，帮助教师稳定获得符合教学要求的结果。结构化输出支持表格、JSON或Schema约束，检查字段、类型、必填、异常和失败回退，便于将AI结果进入课程、题库和管理流程。</w:t>
      </w:r>
    </w:p>
    <w:p w14:paraId="1460FA9D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12" w:name="_Toc100068"/>
      <w:bookmarkStart w:id="113" w:name="_Toc23665344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Agent Skill与RAG教学设计</w:t>
      </w:r>
      <w:bookmarkEnd w:id="112"/>
      <w:bookmarkEnd w:id="113"/>
    </w:p>
    <w:p w14:paraId="61DB419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支持按照说明、脚本、参考资料和资产组织可复用技能，记录适用范围和版本，沉淀教师和学校的可复用工作方法。将资料准备、分段、检索、引用、测试集、失败分析和优化组织为完整实训流程，让知识增强从概念学习进入真实应用。</w:t>
      </w:r>
    </w:p>
    <w:p w14:paraId="7EC99C6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14" w:name="_Toc100069"/>
      <w:bookmarkStart w:id="115" w:name="_Toc23665344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智能体工作流与MCP开放连接</w:t>
      </w:r>
      <w:bookmarkEnd w:id="114"/>
      <w:bookmarkEnd w:id="115"/>
    </w:p>
    <w:p w14:paraId="0A130D8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使用目标、知识、Skill、工具、状态、规则、护栏和人工确认节点组织可视工作流，培养教师面向复杂任务的流程设计能力。在受控环境中呈现资源、提示和工具的连接方式、权限范围、输入输出和调用轨迹，理解标准化工具连接和安全边界。支持任务状态、短期上下文、受控记忆、断点恢复、幂等和清理规则，提升长任务和多步骤应用的稳定性。</w:t>
      </w:r>
    </w:p>
    <w:p w14:paraId="3171841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16" w:name="_Toc236653446"/>
      <w:bookmarkStart w:id="117" w:name="_Toc10007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Harness与Agent Eval</w:t>
      </w:r>
      <w:bookmarkEnd w:id="116"/>
      <w:bookmarkEnd w:id="117"/>
    </w:p>
    <w:p w14:paraId="68E4868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把运行环境、上下文、知识、工具、规则、日志、反馈和恢复机制组织为可查看的运行配置，帮助教师理解智能体可靠运行所需条件。通过固定评测集重复运行，记录成功率、引用、耗时、成本、工具调用、人工接管和失败类别，让智能体改进有统一评价依据。</w:t>
      </w:r>
    </w:p>
    <w:p w14:paraId="79271D9C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18" w:name="_Toc236653447"/>
      <w:bookmarkStart w:id="119" w:name="_Toc100071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5. 多模态教学设计与深度研究</w:t>
      </w:r>
      <w:bookmarkEnd w:id="118"/>
      <w:bookmarkEnd w:id="119"/>
    </w:p>
    <w:p w14:paraId="26ED15B6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将文本、图片、语音、视频、识别和无障碍要求组织为教学资源与成果任务，扩展教师内容设计和表达方式。在仿真或沙箱页面中展示观察、计划、操作、确认、失败和恢复，高风险操作由人工确认，理解智能体执行操作的能力与风险。支持问题分解、检索范围、证据矩阵、来源核验、冲突证据、过程记录和人工结论，提升教师信息研究和证据判断能力。以自然语言生成轻量应用原型，结合需求、验收标准、测试、依赖和安全检查进行迭代，支持教师快速形成教学工具原型。</w:t>
      </w:r>
    </w:p>
    <w:p w14:paraId="435202EE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33181A65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20" w:name="_Toc100072"/>
      <w:bookmarkStart w:id="121" w:name="_Toc236653448"/>
      <w:r>
        <w:rPr>
          <w:rFonts w:hint="eastAsia" w:ascii="仿宋_GB2312" w:eastAsia="仿宋_GB2312"/>
          <w:b/>
          <w:bCs/>
          <w:color w:val="auto"/>
        </w:rPr>
        <w:t>十二、可信AI与数据安全治理</w:t>
      </w:r>
      <w:bookmarkEnd w:id="120"/>
      <w:bookmarkEnd w:id="121"/>
    </w:p>
    <w:p w14:paraId="074D3661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22" w:name="_Toc236653449"/>
      <w:bookmarkStart w:id="123" w:name="_Toc100073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★ 1. 统一AI证据与状态管理</w:t>
      </w:r>
      <w:bookmarkEnd w:id="122"/>
      <w:bookmarkEnd w:id="123"/>
    </w:p>
    <w:p w14:paraId="3E8AEC7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关键AI结果记录来源、知识点、输入摘要、模型与提示版本、结论、置信度、证据充分度、权限、匿名状态、人工复核和修改时间，让回答、方案、题目和评价可解释、可复核。提供草稿、待复核、已确认、已发布、已退回等状态，并记录状态变化，明确AI结果所处责任阶段。</w:t>
      </w:r>
    </w:p>
    <w:p w14:paraId="03299CF9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24" w:name="_Toc100074"/>
      <w:bookmarkStart w:id="125" w:name="_Toc23665345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人工控制与个人信息保护</w:t>
      </w:r>
      <w:bookmarkEnd w:id="124"/>
      <w:bookmarkEnd w:id="125"/>
    </w:p>
    <w:p w14:paraId="3087C8DB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课程发布、评分修改、外部发送、工具写入、成果公开和高风险内容均由授权人员确认，保持教师和学校的最终决策权。按最小必要原则处理教师、课程、班级和研究数据，支持查阅、更正、导出、删除和分级权限，降低个人信息使用风险。学校课程资料、教师输入、生成内容、评分结果、日志和导出档案归学校所有，不用于训练公共模型，保障学校数据权益。</w:t>
      </w:r>
    </w:p>
    <w:p w14:paraId="4777C1AD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26" w:name="_Toc236653451"/>
      <w:bookmarkStart w:id="127" w:name="_Toc10007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密钥安全与内容安全</w:t>
      </w:r>
      <w:bookmarkEnd w:id="126"/>
      <w:bookmarkEnd w:id="127"/>
    </w:p>
    <w:p w14:paraId="1CE1EB99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模型、数据库、存储和工具密钥由服务端管理，支持轮换、隔离、白名单和泄露处置，避免密钥暴露和越权调用。对违法违规、暴力、歧视、隐私、版权、虚假信息和高风险专业建议进行检测、提示、拦截或转人工，降低教学内容和生成内容风险。记录来源、授权、引用和人工修改，对生成或合成内容提供显式和隐式标识能力，从而便于规范使用和成果披露。</w:t>
      </w:r>
    </w:p>
    <w:p w14:paraId="54DC56D7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28" w:name="_Toc236653452"/>
      <w:bookmarkStart w:id="129" w:name="_Toc10007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工具权限分级与审计日志</w:t>
      </w:r>
      <w:bookmarkEnd w:id="128"/>
      <w:bookmarkEnd w:id="129"/>
    </w:p>
    <w:p w14:paraId="392DF860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工具按只读或写入、可逆或不可逆、低中高风险分级，调用前展示权限和影响，控制智能体工具使用边界。记录登录、权限、课程发布、模型调用、工具调用、评分修改、数据导出、删除、配置变化和异常事件，支持安全追溯和责任确认。风险事件支持登记、分级、责任人、处理过程、恢复、复盘和规则更新，并关联模型、课程和影响范围，形成持续改进的风险治理机制。</w:t>
      </w:r>
    </w:p>
    <w:p w14:paraId="43E3B67E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0C78EECA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30" w:name="_Toc100077"/>
      <w:bookmarkStart w:id="131" w:name="_Toc236653453"/>
      <w:r>
        <w:rPr>
          <w:rFonts w:hint="eastAsia" w:ascii="仿宋_GB2312" w:eastAsia="仿宋_GB2312"/>
          <w:b/>
          <w:bCs/>
          <w:color w:val="auto"/>
        </w:rPr>
        <w:t>十三、容量配置与部署方案</w:t>
      </w:r>
      <w:bookmarkEnd w:id="130"/>
      <w:bookmarkEnd w:id="131"/>
    </w:p>
    <w:p w14:paraId="20BCC5B8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32" w:name="_Toc100078"/>
      <w:bookmarkStart w:id="133" w:name="_Toc23665345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账号与并发配置</w:t>
      </w:r>
      <w:bookmarkEnd w:id="132"/>
      <w:bookmarkEnd w:id="133"/>
    </w:p>
    <w:p w14:paraId="5E98112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本期产品面向100名教师，共100个正式账号，管理权限由获授权人员承担。支持80名教师同时发起AI任务，应用网关按不低于100路在途请求配置，为交互请求和后台任务保留余量。文本服务配额建议为150—200万TPM，复杂智能体任务通过队列控制扇出。三年文本模型资源池不低于65亿Tokens，包含系统提示、重试、工具链和增长余量。三年支持不少于10万次图片生成、8,000次短视频生成或学校确认的等值资源池。</w:t>
      </w:r>
    </w:p>
    <w:p w14:paraId="1C662ED0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34" w:name="_Toc100079"/>
      <w:bookmarkStart w:id="135" w:name="_Toc23665345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响应与内容留存</w:t>
      </w:r>
      <w:bookmarkEnd w:id="134"/>
      <w:bookmarkEnd w:id="135"/>
    </w:p>
    <w:p w14:paraId="212D2D68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校内网络正常条件下，普通业务页面95%请求响应时间不高于3秒。文本任务支持流式返回；长任务进入可见队列并显示状态、取消、超时、重试和失败原因，外部模型波动时任务仍可管理。课程资料、生成内容、成果、评分、报告和关键审计数据保存不少于3年，满足项目周期内查询与归档。</w:t>
      </w:r>
    </w:p>
    <w:p w14:paraId="35A983E4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36" w:name="_Toc236653456"/>
      <w:bookmarkStart w:id="137" w:name="_Toc10008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存储、网络与安全配置</w:t>
      </w:r>
      <w:bookmarkEnd w:id="136"/>
      <w:bookmarkEnd w:id="137"/>
    </w:p>
    <w:p w14:paraId="2E53BDE7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可用对象存储容量不低于10TB，支持版本、校验、生命周期、归档和权限下载，承载课程资源和生成成果。独立备份可用容量不低于20TB，并与生产存储逻辑隔离，支持三年数据保护和恢复。使用固定IP和HTTPS，对外模型调用经防火墙策略控制；服务器和存储采用10GbE连接。提供个人、课程、月度和项目总额四级预算提醒，并监控模型、任务、存储、备份和服务健康，支持学校持续控制资源和风险。</w:t>
      </w:r>
    </w:p>
    <w:p w14:paraId="64DAFEC3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38" w:name="_Toc100081"/>
      <w:bookmarkStart w:id="139" w:name="_Toc23665345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标准硬件推荐配置</w:t>
      </w:r>
      <w:bookmarkEnd w:id="138"/>
      <w:bookmarkEnd w:id="139"/>
    </w:p>
    <w:p w14:paraId="3A9D1512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应用/API计算节点机架式，配置不低于24物理核心、不低于128GB ECC内存、2×1.92TB企业级SSD RAID1、双10GbE网卡、冗余电源和三年质保，共2台。对象存储节点配置不少于8盘位，原始容量不低于48TB，采用RAID6或纠删码，可用容量不低于10TB，SSD缓存、10GbE连接，快照和校验，共1套。独立备份节点原始容量不低于32TB，可用容量不低于20TB，支持增量、全量、保留策略和恢复校验，与生产存储逻辑隔离，共1套。配件与安装材料包含10GbE光模块或网卡、线缆、磁盘备件、导轨、电源及安装调试材料，共1批。硬件配置前结合学校现有资产完成盘点。现有设备达到同等能力时，可优先复用并将新增资源用于存储、备份、安全或模型服务扩容。除非盘点和压力测试证明必要，本场景不要求新增大型GPU训练或推理集群。</w:t>
      </w:r>
    </w:p>
    <w:p w14:paraId="563A8E46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7F0E152D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40" w:name="_Toc236653458"/>
      <w:bookmarkStart w:id="141" w:name="_Toc100082"/>
      <w:r>
        <w:rPr>
          <w:rFonts w:hint="eastAsia" w:ascii="仿宋_GB2312" w:eastAsia="仿宋_GB2312"/>
          <w:b/>
          <w:bCs/>
          <w:color w:val="auto"/>
        </w:rPr>
        <w:t>十四、48课时课程内容与平台能力映射</w:t>
      </w:r>
      <w:bookmarkEnd w:id="140"/>
      <w:bookmarkEnd w:id="141"/>
    </w:p>
    <w:p w14:paraId="2E068FBD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课程内容通过目标、知识点、资源、任务、工具、成果、量规和风险边界进入平台，实现课程教学、教师实训和能力评价一体化组织。全局共16个模块、48课时、24次课，各模块对应平台能力与核心成果如下：</w:t>
      </w:r>
    </w:p>
    <w:p w14:paraId="4A0DCE77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42" w:name="_Toc100083"/>
      <w:bookmarkStart w:id="143" w:name="_Toc236653459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AI基础与可信使用模块（CM-01至CM-03）</w:t>
      </w:r>
      <w:bookmarkEnd w:id="142"/>
      <w:bookmarkEnd w:id="143"/>
    </w:p>
    <w:p w14:paraId="75742AC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CM-01“AI基础、职业变革与人机分工”，4课时，对应课程导学、课前诊断、深度研究与模型评测能力，产出AI应用辨识图、岗位任务人机分工表。CM-02“数据、机器学习与模型评价”，4课时，对应研究数据分析、模型评测、随堂测与单元测能力，产出数据质量诊断表、模型选择说明。CM-03“生成式AI原理与可信使用”，4课时，对应知识资源、模型评测、风险情境与成长报告能力，产出AI输出核验记录、可信使用清单。</w:t>
      </w:r>
    </w:p>
    <w:p w14:paraId="74B4A86B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44" w:name="_Toc100084"/>
      <w:bookmarkStart w:id="145" w:name="_Toc236653460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上下文与提示词模块（CM-04至CM-06）</w:t>
      </w:r>
      <w:bookmarkEnd w:id="144"/>
      <w:bookmarkEnd w:id="145"/>
    </w:p>
    <w:p w14:paraId="38680E19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CM-04“上下文工程”，2课时，对应提示词实验室、AI助教与成果版本能力，产出岗位任务上下文v1/v2。CM-05“提示词与结构化输出”，4课时，对应提示词实验室、数据分析与模型评测能力，产出三轮提示记录、结构化输出模板。CM-06“Agent Skill设计”，2课时，对应提示词实验室、Vibe Coding与成果模板能力，产出入门级SKILL.md、试用反馈。</w:t>
      </w:r>
    </w:p>
    <w:p w14:paraId="7013C63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46" w:name="_Toc236653461"/>
      <w:bookmarkStart w:id="147" w:name="_Toc10008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多模态与智能体模块（CM-07至CM-09）</w:t>
      </w:r>
      <w:bookmarkEnd w:id="146"/>
      <w:bookmarkEnd w:id="147"/>
    </w:p>
    <w:p w14:paraId="2CE3604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CM-07“多模态内容生成”，2课时，对应多模态工坊、识别、版本与版权检查能力，产出多模态作品、无障碍检查记录。CM-08“语音与数字人”，2课时，对应文生视频、多模态工坊与数字人形态能力，产出语音或数字人方案、字幕与披露记录。CM-09“计算机使用智能体”，2课时，对应仿真页面、智能体搭建与工具连接能力，产出受控操作轨迹、人工确认清单。</w:t>
      </w:r>
    </w:p>
    <w:p w14:paraId="7C64DCC5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48" w:name="_Toc236653462"/>
      <w:bookmarkStart w:id="149" w:name="_Toc10008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知识库与工具连接模块（CM-10至CM-12）</w:t>
      </w:r>
      <w:bookmarkEnd w:id="148"/>
      <w:bookmarkEnd w:id="149"/>
    </w:p>
    <w:p w14:paraId="0585739C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CM-10“课程知识库与RAG”，4课时，对应课程资源、知识库、AI助教与检索测试能力，产出来源清单、6—9题检索测试报告。CM-11“工具调用与MCP”，2课时，对应MCP工具连接、低代码应用与权限矩阵能力，产出工具说明书、输入输出样例、权限表。CM-12“状态、记忆与任务恢复”，2课时，对应智能体搭建、低代码应用与运行轨迹能力，产出状态流转图、断点恢复和幂等测试。</w:t>
      </w:r>
    </w:p>
    <w:p w14:paraId="64E411AE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50" w:name="_Toc236653463"/>
      <w:bookmarkStart w:id="151" w:name="_Toc10008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5. 智能体设计与安全模块（CM-13至CM-16）</w:t>
      </w:r>
      <w:bookmarkEnd w:id="150"/>
      <w:bookmarkEnd w:id="151"/>
    </w:p>
    <w:p w14:paraId="627C492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CM-13“智能体设计与低代码开发”，4课时，对应智能体搭建、低代码、MCP与护栏能力，产出智能体原型、权限风险矩阵、人机交接方案。CM-14“Harness与运行可观测性”，2课时，对应Vibe Coding、模型评测、轨迹与日志能力，产出Harness画布、运行轨迹标注。CM-15“智能体评测与安全”，4课时，对应模型评测、MCP、红队测试与评价证据能力，产出不少于8例评测集、红队报告、原型v2。CM-16“专业智能体综合项目”，4课时，对应成果版本、模型评测、成长报告与答辩能力，产出AI职业应用成果包、治理清单。</w:t>
      </w:r>
    </w:p>
    <w:p w14:paraId="42F32F41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3F72F880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52" w:name="_Toc100088"/>
      <w:bookmarkStart w:id="153" w:name="_Toc236653464"/>
      <w:r>
        <w:rPr>
          <w:rFonts w:hint="eastAsia" w:ascii="仿宋_GB2312" w:eastAsia="仿宋_GB2312"/>
          <w:b/>
          <w:bCs/>
          <w:color w:val="auto"/>
        </w:rPr>
        <w:t>十五、产品交付、培训与服务</w:t>
      </w:r>
      <w:bookmarkEnd w:id="152"/>
      <w:bookmarkEnd w:id="153"/>
    </w:p>
    <w:p w14:paraId="1FAFA2EA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54" w:name="_Toc100089"/>
      <w:bookmarkStart w:id="155" w:name="_Toc236653465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交付内容与建设周期</w:t>
      </w:r>
      <w:bookmarkEnd w:id="154"/>
      <w:bookmarkEnd w:id="155"/>
    </w:p>
    <w:p w14:paraId="18BF92D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项目设计提供需求确认、产品配置、总体架构、部署拓扑、数据结构、接口、安全、备份和项目计划，形成学校认可的建设蓝图。生产系统提供可运行的Web应用、服务端、数据库、对象存储、向量索引、模型网关、任务队列和管理端，具备正式运行所需的完整系统。课程初始化完成48课时课程结构、资源分类、任务模板、量规、测评框架和示例资源配置，快速建立课程运行基础。标准服务包含课程结构、模板、量规、评测框架和示例资源；完整校本讲义、完整课程视频及学术版权终审由学校课程团队负责。数据与接口资料提供数据字典、接口清单、模型适配配置、统一身份预留接口、导入导出和备份恢复配置，支持学校集成和后续运维。</w:t>
      </w:r>
    </w:p>
    <w:p w14:paraId="5BD227E2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56" w:name="_Toc100090"/>
      <w:bookmarkStart w:id="157" w:name="_Toc236653466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2. 资源导入与质量测试</w:t>
      </w:r>
      <w:bookmarkEnd w:id="156"/>
      <w:bookmarkEnd w:id="157"/>
    </w:p>
    <w:p w14:paraId="42C1D5E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资源导入指导提供大纲、讲义、案例、题目、量规和制度资料的导入模板、校验规则和异常处理指导，帮助学校完成校本资源初始化。质量测试覆盖教师教学、成长、测评、研究、学校管理、课程隔离、权限、证据、预警、80人并发、安全和备份恢复，验证核心场景的稳定性与完整性。</w:t>
      </w:r>
    </w:p>
    <w:p w14:paraId="08EC4D13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58" w:name="_Toc100091"/>
      <w:bookmarkStart w:id="159" w:name="_Toc236653467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3. 培训服务与试点运行</w:t>
      </w:r>
      <w:bookmarkEnd w:id="158"/>
      <w:bookmarkEnd w:id="159"/>
    </w:p>
    <w:p w14:paraId="640BCE70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平台管理与运维培训不少于2场、每场不少于3小时；教师应用培训不少于4场、每场不少于3小时；骨干教师工作坊不少于2场、每场不少于3小时，保障管理人员和教师能够独立使用。选择代表课程完成不少于1个完整备课、教学、测评、报告和改进闭环，在正式推广前验证学校应用方式。标准建设周期为合同生效且学校提供必要环境、账号和资料后的20周，从而结合校历安排部署和试点。</w:t>
      </w:r>
    </w:p>
    <w:p w14:paraId="5CF2C6BC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60" w:name="_Toc100092"/>
      <w:bookmarkStart w:id="161" w:name="_Toc236653468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4. 三年运维服务</w:t>
      </w:r>
      <w:bookmarkEnd w:id="160"/>
      <w:bookmarkEnd w:id="161"/>
    </w:p>
    <w:p w14:paraId="328C17EF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提供三年7×8技术服务，具体服务时段和节假日安排在服务计划中确认，保障持续技术支持和运行。P1紧急事件首次响应不高于30分钟，4小时内提供恢复或绕行方案，并持续跟踪至恢复。P2高级事件首次响应不高于2小时，1个服务日内提供修复或可用替代方案。P3一般事件首次响应不高于4小时，3个服务日内处理或进入最近维护版本。P4咨询事件首次响应不高于1个服务日，按确认计划答复或安排。日常服务包括故障响应、巡检、备份核验、小版本升级、模型适配、使用报告和年度健康检查，持续优化平台运行质量。支持灰度发布、版本回滚、数据库迁移、模型版本切换和维护通知，升级保留历史课程与证据，降低升级对教学运行的影响。</w:t>
      </w:r>
    </w:p>
    <w:p w14:paraId="7FE486FE">
      <w:pPr>
        <w:adjustRightInd w:val="0"/>
        <w:snapToGrid w:val="0"/>
        <w:spacing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br w:type="page"/>
      </w:r>
    </w:p>
    <w:p w14:paraId="7603F20F">
      <w:pPr>
        <w:pStyle w:val="2"/>
        <w:keepNext/>
        <w:adjustRightInd w:val="0"/>
        <w:snapToGrid w:val="0"/>
        <w:spacing w:before="480" w:after="200" w:line="360" w:lineRule="auto"/>
        <w:ind w:firstLine="643" w:firstLineChars="200"/>
        <w:rPr>
          <w:rFonts w:ascii="仿宋_GB2312" w:eastAsia="仿宋_GB2312"/>
          <w:color w:val="auto"/>
        </w:rPr>
      </w:pPr>
      <w:bookmarkStart w:id="162" w:name="_Toc236653469"/>
      <w:bookmarkStart w:id="163" w:name="_Toc100093"/>
      <w:r>
        <w:rPr>
          <w:rFonts w:hint="eastAsia" w:ascii="仿宋_GB2312" w:eastAsia="仿宋_GB2312"/>
          <w:b/>
          <w:bCs/>
          <w:color w:val="auto"/>
        </w:rPr>
        <w:t>十六、产品能力覆盖索引</w:t>
      </w:r>
      <w:bookmarkEnd w:id="162"/>
      <w:bookmarkEnd w:id="163"/>
    </w:p>
    <w:p w14:paraId="61A58B81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本索引用于学校快速定位产品能力。平台将教师教学、个人成长、学校管理和可信AI治理连接为连续运行体系，避免功能分散为互不关联的工具入口。</w:t>
      </w:r>
    </w:p>
    <w:p w14:paraId="6271BEF3">
      <w:pPr>
        <w:pStyle w:val="3"/>
        <w:keepNext/>
        <w:adjustRightInd w:val="0"/>
        <w:snapToGrid w:val="0"/>
        <w:spacing w:before="360" w:after="160" w:line="360" w:lineRule="auto"/>
        <w:ind w:firstLine="562" w:firstLineChars="200"/>
        <w:rPr>
          <w:rFonts w:ascii="仿宋_GB2312" w:eastAsia="仿宋_GB2312"/>
          <w:color w:val="auto"/>
        </w:rPr>
      </w:pPr>
      <w:bookmarkStart w:id="164" w:name="_Toc236653470"/>
      <w:bookmarkStart w:id="165" w:name="_Toc100094"/>
      <w:r>
        <w:rPr>
          <w:rFonts w:hint="eastAsia" w:ascii="仿宋_GB2312" w:eastAsia="仿宋_GB2312"/>
          <w:b/>
          <w:bCs/>
          <w:color w:val="auto"/>
          <w:sz w:val="28"/>
          <w:szCs w:val="28"/>
        </w:rPr>
        <w:t>1. 各领域能力覆盖范围</w:t>
      </w:r>
      <w:bookmarkEnd w:id="164"/>
      <w:bookmarkEnd w:id="165"/>
    </w:p>
    <w:p w14:paraId="57AA2B9E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总体架构与平台底座覆盖混合部署、模型网关、异步任务、数据知识底座、开放集成、监控与终端适配能力。教师工作空间覆盖账号权限、对象任务首页、上下文继承、双空间、状态分流和多课程隔离能力。课程建设与智能教学覆盖课程模板、智能备课、教学实施、资源、版本、多模态与成果导出能力。课程知识库与AI助教覆盖文档处理、检索、质量、图谱、助教配置、引用、边界和运营能力。</w:t>
      </w:r>
    </w:p>
    <w:p w14:paraId="45448D74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学习促进与教学诊断覆盖班级态势、多源证据、诊断、分组、干预、结果回流和教学报告能力。测评评价与报告覆盖题型、题库、命题、组卷、评价证据、教师复核和过程性评价能力。教师能力成长覆盖5+3模型、L1—L4、摸底、计划、学习、七类证据、任务、报告和复测能力。AI工具、实训与研究覆盖13类工具、11项平台任务、成果回流、四阶段研究和科研智能体能力。</w:t>
      </w:r>
    </w:p>
    <w:p w14:paraId="3C358287">
      <w:pPr>
        <w:adjustRightInd w:val="0"/>
        <w:snapToGrid w:val="0"/>
        <w:spacing w:before="80" w:after="80" w:line="360" w:lineRule="auto"/>
        <w:ind w:firstLine="44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学校教学运行管理覆盖运行、课程班级、学习质量、测评、教师培训、成本、资产、预警和导出能力。前沿AI教学设计覆盖上下文、Skill、RAG、MCP、Harness、Agent Eval、多模态、研究和Vibe Coding能力。可信AI与数据治理覆盖证据、低置信度、人工控制、隐私、数据、内容安全、工具权限和审计能力。容量、硬件与服务覆盖100名教师、80人并发、模型资源、存储备份、交付培训和三年服务能力。48课时课程映射覆盖16个模块、24次课及对应平台能力和核心成果。</w:t>
      </w:r>
    </w:p>
    <w:sectPr>
      <w:footerReference r:id="rId3" w:type="default"/>
      <w:pgSz w:w="11906" w:h="16838"/>
      <w:pgMar w:top="1440" w:right="1417" w:bottom="1440" w:left="1701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default"/>
    <w:sig w:usb0="20000083" w:usb1="2ADF3C10" w:usb2="00000016" w:usb3="00000000" w:csb0="60060107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36382">
    <w:pPr>
      <w:jc w:val="center"/>
    </w:pPr>
    <w:r>
      <w:rPr>
        <w:color w:val="909090"/>
        <w:sz w:val="18"/>
        <w:szCs w:val="18"/>
      </w:rPr>
      <w:fldChar w:fldCharType="begin"/>
    </w:r>
    <w:r>
      <w:rPr>
        <w:rFonts w:eastAsia="Noto Sans SC"/>
        <w:color w:val="909090"/>
        <w:sz w:val="18"/>
        <w:szCs w:val="18"/>
      </w:rPr>
      <w:instrText xml:space="preserve">PAGE</w:instrText>
    </w:r>
    <w:r>
      <w:rPr>
        <w:color w:val="909090"/>
        <w:sz w:val="18"/>
        <w:szCs w:val="18"/>
      </w:rPr>
      <w:fldChar w:fldCharType="separate"/>
    </w:r>
    <w:r>
      <w:rPr>
        <w:rFonts w:eastAsia="Noto Sans SC"/>
        <w:color w:val="909090"/>
        <w:sz w:val="18"/>
        <w:szCs w:val="18"/>
      </w:rPr>
      <w:t>1</w:t>
    </w:r>
    <w:r>
      <w:rPr>
        <w:color w:val="90909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E9"/>
    <w:rsid w:val="000119FB"/>
    <w:rsid w:val="00035A4C"/>
    <w:rsid w:val="00253331"/>
    <w:rsid w:val="00290723"/>
    <w:rsid w:val="002A15A4"/>
    <w:rsid w:val="003460B2"/>
    <w:rsid w:val="003F271F"/>
    <w:rsid w:val="00424FBE"/>
    <w:rsid w:val="004677C6"/>
    <w:rsid w:val="00475515"/>
    <w:rsid w:val="00482954"/>
    <w:rsid w:val="005635AA"/>
    <w:rsid w:val="008D66E3"/>
    <w:rsid w:val="008F7231"/>
    <w:rsid w:val="00913BB8"/>
    <w:rsid w:val="009C06CD"/>
    <w:rsid w:val="00A4030C"/>
    <w:rsid w:val="00AB323D"/>
    <w:rsid w:val="00B3020B"/>
    <w:rsid w:val="00D21F32"/>
    <w:rsid w:val="00E55746"/>
    <w:rsid w:val="00F566E9"/>
    <w:rsid w:val="13B06269"/>
    <w:rsid w:val="3D78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SC" w:hAnsi="Noto Sans SC" w:eastAsiaTheme="minorEastAsia" w:cs="Noto Sans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SC" w:hAnsi="Noto Sans SC" w:cs="Noto Sans SC" w:eastAsiaTheme="minorEastAsia"/>
      <w:sz w:val="22"/>
      <w:szCs w:val="22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Noto Sans SC" w:hAnsi="Noto Sans SC" w:cs="Noto Sans SC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Noto Sans SC" w:hAnsi="Noto Sans SC" w:cs="Noto Sans SC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unhideWhenUsed/>
    <w:qFormat/>
    <w:uiPriority w:val="9"/>
    <w:pPr>
      <w:outlineLvl w:val="2"/>
    </w:pPr>
    <w:rPr>
      <w:rFonts w:ascii="Noto Sans SC" w:hAnsi="Noto Sans SC" w:cs="Noto Sans SC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Noto Sans SC" w:hAnsi="Noto Sans SC" w:cs="Noto Sans SC" w:eastAsiaTheme="minorEastAsia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Noto Sans SC" w:hAnsi="Noto Sans SC" w:cs="Noto Sans SC" w:eastAsiaTheme="minorEastAsia"/>
      <w:color w:val="2E74B5"/>
      <w:sz w:val="22"/>
      <w:szCs w:val="22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Noto Sans SC" w:hAnsi="Noto Sans SC" w:cs="Noto Sans SC" w:eastAsiaTheme="minorEastAsia"/>
      <w:color w:val="1F4D78"/>
      <w:sz w:val="22"/>
      <w:szCs w:val="22"/>
      <w:lang w:val="en-US" w:eastAsia="zh-CN" w:bidi="ar-SA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tabs>
        <w:tab w:val="right" w:leader="dot" w:pos="9026"/>
      </w:tabs>
      <w:spacing w:before="40" w:after="20"/>
      <w:ind w:left="720"/>
    </w:pPr>
    <w:rPr>
      <w:rFonts w:ascii="Noto Sans SC" w:hAnsi="Noto Sans SC" w:cs="Noto Sans SC" w:eastAsiaTheme="minorEastAsia"/>
      <w:sz w:val="22"/>
      <w:szCs w:val="22"/>
      <w:lang w:val="en-US" w:eastAsia="zh-CN" w:bidi="ar-SA"/>
    </w:rPr>
  </w:style>
  <w:style w:type="paragraph" w:styleId="9">
    <w:name w:val="endnote text"/>
    <w:link w:val="24"/>
    <w:semiHidden/>
    <w:unhideWhenUsed/>
    <w:uiPriority w:val="99"/>
    <w:rPr>
      <w:rFonts w:ascii="Noto Sans SC" w:hAnsi="Noto Sans SC" w:cs="Noto Sans SC" w:eastAsiaTheme="minorEastAsia"/>
      <w:sz w:val="20"/>
      <w:szCs w:val="20"/>
      <w:lang w:val="en-US" w:eastAsia="zh-CN" w:bidi="ar-SA"/>
    </w:rPr>
  </w:style>
  <w:style w:type="paragraph" w:styleId="10">
    <w:name w:val="foot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uiPriority w:val="39"/>
    <w:pPr>
      <w:tabs>
        <w:tab w:val="right" w:leader="dot" w:pos="9026"/>
      </w:tabs>
      <w:spacing w:before="120" w:after="60"/>
    </w:pPr>
    <w:rPr>
      <w:rFonts w:ascii="Noto Sans SC" w:hAnsi="Noto Sans SC" w:cs="Noto Sans SC" w:eastAsiaTheme="minorEastAsia"/>
      <w:b/>
      <w:bCs/>
      <w:sz w:val="22"/>
      <w:szCs w:val="22"/>
      <w:lang w:val="en-US" w:eastAsia="zh-CN" w:bidi="ar-SA"/>
    </w:rPr>
  </w:style>
  <w:style w:type="paragraph" w:styleId="13">
    <w:name w:val="footnote text"/>
    <w:link w:val="23"/>
    <w:semiHidden/>
    <w:unhideWhenUsed/>
    <w:uiPriority w:val="99"/>
    <w:rPr>
      <w:rFonts w:ascii="Noto Sans SC" w:hAnsi="Noto Sans SC" w:cs="Noto Sans SC" w:eastAsiaTheme="minorEastAsia"/>
      <w:sz w:val="20"/>
      <w:szCs w:val="20"/>
      <w:lang w:val="en-US" w:eastAsia="zh-CN" w:bidi="ar-SA"/>
    </w:rPr>
  </w:style>
  <w:style w:type="paragraph" w:styleId="14">
    <w:name w:val="toc 2"/>
    <w:uiPriority w:val="39"/>
    <w:pPr>
      <w:tabs>
        <w:tab w:val="right" w:leader="dot" w:pos="9026"/>
      </w:tabs>
      <w:spacing w:before="60" w:after="40"/>
      <w:ind w:left="360"/>
    </w:pPr>
    <w:rPr>
      <w:rFonts w:ascii="Noto Sans SC" w:hAnsi="Noto Sans SC" w:cs="Noto Sans SC" w:eastAsiaTheme="minorEastAsia"/>
      <w:sz w:val="22"/>
      <w:szCs w:val="22"/>
      <w:lang w:val="en-US" w:eastAsia="zh-CN" w:bidi="ar-SA"/>
    </w:rPr>
  </w:style>
  <w:style w:type="paragraph" w:styleId="15">
    <w:name w:val="Title"/>
    <w:qFormat/>
    <w:uiPriority w:val="10"/>
    <w:rPr>
      <w:rFonts w:ascii="Noto Sans SC" w:hAnsi="Noto Sans SC" w:cs="Noto Sans SC" w:eastAsiaTheme="minorEastAsia"/>
      <w:sz w:val="56"/>
      <w:szCs w:val="56"/>
      <w:lang w:val="en-US" w:eastAsia="zh-CN" w:bidi="ar-SA"/>
    </w:r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customStyle="1" w:styleId="21">
    <w:name w:val="要点1"/>
    <w:qFormat/>
    <w:uiPriority w:val="0"/>
    <w:rPr>
      <w:rFonts w:ascii="Noto Sans SC" w:hAnsi="Noto Sans SC" w:cs="Noto Sans SC" w:eastAsiaTheme="minorEastAsia"/>
      <w:b/>
      <w:bCs/>
      <w:sz w:val="22"/>
      <w:szCs w:val="22"/>
      <w:lang w:val="en-US" w:eastAsia="zh-CN" w:bidi="ar-SA"/>
    </w:rPr>
  </w:style>
  <w:style w:type="paragraph" w:styleId="22">
    <w:name w:val="List Paragraph"/>
    <w:qFormat/>
    <w:uiPriority w:val="0"/>
    <w:rPr>
      <w:rFonts w:ascii="Noto Sans SC" w:hAnsi="Noto Sans SC" w:cs="Noto Sans SC" w:eastAsiaTheme="minorEastAsia"/>
      <w:sz w:val="22"/>
      <w:szCs w:val="22"/>
      <w:lang w:val="en-US" w:eastAsia="zh-CN" w:bidi="ar-SA"/>
    </w:rPr>
  </w:style>
  <w:style w:type="character" w:customStyle="1" w:styleId="23">
    <w:name w:val="脚注文本 字符"/>
    <w:link w:val="13"/>
    <w:semiHidden/>
    <w:unhideWhenUsed/>
    <w:uiPriority w:val="99"/>
    <w:rPr>
      <w:sz w:val="20"/>
      <w:szCs w:val="20"/>
    </w:rPr>
  </w:style>
  <w:style w:type="character" w:customStyle="1" w:styleId="24">
    <w:name w:val="尾注文本 字符"/>
    <w:link w:val="9"/>
    <w:semiHidden/>
    <w:unhideWhenUsed/>
    <w:uiPriority w:val="99"/>
    <w:rPr>
      <w:sz w:val="20"/>
      <w:szCs w:val="20"/>
    </w:rPr>
  </w:style>
  <w:style w:type="character" w:customStyle="1" w:styleId="25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6">
    <w:name w:val="页脚 字符"/>
    <w:basedOn w:val="17"/>
    <w:link w:val="10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12391</Words>
  <Characters>12961</Characters>
  <Lines>94</Lines>
  <Paragraphs>26</Paragraphs>
  <TotalTime>5</TotalTime>
  <ScaleCrop>false</ScaleCrop>
  <LinksUpToDate>false</LinksUpToDate>
  <CharactersWithSpaces>13048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2026-08-03T04:15:00Z</dcterms:created>
  <dc:creator>Un-named</dc:creator>
  <cp:lastModifiedBy>杨元彦</cp:lastModifiedBy>
  <dcterms:modified xsi:type="dcterms:W3CDTF">2026-08-03T07:51:47Z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eyJoZGlkIjoiMmYxNGMxZGNlZWE5M2YwMDM1YTU0MmYyMmJhZDg1N2YiLCJ1c2VySWQiOiI3MDg3ODYwODQifQ==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7F4EA2517D4141768E306DE6B675E39D_12</vt:lpwstr>
  </property>
</Properties>
</file>