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B0037" w14:textId="77777777" w:rsidR="007A3C87" w:rsidRDefault="007A3C87">
      <w:pPr>
        <w:rPr>
          <w:lang w:val="en-GB"/>
        </w:rPr>
      </w:pPr>
      <w:r>
        <w:rPr>
          <w:lang w:val="en-GB"/>
        </w:rPr>
        <w:t>Name: CHAN King Yeung</w:t>
      </w:r>
    </w:p>
    <w:p w14:paraId="27540949" w14:textId="77777777" w:rsidR="007A3C87" w:rsidRDefault="007A3C87">
      <w:pPr>
        <w:rPr>
          <w:lang w:val="en-GB"/>
        </w:rPr>
      </w:pPr>
      <w:r>
        <w:rPr>
          <w:lang w:val="en-GB"/>
        </w:rPr>
        <w:t>SID:1155119394</w:t>
      </w:r>
    </w:p>
    <w:p w14:paraId="5DF4FE0C" w14:textId="7E107FB1" w:rsidR="006907A6" w:rsidRDefault="006907A6">
      <w:pPr>
        <w:rPr>
          <w:lang w:val="en-GB"/>
        </w:rPr>
      </w:pPr>
      <w:r>
        <w:rPr>
          <w:lang w:val="en-GB"/>
        </w:rPr>
        <w:t>STAT</w:t>
      </w:r>
      <w:r w:rsidR="00760B42">
        <w:rPr>
          <w:lang w:val="en-GB"/>
        </w:rPr>
        <w:t>3004</w:t>
      </w:r>
      <w:r>
        <w:rPr>
          <w:lang w:val="en-GB"/>
        </w:rPr>
        <w:t xml:space="preserve"> </w:t>
      </w:r>
      <w:r w:rsidR="00760B42">
        <w:rPr>
          <w:lang w:val="en-GB"/>
        </w:rPr>
        <w:t>Assignment 2</w:t>
      </w:r>
    </w:p>
    <w:p w14:paraId="1AC30BF8" w14:textId="77777777" w:rsidR="00FB100E" w:rsidRDefault="00FB100E">
      <w:pPr>
        <w:pBdr>
          <w:bottom w:val="double" w:sz="6" w:space="1" w:color="auto"/>
        </w:pBdr>
        <w:rPr>
          <w:lang w:val="en-GB"/>
        </w:rPr>
      </w:pPr>
    </w:p>
    <w:p w14:paraId="47AEFB5D" w14:textId="77777777" w:rsidR="00FB100E" w:rsidRDefault="00FB100E">
      <w:pPr>
        <w:rPr>
          <w:lang w:val="en-GB"/>
        </w:rPr>
      </w:pPr>
    </w:p>
    <w:p w14:paraId="79C81EB4" w14:textId="3234A671" w:rsidR="00760B42" w:rsidRDefault="00BC62AA">
      <w:pPr>
        <w:rPr>
          <w:lang w:val="en-GB"/>
        </w:rPr>
      </w:pPr>
      <w:r>
        <w:rPr>
          <w:lang w:val="en-GB"/>
        </w:rPr>
        <w:t>Question 1</w:t>
      </w:r>
    </w:p>
    <w:p w14:paraId="7BB5440C" w14:textId="55205B56" w:rsidR="009E06EF" w:rsidRPr="009E06EF" w:rsidRDefault="009E06EF">
      <w:pPr>
        <w:rPr>
          <w:b/>
          <w:bCs/>
          <w:i/>
          <w:iCs/>
          <w:u w:val="single"/>
          <w:lang w:val="en-GB"/>
        </w:rPr>
      </w:pPr>
      <w:r w:rsidRPr="009E06EF">
        <w:rPr>
          <w:b/>
          <w:bCs/>
          <w:i/>
          <w:iCs/>
          <w:u w:val="single"/>
          <w:lang w:val="en-GB"/>
        </w:rPr>
        <w:t>PARAMETRIC METHOD</w:t>
      </w:r>
    </w:p>
    <w:p w14:paraId="0DBEA8B7" w14:textId="3F109F1F" w:rsidR="009F1E0D" w:rsidRDefault="009F1E0D">
      <w:pPr>
        <w:rPr>
          <w:lang w:val="en-GB"/>
        </w:rPr>
      </w:pPr>
      <w:r>
        <w:rPr>
          <w:lang w:val="en-GB"/>
        </w:rPr>
        <w:t>We ex</w:t>
      </w:r>
      <w:r w:rsidR="009E06EF">
        <w:rPr>
          <w:lang w:val="en-GB"/>
        </w:rPr>
        <w:t>amine the equal variances assumption by using F test for equal variances of 2 independent samples</w:t>
      </w:r>
    </w:p>
    <w:p w14:paraId="1DBB1C5E" w14:textId="53C160CA" w:rsidR="00760B42" w:rsidRDefault="00D94BF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σ</m:t>
            </m:r>
          </m:e>
          <m:sub>
            <m:r>
              <w:rPr>
                <w:rFonts w:ascii="Cambria Math" w:hAnsi="Cambria Math"/>
                <w:lang w:val="en-GB"/>
              </w:rPr>
              <m:t>lighter smoking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r>
          <w:rPr>
            <w:rFonts w:ascii="Cambria Math" w:hAnsi="Cambria Math"/>
            <w:lang w:val="en-GB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σ</m:t>
            </m:r>
          </m:e>
          <m:sub>
            <m:r>
              <w:rPr>
                <w:rFonts w:ascii="Cambria Math" w:hAnsi="Cambria Math"/>
                <w:lang w:val="en-GB"/>
              </w:rPr>
              <m:t>heavier smoking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</m:oMath>
      <w:r w:rsidR="00760B42">
        <w:rPr>
          <w:lang w:val="en-GB"/>
        </w:rPr>
        <w:t xml:space="preserve">     vs    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σ</m:t>
            </m:r>
          </m:e>
          <m:sub>
            <m:r>
              <w:rPr>
                <w:rFonts w:ascii="Cambria Math" w:hAnsi="Cambria Math"/>
                <w:lang w:val="en-GB"/>
              </w:rPr>
              <m:t>lighter smoking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  <m:r>
          <w:rPr>
            <w:rFonts w:ascii="Cambria Math" w:hAnsi="Cambria Math" w:hint="eastAsia"/>
            <w:lang w:val="en-GB"/>
          </w:rPr>
          <m:t>≠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σ</m:t>
            </m:r>
          </m:e>
          <m:sub>
            <m:r>
              <w:rPr>
                <w:rFonts w:ascii="Cambria Math" w:hAnsi="Cambria Math"/>
                <w:lang w:val="en-GB"/>
              </w:rPr>
              <m:t>heavier smoking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9E06EF" w14:paraId="70D3ADF5" w14:textId="77777777" w:rsidTr="009E06EF">
        <w:tc>
          <w:tcPr>
            <w:tcW w:w="10762" w:type="dxa"/>
          </w:tcPr>
          <w:p w14:paraId="53CD0644" w14:textId="77777777" w:rsidR="009E06EF" w:rsidRPr="007E273D" w:rsidRDefault="009E06EF" w:rsidP="009E06E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&gt; </w:t>
            </w:r>
            <w:proofErr w:type="spellStart"/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>var.test</w:t>
            </w:r>
            <w:proofErr w:type="spellEnd"/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>(data$fn1, data$fn2)</w:t>
            </w:r>
          </w:p>
          <w:p w14:paraId="7B762E46" w14:textId="77777777" w:rsidR="009E06EF" w:rsidRPr="007E273D" w:rsidRDefault="009E06EF" w:rsidP="009E06E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ab/>
              <w:t>F test to compare two variances</w:t>
            </w:r>
          </w:p>
          <w:p w14:paraId="7FDA2FE2" w14:textId="77777777" w:rsidR="009E06EF" w:rsidRPr="007E273D" w:rsidRDefault="009E06EF" w:rsidP="009E06E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>data:  data$fn1 and data$fn2</w:t>
            </w:r>
          </w:p>
          <w:p w14:paraId="706BE610" w14:textId="77777777" w:rsidR="009E06EF" w:rsidRPr="007E273D" w:rsidRDefault="009E06EF" w:rsidP="009E06E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F = 0.80995, </w:t>
            </w:r>
            <w:proofErr w:type="spellStart"/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>num</w:t>
            </w:r>
            <w:proofErr w:type="spellEnd"/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df = 40, </w:t>
            </w:r>
            <w:proofErr w:type="spellStart"/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>denom</w:t>
            </w:r>
            <w:proofErr w:type="spellEnd"/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df = 40, p-value = 0.5081</w:t>
            </w:r>
          </w:p>
          <w:p w14:paraId="7665E27B" w14:textId="77777777" w:rsidR="009E06EF" w:rsidRPr="007E273D" w:rsidRDefault="009E06EF" w:rsidP="009E06E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>alternative hypothesis: true ratio of variances is not equal to 1</w:t>
            </w:r>
          </w:p>
          <w:p w14:paraId="3DAE6D76" w14:textId="77777777" w:rsidR="009E06EF" w:rsidRPr="007E273D" w:rsidRDefault="009E06EF" w:rsidP="009E06E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>95 percent confidence interval:</w:t>
            </w:r>
          </w:p>
          <w:p w14:paraId="67AA2D8B" w14:textId="77777777" w:rsidR="009E06EF" w:rsidRPr="007E273D" w:rsidRDefault="009E06EF" w:rsidP="009E06E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0.4319271 1.5188134</w:t>
            </w:r>
          </w:p>
          <w:p w14:paraId="06A219FF" w14:textId="77777777" w:rsidR="009E06EF" w:rsidRPr="007E273D" w:rsidRDefault="009E06EF" w:rsidP="009E06E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>sample estimates:</w:t>
            </w:r>
          </w:p>
          <w:p w14:paraId="13CBFFB7" w14:textId="77777777" w:rsidR="009E06EF" w:rsidRPr="007E273D" w:rsidRDefault="009E06EF" w:rsidP="009E06E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ratio of variances </w:t>
            </w:r>
          </w:p>
          <w:p w14:paraId="5EB56AEB" w14:textId="562E92C5" w:rsidR="009E06EF" w:rsidRPr="009E06EF" w:rsidRDefault="009E06EF">
            <w:pPr>
              <w:rPr>
                <w:rFonts w:ascii="Consolas" w:hAnsi="Consolas" w:cs="Consolas"/>
                <w:color w:val="242729"/>
                <w:sz w:val="20"/>
                <w:szCs w:val="20"/>
                <w:shd w:val="clear" w:color="auto" w:fill="E4E6E8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        0.8099486</w:t>
            </w:r>
          </w:p>
        </w:tc>
      </w:tr>
    </w:tbl>
    <w:p w14:paraId="75857AF9" w14:textId="40F7C7B8" w:rsidR="00760B42" w:rsidRDefault="00760B42">
      <w:pPr>
        <w:rPr>
          <w:lang w:val="en-GB"/>
        </w:rPr>
      </w:pPr>
      <w:r>
        <w:rPr>
          <w:lang w:val="en-GB"/>
        </w:rPr>
        <w:t xml:space="preserve">Since p-value </w:t>
      </w:r>
      <m:oMath>
        <m:r>
          <w:rPr>
            <w:rFonts w:ascii="Cambria Math" w:hAnsi="Cambria Math"/>
            <w:lang w:val="en-GB"/>
          </w:rPr>
          <m:t>&gt;0.05</m:t>
        </m:r>
      </m:oMath>
      <w:r>
        <w:rPr>
          <w:lang w:val="en-GB"/>
        </w:rPr>
        <w:t xml:space="preserve">, we do not reject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lang w:val="en-GB"/>
        </w:rPr>
        <w:t xml:space="preserve"> at </w:t>
      </w:r>
      <m:oMath>
        <m:r>
          <w:rPr>
            <w:rFonts w:ascii="Cambria Math" w:hAnsi="Cambria Math"/>
            <w:lang w:val="en-GB"/>
          </w:rPr>
          <m:t>α=0.05</m:t>
        </m:r>
      </m:oMath>
    </w:p>
    <w:p w14:paraId="3D19EE03" w14:textId="3CAAFB53" w:rsidR="00760B42" w:rsidRDefault="00760B42">
      <w:pPr>
        <w:rPr>
          <w:lang w:val="en-GB"/>
        </w:rPr>
      </w:pPr>
    </w:p>
    <w:p w14:paraId="0678861C" w14:textId="1B1B4E23" w:rsidR="009E06EF" w:rsidRDefault="009E06EF">
      <w:pPr>
        <w:rPr>
          <w:lang w:val="en-GB"/>
        </w:rPr>
      </w:pPr>
      <w:r>
        <w:rPr>
          <w:lang w:val="en-GB"/>
        </w:rPr>
        <w:t>We, then, use t test for equal means of 2 independent samples, given their variances are equal</w:t>
      </w:r>
    </w:p>
    <w:p w14:paraId="6282842D" w14:textId="4C356429" w:rsidR="00760B42" w:rsidRDefault="00D94BF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μ</m:t>
            </m:r>
          </m:e>
          <m:sub>
            <m:r>
              <w:rPr>
                <w:rFonts w:ascii="Cambria Math" w:hAnsi="Cambria Math"/>
                <w:lang w:val="en-GB"/>
              </w:rPr>
              <m:t>lighter smoking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μ</m:t>
            </m:r>
          </m:e>
          <m:sub>
            <m:r>
              <w:rPr>
                <w:rFonts w:ascii="Cambria Math" w:hAnsi="Cambria Math"/>
                <w:lang w:val="en-GB"/>
              </w:rPr>
              <m:t>heavier smoking</m:t>
            </m:r>
          </m:sub>
        </m:sSub>
      </m:oMath>
      <w:r w:rsidR="00760B42">
        <w:rPr>
          <w:lang w:val="en-GB"/>
        </w:rPr>
        <w:t xml:space="preserve">     vs    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μ</m:t>
            </m:r>
          </m:e>
          <m:sub>
            <m:r>
              <w:rPr>
                <w:rFonts w:ascii="Cambria Math" w:hAnsi="Cambria Math"/>
                <w:lang w:val="en-GB"/>
              </w:rPr>
              <m:t>lighter smoking</m:t>
            </m:r>
          </m:sub>
        </m:sSub>
        <m:r>
          <w:rPr>
            <w:rFonts w:ascii="Cambria Math" w:hAnsi="Cambria Math" w:hint="eastAsia"/>
            <w:lang w:val="en-GB"/>
          </w:rPr>
          <m:t>≠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μ</m:t>
            </m:r>
          </m:e>
          <m:sub>
            <m:r>
              <w:rPr>
                <w:rFonts w:ascii="Cambria Math" w:hAnsi="Cambria Math"/>
                <w:lang w:val="en-GB"/>
              </w:rPr>
              <m:t>heavier smoking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9E06EF" w14:paraId="2CC71B67" w14:textId="77777777" w:rsidTr="009E06EF">
        <w:tc>
          <w:tcPr>
            <w:tcW w:w="10762" w:type="dxa"/>
          </w:tcPr>
          <w:p w14:paraId="3105190C" w14:textId="77777777" w:rsidR="009E06EF" w:rsidRPr="007E273D" w:rsidRDefault="009E06EF" w:rsidP="009E06E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&gt; </w:t>
            </w:r>
            <w:proofErr w:type="spellStart"/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>t.test</w:t>
            </w:r>
            <w:proofErr w:type="spellEnd"/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(data$fn1, data$fn2, </w:t>
            </w:r>
            <w:proofErr w:type="spellStart"/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>var.equal</w:t>
            </w:r>
            <w:proofErr w:type="spellEnd"/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= T)</w:t>
            </w:r>
          </w:p>
          <w:p w14:paraId="2B9EA4DF" w14:textId="77777777" w:rsidR="009E06EF" w:rsidRPr="007E273D" w:rsidRDefault="009E06EF" w:rsidP="009E06E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ab/>
              <w:t>Two Sample t-test</w:t>
            </w:r>
          </w:p>
          <w:p w14:paraId="0027CBBE" w14:textId="77777777" w:rsidR="009E06EF" w:rsidRPr="007E273D" w:rsidRDefault="009E06EF" w:rsidP="009E06E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>data:  data$fn1 and data$fn2</w:t>
            </w:r>
          </w:p>
          <w:p w14:paraId="11BFEB81" w14:textId="77777777" w:rsidR="009E06EF" w:rsidRPr="007E273D" w:rsidRDefault="009E06EF" w:rsidP="009E06E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>t = 0.03004, df = 80, p-value = 0.9761</w:t>
            </w:r>
          </w:p>
          <w:p w14:paraId="0ABA5F2D" w14:textId="77777777" w:rsidR="009E06EF" w:rsidRPr="007E273D" w:rsidRDefault="009E06EF" w:rsidP="009E06E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>alternative hypothesis: true difference in means is not equal to 0</w:t>
            </w:r>
          </w:p>
          <w:p w14:paraId="2AE202BE" w14:textId="77777777" w:rsidR="009E06EF" w:rsidRPr="007E273D" w:rsidRDefault="009E06EF" w:rsidP="009E06E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>95 percent confidence interval:</w:t>
            </w:r>
          </w:p>
          <w:p w14:paraId="3B90044D" w14:textId="77777777" w:rsidR="009E06EF" w:rsidRPr="007E273D" w:rsidRDefault="009E06EF" w:rsidP="009E06E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-0.04774195  0.04920536</w:t>
            </w:r>
          </w:p>
          <w:p w14:paraId="1F01E2C1" w14:textId="77777777" w:rsidR="009E06EF" w:rsidRPr="007E273D" w:rsidRDefault="009E06EF" w:rsidP="009E06E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>sample estimates:</w:t>
            </w:r>
          </w:p>
          <w:p w14:paraId="2664C55B" w14:textId="77777777" w:rsidR="009E06EF" w:rsidRPr="007E273D" w:rsidRDefault="009E06EF" w:rsidP="009E06E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mean of x mean of y </w:t>
            </w:r>
          </w:p>
          <w:p w14:paraId="76A82CAF" w14:textId="63C6B044" w:rsidR="009E06EF" w:rsidRDefault="009E06EF">
            <w:pPr>
              <w:rPr>
                <w:lang w:val="en-GB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>0.6648780 0.6641463</w:t>
            </w:r>
          </w:p>
        </w:tc>
      </w:tr>
    </w:tbl>
    <w:p w14:paraId="48CE9458" w14:textId="2932C3ED" w:rsidR="00760B42" w:rsidRDefault="00760B42">
      <w:pPr>
        <w:rPr>
          <w:lang w:val="en-GB"/>
        </w:rPr>
      </w:pPr>
      <w:r>
        <w:rPr>
          <w:lang w:val="en-GB"/>
        </w:rPr>
        <w:t xml:space="preserve">Since p-value </w:t>
      </w:r>
      <m:oMath>
        <m:r>
          <w:rPr>
            <w:rFonts w:ascii="Cambria Math" w:hAnsi="Cambria Math"/>
            <w:lang w:val="en-GB"/>
          </w:rPr>
          <m:t>&gt;0.05</m:t>
        </m:r>
      </m:oMath>
      <w:r>
        <w:rPr>
          <w:lang w:val="en-GB"/>
        </w:rPr>
        <w:t xml:space="preserve">, we do not reject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lang w:val="en-GB"/>
        </w:rPr>
        <w:t xml:space="preserve"> at </w:t>
      </w:r>
      <m:oMath>
        <m:r>
          <w:rPr>
            <w:rFonts w:ascii="Cambria Math" w:hAnsi="Cambria Math"/>
            <w:lang w:val="en-GB"/>
          </w:rPr>
          <m:t>α=0.05</m:t>
        </m:r>
      </m:oMath>
    </w:p>
    <w:p w14:paraId="5F5971CE" w14:textId="58650363" w:rsidR="00760B42" w:rsidRDefault="00760B42">
      <w:pPr>
        <w:rPr>
          <w:lang w:val="en-GB"/>
        </w:rPr>
      </w:pPr>
    </w:p>
    <w:p w14:paraId="363FBFE9" w14:textId="28A42245" w:rsidR="009E06EF" w:rsidRDefault="009E06EF">
      <w:pPr>
        <w:rPr>
          <w:lang w:val="en-GB"/>
        </w:rPr>
      </w:pPr>
      <w:r>
        <w:rPr>
          <w:b/>
          <w:bCs/>
          <w:i/>
          <w:iCs/>
          <w:u w:val="single"/>
          <w:lang w:val="en-GB"/>
        </w:rPr>
        <w:t>NON</w:t>
      </w:r>
      <w:r w:rsidRPr="009E06EF">
        <w:rPr>
          <w:b/>
          <w:bCs/>
          <w:i/>
          <w:iCs/>
          <w:u w:val="single"/>
          <w:lang w:val="en-GB"/>
        </w:rPr>
        <w:t>PARAMETRIC METHOD</w:t>
      </w:r>
    </w:p>
    <w:p w14:paraId="4C8AA05A" w14:textId="7D367508" w:rsidR="009E06EF" w:rsidRDefault="009E06EF">
      <w:pPr>
        <w:rPr>
          <w:lang w:val="en-GB"/>
        </w:rPr>
      </w:pPr>
      <w:r>
        <w:rPr>
          <w:lang w:val="en-GB"/>
        </w:rPr>
        <w:t>We use Wilcoxon rank-sum test to test whether 2 medians are equal for 2 independent samples</w:t>
      </w:r>
    </w:p>
    <w:p w14:paraId="0B424D02" w14:textId="21E229E9" w:rsidR="00760B42" w:rsidRDefault="00D94BF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  <m:r>
          <m:rPr>
            <m:sty m:val="p"/>
          </m:rPr>
          <w:rPr>
            <w:rFonts w:ascii="Cambria Math" w:hAnsi="Cambria Math"/>
            <w:lang w:val="en-GB"/>
          </w:rPr>
          <m:t>Δ=0</m:t>
        </m:r>
      </m:oMath>
      <w:r w:rsidR="002D6248">
        <w:rPr>
          <w:lang w:val="en-GB"/>
        </w:rPr>
        <w:t xml:space="preserve">     vs    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  <m:r>
          <m:rPr>
            <m:sty m:val="p"/>
          </m:rPr>
          <w:rPr>
            <w:rFonts w:ascii="Cambria Math" w:hAnsi="Cambria Math"/>
            <w:lang w:val="en-GB"/>
          </w:rPr>
          <m:t>Δ</m:t>
        </m:r>
        <m:r>
          <m:rPr>
            <m:sty m:val="p"/>
          </m:rPr>
          <w:rPr>
            <w:rFonts w:ascii="Cambria Math" w:hAnsi="Cambria Math" w:hint="eastAsia"/>
            <w:lang w:val="en-GB"/>
          </w:rPr>
          <m:t>≠</m:t>
        </m:r>
        <m:r>
          <m:rPr>
            <m:sty m:val="p"/>
          </m:rPr>
          <w:rPr>
            <w:rFonts w:ascii="Cambria Math" w:hAnsi="Cambria Math"/>
            <w:lang w:val="en-GB"/>
          </w:rPr>
          <m:t>0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9E06EF" w14:paraId="31D30FF7" w14:textId="77777777" w:rsidTr="009E06EF">
        <w:tc>
          <w:tcPr>
            <w:tcW w:w="10762" w:type="dxa"/>
          </w:tcPr>
          <w:p w14:paraId="1DBB6B3C" w14:textId="77777777" w:rsidR="009E06EF" w:rsidRPr="007E273D" w:rsidRDefault="009E06EF" w:rsidP="009E06E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&gt; </w:t>
            </w:r>
            <w:proofErr w:type="spellStart"/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>fn</w:t>
            </w:r>
            <w:proofErr w:type="spellEnd"/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= c(data$fn1, data$fn2)</w:t>
            </w:r>
          </w:p>
          <w:p w14:paraId="3A0DA028" w14:textId="77777777" w:rsidR="009E06EF" w:rsidRPr="007E273D" w:rsidRDefault="009E06EF" w:rsidP="009E06E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>&gt; label = c(rep("LST", length(data$fn1)), rep("HST", length(data$fn2)))</w:t>
            </w:r>
          </w:p>
          <w:p w14:paraId="37C603AF" w14:textId="77777777" w:rsidR="009E06EF" w:rsidRPr="007E273D" w:rsidRDefault="009E06EF" w:rsidP="009E06E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&gt; </w:t>
            </w:r>
            <w:proofErr w:type="spellStart"/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>wilcox.test</w:t>
            </w:r>
            <w:proofErr w:type="spellEnd"/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>(</w:t>
            </w:r>
            <w:proofErr w:type="spellStart"/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>fn~label</w:t>
            </w:r>
            <w:proofErr w:type="spellEnd"/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>,</w:t>
            </w:r>
          </w:p>
          <w:p w14:paraId="428832A8" w14:textId="77777777" w:rsidR="009E06EF" w:rsidRPr="007E273D" w:rsidRDefault="009E06EF" w:rsidP="009E06E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>+             alternative = "</w:t>
            </w:r>
            <w:proofErr w:type="spellStart"/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>two.sided</w:t>
            </w:r>
            <w:proofErr w:type="spellEnd"/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>",</w:t>
            </w:r>
          </w:p>
          <w:p w14:paraId="7E0C27F3" w14:textId="77777777" w:rsidR="009E06EF" w:rsidRPr="007E273D" w:rsidRDefault="009E06EF" w:rsidP="009E06E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>+             mu = 0,</w:t>
            </w:r>
          </w:p>
          <w:p w14:paraId="33659C13" w14:textId="77777777" w:rsidR="009E06EF" w:rsidRPr="007E273D" w:rsidRDefault="009E06EF" w:rsidP="009E06E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>+             paired = F,</w:t>
            </w:r>
          </w:p>
          <w:p w14:paraId="5C21560C" w14:textId="77777777" w:rsidR="009E06EF" w:rsidRPr="007E273D" w:rsidRDefault="009E06EF" w:rsidP="009E06E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>+             exact = F,</w:t>
            </w:r>
          </w:p>
          <w:p w14:paraId="05EEFFB3" w14:textId="77777777" w:rsidR="009E06EF" w:rsidRPr="007E273D" w:rsidRDefault="009E06EF" w:rsidP="009E06E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>+             correct = T,</w:t>
            </w:r>
          </w:p>
          <w:p w14:paraId="3CD43ABD" w14:textId="77777777" w:rsidR="009E06EF" w:rsidRPr="007E273D" w:rsidRDefault="009E06EF" w:rsidP="009E06EF">
            <w:pPr>
              <w:rPr>
                <w:lang w:val="en-GB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>+             conf.int = F)</w:t>
            </w:r>
          </w:p>
          <w:p w14:paraId="34DE2DCB" w14:textId="77777777" w:rsidR="009E06EF" w:rsidRPr="007E273D" w:rsidRDefault="009E06EF" w:rsidP="009E06E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ab/>
              <w:t>Two Sample t-test</w:t>
            </w:r>
          </w:p>
          <w:p w14:paraId="4A8F8303" w14:textId="77777777" w:rsidR="009E06EF" w:rsidRPr="007E273D" w:rsidRDefault="009E06EF" w:rsidP="009E06E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>data:  data$fn1 and data$fn2</w:t>
            </w:r>
          </w:p>
          <w:p w14:paraId="7EA1E1C1" w14:textId="77777777" w:rsidR="009E06EF" w:rsidRPr="007E273D" w:rsidRDefault="009E06EF" w:rsidP="009E06E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>t = 0.03004, df = 80, p-value = 0.9761</w:t>
            </w:r>
          </w:p>
          <w:p w14:paraId="235E96E3" w14:textId="77777777" w:rsidR="009E06EF" w:rsidRPr="007E273D" w:rsidRDefault="009E06EF" w:rsidP="009E06E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>alternative hypothesis: true difference in means is not equal to 0</w:t>
            </w:r>
          </w:p>
          <w:p w14:paraId="7ECF39FC" w14:textId="77777777" w:rsidR="009E06EF" w:rsidRPr="007E273D" w:rsidRDefault="009E06EF" w:rsidP="009E06E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>95 percent confidence interval:</w:t>
            </w:r>
          </w:p>
          <w:p w14:paraId="6EF0693D" w14:textId="77777777" w:rsidR="009E06EF" w:rsidRPr="007E273D" w:rsidRDefault="009E06EF" w:rsidP="009E06E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 -0.04774195  0.04920536</w:t>
            </w:r>
          </w:p>
          <w:p w14:paraId="18022A32" w14:textId="77777777" w:rsidR="009E06EF" w:rsidRPr="007E273D" w:rsidRDefault="009E06EF" w:rsidP="009E06E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>sample estimates:</w:t>
            </w:r>
          </w:p>
          <w:p w14:paraId="26197C55" w14:textId="77777777" w:rsidR="009E06EF" w:rsidRPr="007E273D" w:rsidRDefault="009E06EF" w:rsidP="009E06EF">
            <w:pPr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 xml:space="preserve">mean of x mean of y </w:t>
            </w:r>
          </w:p>
          <w:p w14:paraId="5AD17DC7" w14:textId="4CD08CE6" w:rsidR="009E06EF" w:rsidRDefault="009E06EF">
            <w:pPr>
              <w:rPr>
                <w:lang w:val="en-GB"/>
              </w:rPr>
            </w:pPr>
            <w:r w:rsidRPr="007E273D">
              <w:rPr>
                <w:rFonts w:ascii="Consolas" w:hAnsi="Consolas" w:cs="Consolas"/>
                <w:color w:val="242729"/>
                <w:sz w:val="20"/>
                <w:szCs w:val="20"/>
              </w:rPr>
              <w:t>0.6648780 0.6641463</w:t>
            </w:r>
          </w:p>
        </w:tc>
      </w:tr>
    </w:tbl>
    <w:p w14:paraId="60077DCB" w14:textId="77777777" w:rsidR="009F1E0D" w:rsidRDefault="009F1E0D" w:rsidP="009F1E0D">
      <w:pPr>
        <w:rPr>
          <w:lang w:val="en-GB"/>
        </w:rPr>
      </w:pPr>
      <w:r>
        <w:rPr>
          <w:lang w:val="en-GB"/>
        </w:rPr>
        <w:t xml:space="preserve">Since p-value </w:t>
      </w:r>
      <m:oMath>
        <m:r>
          <w:rPr>
            <w:rFonts w:ascii="Cambria Math" w:hAnsi="Cambria Math"/>
            <w:lang w:val="en-GB"/>
          </w:rPr>
          <m:t>&gt;0.05</m:t>
        </m:r>
      </m:oMath>
      <w:r>
        <w:rPr>
          <w:lang w:val="en-GB"/>
        </w:rPr>
        <w:t xml:space="preserve">, we do not reject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lang w:val="en-GB"/>
        </w:rPr>
        <w:t xml:space="preserve"> at </w:t>
      </w:r>
      <m:oMath>
        <m:r>
          <w:rPr>
            <w:rFonts w:ascii="Cambria Math" w:hAnsi="Cambria Math"/>
            <w:lang w:val="en-GB"/>
          </w:rPr>
          <m:t>α=0.05</m:t>
        </m:r>
      </m:oMath>
    </w:p>
    <w:p w14:paraId="52313E14" w14:textId="462776EF" w:rsidR="002D6248" w:rsidRDefault="002D6248">
      <w:pPr>
        <w:rPr>
          <w:lang w:val="en-GB"/>
        </w:rPr>
      </w:pPr>
    </w:p>
    <w:p w14:paraId="12546F82" w14:textId="63595B78" w:rsidR="002D6248" w:rsidRDefault="00D94BFA">
      <w:pPr>
        <w:rPr>
          <w:lang w:val="en-GB"/>
        </w:rPr>
      </w:pPr>
      <w:r>
        <w:rPr>
          <w:lang w:val="en-GB"/>
        </w:rPr>
        <w:t xml:space="preserve">There are no difference in between </w:t>
      </w:r>
      <w:r w:rsidR="009E06EF">
        <w:rPr>
          <w:lang w:val="en-GB"/>
        </w:rPr>
        <w:t xml:space="preserve">parametric and nonparametric methods </w:t>
      </w:r>
      <w:r>
        <w:rPr>
          <w:lang w:val="en-GB"/>
        </w:rPr>
        <w:t xml:space="preserve">for the given dataset. Those methods </w:t>
      </w:r>
      <w:r w:rsidR="009E06EF">
        <w:rPr>
          <w:lang w:val="en-GB"/>
        </w:rPr>
        <w:t xml:space="preserve">suggest that there is no significant </w:t>
      </w:r>
      <w:r>
        <w:rPr>
          <w:lang w:val="en-GB"/>
        </w:rPr>
        <w:t>difference</w:t>
      </w:r>
      <w:r w:rsidR="009E06EF">
        <w:rPr>
          <w:lang w:val="en-GB"/>
        </w:rPr>
        <w:t xml:space="preserve"> </w:t>
      </w:r>
      <w:r w:rsidR="009E06EF" w:rsidRPr="009E06EF">
        <w:rPr>
          <w:lang w:val="en-GB"/>
        </w:rPr>
        <w:t>in mean</w:t>
      </w:r>
      <w:r w:rsidR="009E06EF">
        <w:rPr>
          <w:lang w:val="en-GB"/>
        </w:rPr>
        <w:t xml:space="preserve"> or </w:t>
      </w:r>
      <w:r w:rsidR="009E06EF" w:rsidRPr="009E06EF">
        <w:rPr>
          <w:lang w:val="en-GB"/>
        </w:rPr>
        <w:t>median BMD</w:t>
      </w:r>
      <w:r w:rsidR="009E06EF">
        <w:rPr>
          <w:lang w:val="en-GB"/>
        </w:rPr>
        <w:t xml:space="preserve"> between lighter smoking and heavier smoking.</w:t>
      </w:r>
    </w:p>
    <w:p w14:paraId="68741A6A" w14:textId="77777777" w:rsidR="00D94BFA" w:rsidRDefault="00D94BFA">
      <w:pPr>
        <w:pBdr>
          <w:bottom w:val="double" w:sz="6" w:space="1" w:color="auto"/>
        </w:pBdr>
        <w:rPr>
          <w:lang w:val="en-GB"/>
        </w:rPr>
      </w:pPr>
    </w:p>
    <w:p w14:paraId="4D7E6113" w14:textId="77777777" w:rsidR="00760B42" w:rsidRPr="007A3C87" w:rsidRDefault="00760B42">
      <w:pPr>
        <w:rPr>
          <w:lang w:val="en-GB"/>
        </w:rPr>
      </w:pPr>
    </w:p>
    <w:sectPr w:rsidR="00760B42" w:rsidRPr="007A3C87" w:rsidSect="007A3C8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E1B87"/>
    <w:multiLevelType w:val="hybridMultilevel"/>
    <w:tmpl w:val="785AA6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084A23"/>
    <w:multiLevelType w:val="hybridMultilevel"/>
    <w:tmpl w:val="EAF8C8F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87"/>
    <w:rsid w:val="00011FB9"/>
    <w:rsid w:val="00100620"/>
    <w:rsid w:val="00155576"/>
    <w:rsid w:val="001B4480"/>
    <w:rsid w:val="001F4688"/>
    <w:rsid w:val="002158A9"/>
    <w:rsid w:val="00233A3C"/>
    <w:rsid w:val="002A55B6"/>
    <w:rsid w:val="002D6248"/>
    <w:rsid w:val="002E7B62"/>
    <w:rsid w:val="0030046C"/>
    <w:rsid w:val="0036288A"/>
    <w:rsid w:val="003A7430"/>
    <w:rsid w:val="003F425C"/>
    <w:rsid w:val="00442976"/>
    <w:rsid w:val="004A0BD8"/>
    <w:rsid w:val="004C2974"/>
    <w:rsid w:val="004F076E"/>
    <w:rsid w:val="00532405"/>
    <w:rsid w:val="005A0D2D"/>
    <w:rsid w:val="005B4316"/>
    <w:rsid w:val="0060339F"/>
    <w:rsid w:val="00676739"/>
    <w:rsid w:val="006907A6"/>
    <w:rsid w:val="006C6C57"/>
    <w:rsid w:val="006E441E"/>
    <w:rsid w:val="007047C8"/>
    <w:rsid w:val="00760B42"/>
    <w:rsid w:val="007A3C87"/>
    <w:rsid w:val="007E273D"/>
    <w:rsid w:val="0083249F"/>
    <w:rsid w:val="00862941"/>
    <w:rsid w:val="008D4902"/>
    <w:rsid w:val="008D578B"/>
    <w:rsid w:val="008F4B51"/>
    <w:rsid w:val="00934547"/>
    <w:rsid w:val="009515D0"/>
    <w:rsid w:val="00963442"/>
    <w:rsid w:val="009E06EF"/>
    <w:rsid w:val="009F1E0D"/>
    <w:rsid w:val="00A176E4"/>
    <w:rsid w:val="00B145D7"/>
    <w:rsid w:val="00B2662E"/>
    <w:rsid w:val="00B30D64"/>
    <w:rsid w:val="00BC62AA"/>
    <w:rsid w:val="00BE6E95"/>
    <w:rsid w:val="00C03AAA"/>
    <w:rsid w:val="00C41B12"/>
    <w:rsid w:val="00C85D26"/>
    <w:rsid w:val="00CD69C5"/>
    <w:rsid w:val="00D4158C"/>
    <w:rsid w:val="00D94BFA"/>
    <w:rsid w:val="00DC379A"/>
    <w:rsid w:val="00DF5F47"/>
    <w:rsid w:val="00E03087"/>
    <w:rsid w:val="00E21851"/>
    <w:rsid w:val="00E71766"/>
    <w:rsid w:val="00E733EC"/>
    <w:rsid w:val="00E8411E"/>
    <w:rsid w:val="00E86634"/>
    <w:rsid w:val="00F642AD"/>
    <w:rsid w:val="00FA1BC8"/>
    <w:rsid w:val="00FB100E"/>
    <w:rsid w:val="00FC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B5949"/>
  <w15:chartTrackingRefBased/>
  <w15:docId w15:val="{AA3EA805-D485-BF4A-9B3B-754BF521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62AA"/>
    <w:rPr>
      <w:color w:val="808080"/>
    </w:rPr>
  </w:style>
  <w:style w:type="paragraph" w:styleId="ListParagraph">
    <w:name w:val="List Paragraph"/>
    <w:basedOn w:val="Normal"/>
    <w:uiPriority w:val="34"/>
    <w:qFormat/>
    <w:rsid w:val="0060339F"/>
    <w:pPr>
      <w:ind w:left="720"/>
      <w:contextualSpacing/>
    </w:pPr>
  </w:style>
  <w:style w:type="table" w:styleId="TableGrid">
    <w:name w:val="Table Grid"/>
    <w:basedOn w:val="TableNormal"/>
    <w:uiPriority w:val="39"/>
    <w:rsid w:val="009E0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9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0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2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King Yeung</dc:creator>
  <cp:keywords/>
  <dc:description/>
  <cp:lastModifiedBy>CHAN, King Yeung</cp:lastModifiedBy>
  <cp:revision>62</cp:revision>
  <dcterms:created xsi:type="dcterms:W3CDTF">2020-10-05T03:58:00Z</dcterms:created>
  <dcterms:modified xsi:type="dcterms:W3CDTF">2020-10-10T09:20:00Z</dcterms:modified>
</cp:coreProperties>
</file>