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AngioSight Project Status</w:t>
      </w:r>
    </w:p>
    <w:p>
      <w:pPr>
        <w:spacing w:after="240"/>
      </w:pPr>
      <w:r>
        <w:rPr>
          <w:color w:val="4D5F6C"/>
          <w:sz w:val="20"/>
        </w:rPr>
        <w:t>Current implementation, evidence, and remaining dataset work  |  8 October 2026</w:t>
      </w:r>
    </w:p>
    <w:p>
      <w:pPr>
        <w:pStyle w:val="Heading1"/>
      </w:pPr>
      <w:r>
        <w:t>Executive summary</w:t>
      </w:r>
    </w:p>
    <w:p>
      <w:r>
        <w:t>AngioSight is a local research prototype with a React web interface, a FastAPI prediction service, four tabular classifiers, an optional CADICA frame-scoring branch, and an interactive BodyParts3D heart. The production build and current automated checks pass. A key patient-link limitation has been made explicit: CADICA frame scores are now kept separate from the clinical estimate because the app cannot verify that an arbitrary uploaded image and the form values belong to the same person.</w:t>
      </w:r>
    </w:p>
    <w:p>
      <w:r>
        <w:t>The CADICA archive itself is not present in the checkout. The existing trained artifact and evaluation summaries are available, but a complete 42-patient catalog, exact clinical-field mapping, and end-to-end patient switching cannot be verified or enabled from the files currently available.</w:t>
      </w:r>
    </w:p>
    <w:p>
      <w:pPr>
        <w:pStyle w:val="Heading1"/>
      </w:pPr>
      <w:r>
        <w:t>What the application currently does</w:t>
      </w:r>
    </w:p>
    <w:tbl>
      <w:tblPr>
        <w:tblStyle w:val="LightShading-Accent1"/>
        <w:tblW w:type="auto" w:w="0"/>
        <w:jc w:val="center"/>
        <w:tblLook w:firstColumn="1" w:firstRow="1" w:lastColumn="0" w:lastRow="0" w:noHBand="0" w:noVBand="1" w:val="04A0"/>
      </w:tblPr>
      <w:tblGrid>
        <w:gridCol w:w="5083"/>
        <w:gridCol w:w="5083"/>
      </w:tblGrid>
      <w:tr>
        <w:tc>
          <w:tcPr>
            <w:tcW w:type="dxa" w:w="2088"/>
            <w:shd w:fill="DCEFEA"/>
          </w:tcPr>
          <w:p>
            <w:r>
              <w:rPr>
                <w:b/>
                <w:color w:val="000000"/>
              </w:rPr>
              <w:t>Area</w:t>
            </w:r>
          </w:p>
        </w:tc>
        <w:tc>
          <w:tcPr>
            <w:tcW w:type="dxa" w:w="7992"/>
            <w:shd w:fill="DCEFEA"/>
          </w:tcPr>
          <w:p>
            <w:r>
              <w:rPr>
                <w:b/>
                <w:color w:val="000000"/>
              </w:rPr>
              <w:t>Implemented capability</w:t>
            </w:r>
          </w:p>
        </w:tc>
      </w:tr>
      <w:tr>
        <w:tc>
          <w:tcPr>
            <w:tcW w:type="dxa" w:w="2088"/>
            <w:vAlign w:val="center"/>
          </w:tcPr>
          <w:p>
            <w:pPr>
              <w:spacing w:after="40"/>
            </w:pPr>
            <w:r>
              <w:rPr>
                <w:sz w:val="17"/>
              </w:rPr>
              <w:t>Clinical assessment</w:t>
            </w:r>
          </w:p>
        </w:tc>
        <w:tc>
          <w:tcPr>
            <w:tcW w:type="dxa" w:w="7992"/>
            <w:vAlign w:val="center"/>
          </w:tcPr>
          <w:p>
            <w:pPr>
              <w:spacing w:after="40"/>
            </w:pPr>
            <w:r>
              <w:rPr>
                <w:sz w:val="17"/>
              </w:rPr>
              <w:t>Responsive 54-field form with feature groups, search, validation, blank-field imputation through the trained pipeline, and four outputs: CAD, LAD, LCX, and RCA.</w:t>
            </w:r>
          </w:p>
        </w:tc>
      </w:tr>
      <w:tr>
        <w:tc>
          <w:tcPr>
            <w:tcW w:type="dxa" w:w="2088"/>
            <w:vAlign w:val="center"/>
          </w:tcPr>
          <w:p>
            <w:pPr>
              <w:spacing w:after="40"/>
            </w:pPr>
            <w:r>
              <w:rPr>
                <w:sz w:val="17"/>
              </w:rPr>
              <w:t>Angiography frame</w:t>
            </w:r>
          </w:p>
        </w:tc>
        <w:tc>
          <w:tcPr>
            <w:tcW w:type="dxa" w:w="7992"/>
            <w:vAlign w:val="center"/>
          </w:tcPr>
          <w:p>
            <w:pPr>
              <w:spacing w:after="40"/>
            </w:pPr>
            <w:r>
              <w:rPr>
                <w:sz w:val="17"/>
              </w:rPr>
              <w:t>Accepts an optional PNG/JPEG and reports a separate frame-level score. Uploaded bytes are validated and processed in memory.</w:t>
            </w:r>
          </w:p>
        </w:tc>
      </w:tr>
      <w:tr>
        <w:tc>
          <w:tcPr>
            <w:tcW w:type="dxa" w:w="2088"/>
            <w:vAlign w:val="center"/>
          </w:tcPr>
          <w:p>
            <w:pPr>
              <w:spacing w:after="40"/>
            </w:pPr>
            <w:r>
              <w:rPr>
                <w:sz w:val="17"/>
              </w:rPr>
              <w:t>3D anatomy</w:t>
            </w:r>
          </w:p>
        </w:tc>
        <w:tc>
          <w:tcPr>
            <w:tcW w:type="dxa" w:w="7992"/>
            <w:vAlign w:val="center"/>
          </w:tcPr>
          <w:p>
            <w:pPr>
              <w:spacing w:after="40"/>
            </w:pPr>
            <w:r>
              <w:rPr>
                <w:sz w:val="17"/>
              </w:rPr>
              <w:t>Interactive BodyParts3D heart mesh with named structures, orbit controls, vessel selection, and artery colors driven by the latest LAD/LCX/RCA probabilities.</w:t>
            </w:r>
          </w:p>
        </w:tc>
      </w:tr>
      <w:tr>
        <w:tc>
          <w:tcPr>
            <w:tcW w:type="dxa" w:w="2088"/>
            <w:vAlign w:val="center"/>
          </w:tcPr>
          <w:p>
            <w:pPr>
              <w:spacing w:after="40"/>
            </w:pPr>
            <w:r>
              <w:rPr>
                <w:sz w:val="17"/>
              </w:rPr>
              <w:t>User interface</w:t>
            </w:r>
          </w:p>
        </w:tc>
        <w:tc>
          <w:tcPr>
            <w:tcW w:type="dxa" w:w="7992"/>
            <w:vAlign w:val="center"/>
          </w:tcPr>
          <w:p>
            <w:pPr>
              <w:spacing w:after="40"/>
            </w:pPr>
            <w:r>
              <w:rPr>
                <w:sz w:val="17"/>
              </w:rPr>
              <w:t>Responsive desktop/mobile layout, light/dark/system themes, accessible status text, splash screen, and research-use notice.</w:t>
            </w:r>
          </w:p>
        </w:tc>
      </w:tr>
      <w:tr>
        <w:tc>
          <w:tcPr>
            <w:tcW w:type="dxa" w:w="2088"/>
            <w:vAlign w:val="center"/>
          </w:tcPr>
          <w:p>
            <w:pPr>
              <w:spacing w:after="40"/>
            </w:pPr>
            <w:r>
              <w:rPr>
                <w:sz w:val="17"/>
              </w:rPr>
              <w:t>Privacy and API</w:t>
            </w:r>
          </w:p>
        </w:tc>
        <w:tc>
          <w:tcPr>
            <w:tcW w:type="dxa" w:w="7992"/>
            <w:vAlign w:val="center"/>
          </w:tcPr>
          <w:p>
            <w:pPr>
              <w:spacing w:after="40"/>
            </w:pPr>
            <w:r>
              <w:rPr>
                <w:sz w:val="17"/>
              </w:rPr>
              <w:t>No assessment database or history. API applies request/image size limits, input schema checks, sanitized errors, and security headers.</w:t>
            </w:r>
          </w:p>
        </w:tc>
      </w:tr>
    </w:tbl>
    <w:p>
      <w:pPr>
        <w:spacing w:after="20"/>
      </w:pPr>
    </w:p>
    <w:p>
      <w:pPr>
        <w:pStyle w:val="Heading1"/>
      </w:pPr>
      <w:r>
        <w:t>Datasets and model evidence</w:t>
      </w:r>
    </w:p>
    <w:p>
      <w:r>
        <w:t>The clinical model uses the local Z-Alizadeh Sani workbook (303 records) and 54 input features. The separate CADICA model was trained from selected angiography frames and annotation boxes. CADICA is described by its publisher as 42 patients with metadata.xlsx clinical data and patient-keyed video/frame folders. The official dataset page is https://data.mendeley.com/datasets/p9bpx9ctcv/1.</w:t>
      </w:r>
    </w:p>
    <w:tbl>
      <w:tblPr>
        <w:tblStyle w:val="LightShading-Accent1"/>
        <w:tblW w:type="auto" w:w="0"/>
        <w:jc w:val="center"/>
        <w:tblLook w:firstColumn="1" w:firstRow="1" w:lastColumn="0" w:lastRow="0" w:noHBand="0" w:noVBand="1" w:val="04A0"/>
      </w:tblPr>
      <w:tblGrid>
        <w:gridCol w:w="5083"/>
        <w:gridCol w:w="5083"/>
      </w:tblGrid>
      <w:tr>
        <w:tc>
          <w:tcPr>
            <w:tcW w:type="dxa" w:w="2232"/>
            <w:shd w:fill="DCEFEA"/>
          </w:tcPr>
          <w:p>
            <w:r>
              <w:rPr>
                <w:b/>
                <w:color w:val="000000"/>
              </w:rPr>
              <w:t>Branch / measure</w:t>
            </w:r>
          </w:p>
        </w:tc>
        <w:tc>
          <w:tcPr>
            <w:tcW w:type="dxa" w:w="7848"/>
            <w:shd w:fill="DCEFEA"/>
          </w:tcPr>
          <w:p>
            <w:r>
              <w:rPr>
                <w:b/>
                <w:color w:val="000000"/>
              </w:rPr>
              <w:t>Current recorded result</w:t>
            </w:r>
          </w:p>
        </w:tc>
      </w:tr>
      <w:tr>
        <w:tc>
          <w:tcPr>
            <w:tcW w:type="dxa" w:w="2232"/>
            <w:vAlign w:val="center"/>
          </w:tcPr>
          <w:p>
            <w:pPr>
              <w:spacing w:after="40"/>
            </w:pPr>
            <w:r>
              <w:rPr>
                <w:sz w:val="17"/>
              </w:rPr>
              <w:t>Tabular CAD holdout</w:t>
            </w:r>
          </w:p>
        </w:tc>
        <w:tc>
          <w:tcPr>
            <w:tcW w:type="dxa" w:w="7848"/>
            <w:vAlign w:val="center"/>
          </w:tcPr>
          <w:p>
            <w:pPr>
              <w:spacing w:after="40"/>
            </w:pPr>
            <w:r>
              <w:rPr>
                <w:sz w:val="17"/>
              </w:rPr>
              <w:t>84.2% accuracy; 87.9% ROC-AUC on 76 holdout records. Not clinical validation.</w:t>
            </w:r>
          </w:p>
        </w:tc>
      </w:tr>
      <w:tr>
        <w:tc>
          <w:tcPr>
            <w:tcW w:type="dxa" w:w="2232"/>
            <w:vAlign w:val="center"/>
          </w:tcPr>
          <w:p>
            <w:pPr>
              <w:spacing w:after="40"/>
            </w:pPr>
            <w:r>
              <w:rPr>
                <w:sz w:val="17"/>
              </w:rPr>
              <w:t>Tabular vessel holdout</w:t>
            </w:r>
          </w:p>
        </w:tc>
        <w:tc>
          <w:tcPr>
            <w:tcW w:type="dxa" w:w="7848"/>
            <w:vAlign w:val="center"/>
          </w:tcPr>
          <w:p>
            <w:pPr>
              <w:spacing w:after="40"/>
            </w:pPr>
            <w:r>
              <w:rPr>
                <w:sz w:val="17"/>
              </w:rPr>
              <w:t>LAD 83.9% AUC; LCX 69.4%; RCA 75.0%. LCX accuracy is near its majority-class baseline.</w:t>
            </w:r>
          </w:p>
        </w:tc>
      </w:tr>
      <w:tr>
        <w:tc>
          <w:tcPr>
            <w:tcW w:type="dxa" w:w="2232"/>
            <w:vAlign w:val="center"/>
          </w:tcPr>
          <w:p>
            <w:pPr>
              <w:spacing w:after="40"/>
            </w:pPr>
            <w:r>
              <w:rPr>
                <w:sz w:val="17"/>
              </w:rPr>
              <w:t>CADICA frame CV</w:t>
            </w:r>
          </w:p>
        </w:tc>
        <w:tc>
          <w:tcPr>
            <w:tcW w:type="dxa" w:w="7848"/>
            <w:vAlign w:val="center"/>
          </w:tcPr>
          <w:p>
            <w:pPr>
              <w:spacing w:after="40"/>
            </w:pPr>
            <w:r>
              <w:rPr>
                <w:sz w:val="17"/>
              </w:rPr>
              <w:t>6,126 selected frames; ROC-AUC 0.5266; balanced accuracy 0.4985 across patient-grouped folds.</w:t>
            </w:r>
          </w:p>
        </w:tc>
      </w:tr>
      <w:tr>
        <w:tc>
          <w:tcPr>
            <w:tcW w:type="dxa" w:w="2232"/>
            <w:vAlign w:val="center"/>
          </w:tcPr>
          <w:p>
            <w:pPr>
              <w:spacing w:after="40"/>
            </w:pPr>
            <w:r>
              <w:rPr>
                <w:sz w:val="17"/>
              </w:rPr>
              <w:t>CADICA patient result</w:t>
            </w:r>
          </w:p>
        </w:tc>
        <w:tc>
          <w:tcPr>
            <w:tcW w:type="dxa" w:w="7848"/>
            <w:vAlign w:val="center"/>
          </w:tcPr>
          <w:p>
            <w:pPr>
              <w:spacing w:after="40"/>
            </w:pPr>
            <w:r>
              <w:rPr>
                <w:sz w:val="17"/>
              </w:rPr>
              <w:t>Saved max-frame patient AUC 0.55. At threshold 0.5, all 42 cases are predicted positive; 76.2% accuracy reflects prevalence, not discrimination.</w:t>
            </w:r>
          </w:p>
        </w:tc>
      </w:tr>
    </w:tbl>
    <w:p>
      <w:pPr>
        <w:spacing w:after="20"/>
      </w:pPr>
    </w:p>
    <w:p>
      <w:pPr>
        <w:pStyle w:val="Heading1"/>
      </w:pPr>
      <w:r>
        <w:t>Data linkage and integrity</w:t>
      </w:r>
    </w:p>
    <w:p>
      <w:r>
        <w:t>The angiography trainer associates each selected frame with its exact parsed patient ID, archive path, and video-derived label, and keeps patients grouped during cross-validation. The metadata-to-label mapping now requires the expected columns and rejects missing, duplicate, invalid, or mismatched patient rows; absent labels can no longer silently become negative cases. Five synthetic-archive tests cover these conditions.</w:t>
      </w:r>
    </w:p>
    <w:p>
      <w:r>
        <w:t>The app does not yet provide an in-product CADICA patient selector or populate the clinical form from CADICA metadata. The local data folder contains the Z-Alizadeh workbook but not the CADICA archive. The 54 model inputs were trained on a different cohort; they must not be filled from similarly named CADICA fields without reviewing the exact metadata headers, definitions, units, and categories.</w:t>
      </w:r>
    </w:p>
    <w:p>
      <w:pPr>
        <w:pStyle w:val="Heading1"/>
      </w:pPr>
      <w:r>
        <w:t>Repeated calculations and visualization</w:t>
      </w:r>
    </w:p>
    <w:p>
      <w:r>
        <w:t>The anatomy scene is intentionally kept mounted. The heart component clones the loaded geometry once, owns its materials, and updates coronary material colors in place when probability values change. The previous code already depended on LAD/LCX/RCA probabilities for that update. The user-visible mismatch was that old results could remain displayed while inputs changed or a new request was pending. Inputs now invalidate/abort in-flight requests and clear prior estimates; a new calculation clears the previous display immediately. Request IDs prevent late responses from replacing a newer assessment.</w:t>
      </w:r>
    </w:p>
    <w:p>
      <w:r>
        <w:t>The existing heart mesh contains 87 meshes and about 317,000 drawn vertices. The project already uses physical materials, multi-directional lighting, responsive camera framing, touch rotation, and lazy loading. No replacement geometry was introduced.</w:t>
      </w:r>
    </w:p>
    <w:p>
      <w:pPr>
        <w:pStyle w:val="Heading1"/>
      </w:pPr>
      <w:r>
        <w:t>Changes in this update</w:t>
      </w:r>
    </w:p>
    <w:p>
      <w:pPr>
        <w:pStyle w:val="ListBullet"/>
        <w:spacing w:after="40"/>
      </w:pPr>
      <w:r>
        <w:t>Input edits cancel active prediction requests and clear prior clinical, imaging, and 3D risk state.</w:t>
      </w:r>
    </w:p>
    <w:p>
      <w:pPr>
        <w:pStyle w:val="ListBullet"/>
        <w:spacing w:after="40"/>
      </w:pPr>
      <w:r>
        <w:t>New calculations start with a clean result state; stale network responses are ignored, and the active request is aborted on unmount.</w:t>
      </w:r>
    </w:p>
    <w:p>
      <w:pPr>
        <w:pStyle w:val="ListBullet"/>
        <w:spacing w:after="40"/>
      </w:pPr>
      <w:r>
        <w:t>Image scores no longer fuse with clinical predictions without a verified same-patient identifier; the CAD estimate is unchanged by arbitrary uploads.</w:t>
      </w:r>
    </w:p>
    <w:p>
      <w:pPr>
        <w:pStyle w:val="ListBullet"/>
        <w:spacing w:after="40"/>
      </w:pPr>
      <w:r>
        <w:t>CADICA training now fails closed for missing, duplicated, malformed, or misaligned patient metadata labels.</w:t>
      </w:r>
    </w:p>
    <w:p>
      <w:pPr>
        <w:pStyle w:val="ListBullet"/>
        <w:spacing w:after="40"/>
      </w:pPr>
      <w:r>
        <w:t>The UI and architecture/model documentation now describe separate image scoring and the missing archive limitation.</w:t>
      </w:r>
    </w:p>
    <w:p>
      <w:pPr>
        <w:pStyle w:val="ListBullet"/>
        <w:spacing w:after="40"/>
      </w:pPr>
      <w:r>
        <w:t>The existing logo is an RGBA PNG with transparent pixels; no destructive logo processing was needed. The right-side body figure is already absent from the current source.</w:t>
      </w:r>
    </w:p>
    <w:p>
      <w:pPr>
        <w:pStyle w:val="Heading1"/>
      </w:pPr>
      <w:r>
        <w:t>Verification performed</w:t>
      </w:r>
    </w:p>
    <w:tbl>
      <w:tblPr>
        <w:tblStyle w:val="LightShading-Accent1"/>
        <w:tblW w:type="auto" w:w="0"/>
        <w:jc w:val="center"/>
        <w:tblLook w:firstColumn="1" w:firstRow="1" w:lastColumn="0" w:lastRow="0" w:noHBand="0" w:noVBand="1" w:val="04A0"/>
      </w:tblPr>
      <w:tblGrid>
        <w:gridCol w:w="5083"/>
        <w:gridCol w:w="5083"/>
      </w:tblGrid>
      <w:tr>
        <w:tc>
          <w:tcPr>
            <w:tcW w:type="dxa" w:w="2376"/>
            <w:shd w:fill="DCEFEA"/>
          </w:tcPr>
          <w:p>
            <w:r>
              <w:rPr>
                <w:b/>
                <w:color w:val="000000"/>
              </w:rPr>
              <w:t>Check</w:t>
            </w:r>
          </w:p>
        </w:tc>
        <w:tc>
          <w:tcPr>
            <w:tcW w:type="dxa" w:w="7704"/>
            <w:shd w:fill="DCEFEA"/>
          </w:tcPr>
          <w:p>
            <w:r>
              <w:rPr>
                <w:b/>
                <w:color w:val="000000"/>
              </w:rPr>
              <w:t>Result</w:t>
            </w:r>
          </w:p>
        </w:tc>
      </w:tr>
      <w:tr>
        <w:tc>
          <w:tcPr>
            <w:tcW w:type="dxa" w:w="2376"/>
            <w:vAlign w:val="center"/>
          </w:tcPr>
          <w:p>
            <w:pPr>
              <w:spacing w:after="40"/>
            </w:pPr>
            <w:r>
              <w:rPr>
                <w:sz w:val="17"/>
              </w:rPr>
              <w:t>Backend regression suite</w:t>
            </w:r>
          </w:p>
        </w:tc>
        <w:tc>
          <w:tcPr>
            <w:tcW w:type="dxa" w:w="7704"/>
            <w:vAlign w:val="center"/>
          </w:tcPr>
          <w:p>
            <w:pPr>
              <w:spacing w:after="40"/>
            </w:pPr>
            <w:r>
              <w:rPr>
                <w:sz w:val="17"/>
              </w:rPr>
              <w:t>38 tests passed, including API validation, image decoding, patient metadata integrity, and proof that an unlinked image does not change CAD.</w:t>
            </w:r>
          </w:p>
        </w:tc>
      </w:tr>
      <w:tr>
        <w:tc>
          <w:tcPr>
            <w:tcW w:type="dxa" w:w="2376"/>
            <w:vAlign w:val="center"/>
          </w:tcPr>
          <w:p>
            <w:pPr>
              <w:spacing w:after="40"/>
            </w:pPr>
            <w:r>
              <w:rPr>
                <w:sz w:val="17"/>
              </w:rPr>
              <w:t>Frontend production build</w:t>
            </w:r>
          </w:p>
        </w:tc>
        <w:tc>
          <w:tcPr>
            <w:tcW w:type="dxa" w:w="7704"/>
            <w:vAlign w:val="center"/>
          </w:tcPr>
          <w:p>
            <w:pPr>
              <w:spacing w:after="40"/>
            </w:pPr>
            <w:r>
              <w:rPr>
                <w:sz w:val="17"/>
              </w:rPr>
              <w:t>Passed; Vite transformed 2,177 modules.</w:t>
            </w:r>
          </w:p>
        </w:tc>
      </w:tr>
      <w:tr>
        <w:tc>
          <w:tcPr>
            <w:tcW w:type="dxa" w:w="2376"/>
            <w:vAlign w:val="center"/>
          </w:tcPr>
          <w:p>
            <w:pPr>
              <w:spacing w:after="40"/>
            </w:pPr>
            <w:r>
              <w:rPr>
                <w:sz w:val="17"/>
              </w:rPr>
              <w:t>3D framing script</w:t>
            </w:r>
          </w:p>
        </w:tc>
        <w:tc>
          <w:tcPr>
            <w:tcW w:type="dxa" w:w="7704"/>
            <w:vAlign w:val="center"/>
          </w:tcPr>
          <w:p>
            <w:pPr>
              <w:spacing w:after="40"/>
            </w:pPr>
            <w:r>
              <w:rPr>
                <w:sz w:val="17"/>
              </w:rPr>
              <w:t>Passed for 15 viewport shapes; model remained inside the frame.</w:t>
            </w:r>
          </w:p>
        </w:tc>
      </w:tr>
      <w:tr>
        <w:tc>
          <w:tcPr>
            <w:tcW w:type="dxa" w:w="2376"/>
            <w:vAlign w:val="center"/>
          </w:tcPr>
          <w:p>
            <w:pPr>
              <w:spacing w:after="40"/>
            </w:pPr>
            <w:r>
              <w:rPr>
                <w:sz w:val="17"/>
              </w:rPr>
              <w:t>Risk color scale script</w:t>
            </w:r>
          </w:p>
        </w:tc>
        <w:tc>
          <w:tcPr>
            <w:tcW w:type="dxa" w:w="7704"/>
            <w:vAlign w:val="center"/>
          </w:tcPr>
          <w:p>
            <w:pPr>
              <w:spacing w:after="40"/>
            </w:pPr>
            <w:r>
              <w:rPr>
                <w:sz w:val="17"/>
              </w:rPr>
              <w:t>Passed; risk colors match the continuous legend ramp.</w:t>
            </w:r>
          </w:p>
        </w:tc>
      </w:tr>
      <w:tr>
        <w:tc>
          <w:tcPr>
            <w:tcW w:type="dxa" w:w="2376"/>
            <w:vAlign w:val="center"/>
          </w:tcPr>
          <w:p>
            <w:pPr>
              <w:spacing w:after="40"/>
            </w:pPr>
            <w:r>
              <w:rPr>
                <w:sz w:val="17"/>
              </w:rPr>
              <w:t>Live browser workflow</w:t>
            </w:r>
          </w:p>
        </w:tc>
        <w:tc>
          <w:tcPr>
            <w:tcW w:type="dxa" w:w="7704"/>
            <w:vAlign w:val="center"/>
          </w:tcPr>
          <w:p>
            <w:pPr>
              <w:spacing w:after="40"/>
            </w:pPr>
            <w:r>
              <w:rPr>
                <w:sz w:val="17"/>
              </w:rPr>
              <w:t>Not exercised in an automated browser in this run. A/B/A visual state transitions should be manually confirmed in the running app.</w:t>
            </w:r>
          </w:p>
        </w:tc>
      </w:tr>
      <w:tr>
        <w:tc>
          <w:tcPr>
            <w:tcW w:type="dxa" w:w="2376"/>
            <w:vAlign w:val="center"/>
          </w:tcPr>
          <w:p>
            <w:pPr>
              <w:spacing w:after="40"/>
            </w:pPr>
            <w:r>
              <w:rPr>
                <w:sz w:val="17"/>
              </w:rPr>
              <w:t>CADICA full-archive audit</w:t>
            </w:r>
          </w:p>
        </w:tc>
        <w:tc>
          <w:tcPr>
            <w:tcW w:type="dxa" w:w="7704"/>
            <w:vAlign w:val="center"/>
          </w:tcPr>
          <w:p>
            <w:pPr>
              <w:spacing w:after="40"/>
            </w:pPr>
            <w:r>
              <w:rPr>
                <w:sz w:val="17"/>
              </w:rPr>
              <w:t>Not possible: the CADICA ZIP and metadata.xlsx are absent from the local data directory.</w:t>
            </w:r>
          </w:p>
        </w:tc>
      </w:tr>
    </w:tbl>
    <w:p>
      <w:pPr>
        <w:spacing w:after="20"/>
      </w:pPr>
    </w:p>
    <w:p>
      <w:pPr>
        <w:pStyle w:val="Heading1"/>
      </w:pPr>
      <w:r>
        <w:t>Remaining work</w:t>
      </w:r>
    </w:p>
    <w:p>
      <w:pPr>
        <w:pStyle w:val="ListBullet"/>
        <w:spacing w:after="40"/>
      </w:pPr>
      <w:r>
        <w:t>Provide the official CADICA archive so its actual workbook headers, patient IDs, clinical values, frame paths, and annotations can be audited locally.</w:t>
      </w:r>
    </w:p>
    <w:p>
      <w:pPr>
        <w:pStyle w:val="ListBullet"/>
        <w:spacing w:after="40"/>
      </w:pPr>
      <w:r>
        <w:t>Build and verify a patient catalog from the archive, then review each CADICA feature against the existing 54-feature model schema before any mapping or prediction use.</w:t>
      </w:r>
    </w:p>
    <w:p>
      <w:pPr>
        <w:pStyle w:val="ListBullet"/>
        <w:spacing w:after="40"/>
      </w:pPr>
      <w:r>
        <w:t>Add a patient-selection workflow only after the mapping is reviewed; link each selected frame to that same canonical patient ID and test A → B → C → A switching against real records.</w:t>
      </w:r>
    </w:p>
    <w:p>
      <w:pPr>
        <w:pStyle w:val="ListBullet"/>
        <w:spacing w:after="40"/>
      </w:pPr>
      <w:r>
        <w:t>Revisit imaging training and evaluation with patient-level aggregation and more data before considering any clinical/image score combination.</w:t>
      </w:r>
    </w:p>
    <w:p>
      <w:r>
        <w:t>AngioSight remains a research and education prototype. Its scores are not diagnosis, lesion localization, calibrated individual risk, or clinical validation.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0"/>
        <w:sz w:val="16"/>
      </w:rPr>
      <w:t>AngioSight  |  Project status  |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AngioSight Project Status</dc:title>
  <dc:subject>Current implementation, model evidence, and remaining CADICA dataset work</dc:subject>
  <dc:creator>AngioSight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