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第四代其实是第三代的加强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switch Framework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NewWeaver 7.0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以后推出的新增强体系，将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进行了改进，叫新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BADI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了。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还新增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Enhancement Spot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Enhancement Section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以及隐式增强点的概念，基本可以在面向对象的程序里实现处处皆可以增强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这类增强一般可以加在一个函数过程的开头和结尾的地方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包含发布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&amp;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订阅接口和处理接口，发布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&amp;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订阅接口（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Publish and Subscribe Interface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）用于告诉外部程序在标准程序中触发了哪些事件，并且把相关的数据提供给外部，外部程序不能返回任何数据给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，处理接口（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Process Interface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）会将外部程序处理后的数据返回给标准程序，可能对标准程序中后续的处理逻辑产生影响。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分为三种级别，内部事件、合作伙伴的事件和客户的事件，内部事件由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发布，合作伙伴事件由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软件开发伙伴提供，客户事件由实施顾问配置开发用于实现企业内部的特殊需求。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打开函数模块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BF_FUNCTIONS_FIND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并设置断点（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PC_FUNCTION_FIND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029450" cy="5229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cs="宋体"/>
          <w:szCs w:val="21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lastRenderedPageBreak/>
        <w:t>1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 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T-code: FIBF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 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进入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BTE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的界面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57800" cy="2286000"/>
            <wp:effectExtent l="1905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10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lastRenderedPageBreak/>
        <w:t>2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 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Environment-&gt;Infosystem(Processes)-&gt;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运行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-&gt;Process 00001120-&gt;Sample function module</w:t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752725" cy="838200"/>
            <wp:effectExtent l="19050" t="0" r="9525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72000" cy="1447800"/>
            <wp:effectExtent l="1905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38875" cy="3009900"/>
            <wp:effectExtent l="19050" t="0" r="9525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67350" cy="2924175"/>
            <wp:effectExtent l="19050" t="0" r="0" b="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10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10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cs="宋体"/>
          <w:color w:val="494949"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 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回到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FIFB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界面，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Settings-&gt;Products-&gt;...of customer-&gt;New Entries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加入自己的</w:t>
      </w:r>
      <w:r>
        <w:rPr>
          <w:rFonts w:ascii="宋体" w:eastAsia="宋体" w:cs="宋体"/>
          <w:b/>
          <w:bCs/>
          <w:color w:val="494949"/>
          <w:kern w:val="0"/>
          <w:szCs w:val="21"/>
          <w:lang w:val="zh-CN"/>
        </w:rPr>
        <w:t>product</w:t>
      </w:r>
      <w:r>
        <w:rPr>
          <w:rFonts w:ascii="宋体" w:eastAsia="宋体" w:cs="宋体" w:hint="eastAsia"/>
          <w:b/>
          <w:bCs/>
          <w:color w:val="494949"/>
          <w:kern w:val="0"/>
          <w:szCs w:val="21"/>
          <w:lang w:val="zh-CN"/>
        </w:rPr>
        <w:t>激活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4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81650" cy="1543050"/>
            <wp:effectExtent l="19050" t="0" r="0" b="0"/>
            <wp:docPr id="7" name="图片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71900" cy="1104900"/>
            <wp:effectExtent l="19050" t="0" r="0" b="0"/>
            <wp:docPr id="8" name="图片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10125" cy="873267"/>
            <wp:effectExtent l="19050" t="0" r="9525" b="0"/>
            <wp:docPr id="9" name="图片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7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40"/>
        <w:jc w:val="left"/>
        <w:rPr>
          <w:rFonts w:ascii="Calibri" w:eastAsia="宋体" w:hAnsi="Calibri" w:cs="Calibri"/>
          <w:szCs w:val="21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24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hAnsi="Calibri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91150" cy="23181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P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b/>
          <w:bCs/>
          <w:color w:val="494949"/>
          <w:kern w:val="0"/>
          <w:szCs w:val="21"/>
        </w:rPr>
      </w:pP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4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、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 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回到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FIFB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界面</w:t>
      </w:r>
      <w:r w:rsidRPr="005C1901">
        <w:rPr>
          <w:rFonts w:ascii="宋体" w:eastAsia="宋体" w:hAnsi="Calibri" w:cs="宋体" w:hint="eastAsia"/>
          <w:b/>
          <w:bCs/>
          <w:color w:val="494949"/>
          <w:kern w:val="0"/>
          <w:szCs w:val="21"/>
        </w:rPr>
        <w:t>，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Settings-&gt;Process Modules-&gt;... of customer-&gt;</w:t>
      </w:r>
    </w:p>
    <w:p w:rsidR="005C1901" w:rsidRP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</w:rPr>
      </w:pP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新建主键是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 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00001120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的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Process</w:t>
      </w:r>
      <w:r w:rsidRPr="005C1901">
        <w:rPr>
          <w:rFonts w:ascii="宋体" w:eastAsia="宋体" w:hAnsi="Calibri" w:cs="宋体" w:hint="eastAsia"/>
          <w:b/>
          <w:bCs/>
          <w:color w:val="494949"/>
          <w:kern w:val="0"/>
          <w:szCs w:val="21"/>
        </w:rPr>
        <w:t>，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并将刚才建立的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function module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和</w:t>
      </w:r>
      <w:r w:rsidRPr="005C1901">
        <w:rPr>
          <w:rFonts w:ascii="宋体" w:eastAsia="宋体" w:hAnsi="Calibri" w:cs="宋体"/>
          <w:b/>
          <w:bCs/>
          <w:color w:val="494949"/>
          <w:kern w:val="0"/>
          <w:szCs w:val="21"/>
        </w:rPr>
        <w:t>product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写到相应栏位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u w:val="single"/>
        </w:rPr>
      </w:pPr>
      <w:r>
        <w:rPr>
          <w:rFonts w:ascii="宋体" w:eastAsia="宋体" w:hAnsi="Calibri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52925" cy="1428537"/>
            <wp:effectExtent l="19050" t="0" r="9525" b="0"/>
            <wp:docPr id="11" name="图片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2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Calibri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hAnsi="Calibri" w:cs="宋体"/>
          <w:color w:val="494949"/>
          <w:kern w:val="0"/>
          <w:szCs w:val="21"/>
          <w:lang w:val="zh-CN"/>
        </w:rPr>
        <w:br/>
      </w:r>
      <w:r>
        <w:rPr>
          <w:rFonts w:ascii="宋体" w:eastAsia="宋体" w:hAnsi="Calibri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57800" cy="2066925"/>
            <wp:effectExtent l="19050" t="0" r="0" b="0"/>
            <wp:docPr id="12" name="图片 1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  <w:r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  <w:t> 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lang w:val="zh-CN"/>
        </w:rPr>
      </w:pPr>
      <w:r>
        <w:rPr>
          <w:rFonts w:ascii="宋体" w:eastAsia="宋体" w:hAnsi="Calibri" w:cs="宋体"/>
          <w:b/>
          <w:bCs/>
          <w:color w:val="494949"/>
          <w:kern w:val="0"/>
          <w:szCs w:val="21"/>
          <w:lang w:val="zh-CN"/>
        </w:rPr>
        <w:t xml:space="preserve">T-code BF34 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：</w:t>
      </w:r>
      <w:r>
        <w:rPr>
          <w:rFonts w:ascii="宋体" w:eastAsia="宋体" w:hAnsi="Calibri" w:cs="宋体"/>
          <w:b/>
          <w:bCs/>
          <w:color w:val="494949"/>
          <w:kern w:val="0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b/>
          <w:bCs/>
          <w:color w:val="494949"/>
          <w:kern w:val="0"/>
          <w:szCs w:val="21"/>
          <w:lang w:val="zh-CN"/>
        </w:rPr>
        <w:t>分配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  <w:r>
        <w:rPr>
          <w:rFonts w:ascii="宋体" w:eastAsia="宋体" w:hAnsi="Calibri" w:cs="宋体" w:hint="eastAsia"/>
          <w:color w:val="494949"/>
          <w:kern w:val="0"/>
          <w:szCs w:val="21"/>
          <w:u w:val="single"/>
          <w:lang w:val="zh-CN"/>
        </w:rPr>
        <w:t>之后，运行相应的过账程序，诸如</w:t>
      </w:r>
      <w:r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  <w:t>T-CODE VF01</w:t>
      </w:r>
      <w:r>
        <w:rPr>
          <w:rFonts w:ascii="宋体" w:eastAsia="宋体" w:hAnsi="Calibri" w:cs="宋体" w:hint="eastAsia"/>
          <w:color w:val="494949"/>
          <w:kern w:val="0"/>
          <w:szCs w:val="21"/>
          <w:u w:val="single"/>
          <w:lang w:val="zh-CN"/>
        </w:rPr>
        <w:t>或是</w:t>
      </w:r>
      <w:r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  <w:t>FB01</w:t>
      </w:r>
      <w:r>
        <w:rPr>
          <w:rFonts w:ascii="宋体" w:eastAsia="宋体" w:hAnsi="Calibri" w:cs="宋体" w:hint="eastAsia"/>
          <w:color w:val="494949"/>
          <w:kern w:val="0"/>
          <w:szCs w:val="21"/>
          <w:u w:val="single"/>
          <w:lang w:val="zh-CN"/>
        </w:rPr>
        <w:t>，生成财务凭证，察看凭证的</w:t>
      </w:r>
      <w:r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  <w:t>HEAD TEXT</w:t>
      </w:r>
      <w:r>
        <w:rPr>
          <w:rFonts w:ascii="宋体" w:eastAsia="宋体" w:hAnsi="Calibri" w:cs="宋体" w:hint="eastAsia"/>
          <w:color w:val="494949"/>
          <w:kern w:val="0"/>
          <w:szCs w:val="21"/>
          <w:u w:val="single"/>
          <w:lang w:val="zh-CN"/>
        </w:rPr>
        <w:t>是否被修改。</w:t>
      </w:r>
    </w:p>
    <w:p w:rsidR="005C1901" w:rsidRDefault="005C1901" w:rsidP="005C1901">
      <w:pPr>
        <w:keepNext/>
        <w:keepLines/>
        <w:suppressLineNumbers/>
        <w:autoSpaceDE w:val="0"/>
        <w:autoSpaceDN w:val="0"/>
        <w:adjustRightInd w:val="0"/>
        <w:spacing w:after="75" w:line="315" w:lineRule="atLeast"/>
        <w:jc w:val="left"/>
        <w:rPr>
          <w:rFonts w:ascii="宋体" w:eastAsia="宋体" w:hAnsi="Calibri" w:cs="宋体"/>
          <w:color w:val="494949"/>
          <w:kern w:val="0"/>
          <w:szCs w:val="21"/>
          <w:u w:val="single"/>
          <w:lang w:val="zh-CN"/>
        </w:rPr>
      </w:pP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一些相关的</w:t>
      </w:r>
      <w:r>
        <w:rPr>
          <w:rFonts w:ascii="宋体" w:eastAsia="宋体" w:hAnsi="Calibri" w:cs="宋体"/>
          <w:szCs w:val="21"/>
          <w:lang w:val="zh-CN"/>
        </w:rPr>
        <w:t>TCODE:</w:t>
      </w: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/>
          <w:szCs w:val="21"/>
          <w:lang w:val="zh-CN"/>
        </w:rPr>
        <w:t xml:space="preserve">FIBF  Maintenancetransaction BTE </w:t>
      </w: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/>
          <w:szCs w:val="21"/>
          <w:lang w:val="zh-CN"/>
        </w:rPr>
        <w:t xml:space="preserve">BERE Business EventRepository </w:t>
      </w: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/>
          <w:szCs w:val="21"/>
          <w:lang w:val="zh-CN"/>
        </w:rPr>
        <w:t xml:space="preserve">ERP BusinessProcesses </w:t>
      </w: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/>
          <w:szCs w:val="21"/>
          <w:lang w:val="zh-CN"/>
        </w:rPr>
        <w:t xml:space="preserve">BF31 Application modulesper Event </w:t>
      </w:r>
    </w:p>
    <w:p w:rsid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Calibri" w:cs="宋体"/>
          <w:szCs w:val="21"/>
          <w:lang w:val="zh-CN"/>
        </w:rPr>
        <w:t xml:space="preserve">BF32 Partner Modules perEvent </w:t>
      </w:r>
    </w:p>
    <w:p w:rsidR="005C1901" w:rsidRP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</w:rPr>
      </w:pPr>
      <w:r w:rsidRPr="005C1901">
        <w:rPr>
          <w:rFonts w:ascii="宋体" w:eastAsia="宋体" w:hAnsi="Calibri" w:cs="宋体"/>
          <w:szCs w:val="21"/>
        </w:rPr>
        <w:t xml:space="preserve">BF34 Customer Modules perEvent </w:t>
      </w:r>
    </w:p>
    <w:p w:rsidR="005C1901" w:rsidRP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</w:rPr>
      </w:pPr>
      <w:r w:rsidRPr="005C1901">
        <w:rPr>
          <w:rFonts w:ascii="宋体" w:eastAsia="宋体" w:hAnsi="Calibri" w:cs="宋体"/>
          <w:szCs w:val="21"/>
        </w:rPr>
        <w:t xml:space="preserve">BF41 Application Modulesper Process </w:t>
      </w:r>
    </w:p>
    <w:p w:rsidR="005C1901" w:rsidRP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</w:rPr>
      </w:pPr>
      <w:r w:rsidRPr="005C1901">
        <w:rPr>
          <w:rFonts w:ascii="宋体" w:eastAsia="宋体" w:hAnsi="Calibri" w:cs="宋体"/>
          <w:szCs w:val="21"/>
        </w:rPr>
        <w:t xml:space="preserve">BF42 Partner Modules perProcess </w:t>
      </w:r>
    </w:p>
    <w:p w:rsidR="005C1901" w:rsidRPr="005C1901" w:rsidRDefault="005C1901" w:rsidP="005C1901">
      <w:pPr>
        <w:autoSpaceDE w:val="0"/>
        <w:autoSpaceDN w:val="0"/>
        <w:adjustRightInd w:val="0"/>
        <w:rPr>
          <w:rFonts w:ascii="宋体" w:eastAsia="宋体" w:hAnsi="Calibri" w:cs="宋体"/>
          <w:szCs w:val="21"/>
          <w:u w:val="single"/>
        </w:rPr>
      </w:pPr>
      <w:r w:rsidRPr="005C1901">
        <w:rPr>
          <w:rFonts w:ascii="宋体" w:eastAsia="宋体" w:hAnsi="Calibri" w:cs="宋体"/>
          <w:szCs w:val="21"/>
        </w:rPr>
        <w:t>BF44 Customer Modules perProcess</w:t>
      </w:r>
    </w:p>
    <w:p w:rsidR="005C1901" w:rsidRPr="005C1901" w:rsidRDefault="005C1901" w:rsidP="005C190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0"/>
          <w:szCs w:val="20"/>
          <w:u w:val="single"/>
        </w:rPr>
      </w:pPr>
    </w:p>
    <w:p w:rsidR="00C57991" w:rsidRPr="005C1901" w:rsidRDefault="00C57991"/>
    <w:sectPr w:rsidR="00C57991" w:rsidRPr="005C1901" w:rsidSect="00C37B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91" w:rsidRDefault="00C57991" w:rsidP="005C1901">
      <w:r>
        <w:separator/>
      </w:r>
    </w:p>
  </w:endnote>
  <w:endnote w:type="continuationSeparator" w:id="1">
    <w:p w:rsidR="00C57991" w:rsidRDefault="00C57991" w:rsidP="005C1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91" w:rsidRDefault="00C57991" w:rsidP="005C1901">
      <w:r>
        <w:separator/>
      </w:r>
    </w:p>
  </w:footnote>
  <w:footnote w:type="continuationSeparator" w:id="1">
    <w:p w:rsidR="00C57991" w:rsidRDefault="00C57991" w:rsidP="005C19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901"/>
    <w:rsid w:val="005C1901"/>
    <w:rsid w:val="00C5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9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9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9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://photo.blog.sina.com.cn/showpic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2020-05-18T00:22:00Z</dcterms:created>
  <dcterms:modified xsi:type="dcterms:W3CDTF">2020-05-18T00:23:00Z</dcterms:modified>
</cp:coreProperties>
</file>