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jc w:val="center"/>
      </w:pPr>
      <w:r>
        <w:rPr>
          <w:b/>
          <w:bCs/>
          <w:color w:val="0d6efd"/>
          <w:sz w:val="30"/>
          <w:szCs w:val="30"/>
        </w:rPr>
        <w:t xml:space="preserve">PROCIVBES RADIO TEAM TOOL</w:t>
      </w:r>
    </w:p>
    <w:p>
      <w:pPr>
        <w:spacing w:after="200"/>
      </w:pPr>
    </w:p>
    <w:p>
      <w:pPr>
        <w:jc w:val="center"/>
      </w:pPr>
      <w:r>
        <w:rPr>
          <w:b/>
          <w:bCs/>
          <w:color w:val="1a2e44"/>
          <w:sz w:val="64"/>
          <w:szCs w:val="64"/>
        </w:rPr>
        <w:t xml:space="preserve">Manuale Utente</w:t>
      </w:r>
    </w:p>
    <w:p>
      <w:pPr>
        <w:spacing w:after="120"/>
      </w:pPr>
    </w:p>
    <w:p>
      <w:pPr>
        <w:jc w:val="center"/>
      </w:pPr>
      <w:r>
        <w:rPr>
          <w:color w:val="555555"/>
          <w:sz w:val="26"/>
          <w:szCs w:val="26"/>
        </w:rPr>
        <w:t xml:space="preserve">Registro Comunicazioni Radio  ·  Chat  ·  TLC Point</w:t>
      </w:r>
    </w:p>
    <w:p>
      <w:pPr>
        <w:spacing w:before="3600"/>
      </w:pPr>
    </w:p>
    <w:p>
      <w:pPr>
        <w:pBdr>
          <w:top w:val="single" w:color="1a2e44" w:sz="6" w:space="8"/>
        </w:pBdr>
        <w:jc w:val="center"/>
      </w:pPr>
    </w:p>
    <w:p>
      <w:pPr>
        <w:spacing w:after="80"/>
      </w:pPr>
    </w:p>
    <w:p>
      <w:pPr>
        <w:jc w:val="center"/>
      </w:pPr>
      <w:r>
        <w:rPr>
          <w:color w:val="777777"/>
          <w:sz w:val="20"/>
          <w:szCs w:val="20"/>
        </w:rPr>
        <w:t xml:space="preserve">Versione documento: 1.0</w:t>
      </w:r>
    </w:p>
    <w:p>
      <w:pPr>
        <w:jc w:val="center"/>
      </w:pPr>
      <w:r>
        <w:rPr>
          <w:color w:val="777777"/>
          <w:sz w:val="20"/>
          <w:szCs w:val="20"/>
        </w:rPr>
        <w:t xml:space="preserve">Colonna Mobile Provinciale Modulo TLC</w:t>
      </w:r>
    </w:p>
    <w:p>
      <w:pPr>
        <w:sectPr>
          <w:pgSz w:w="11906" w:h="16838" w:orient="portrait"/>
          <w:pgMar w:top="1440" w:right="1440" w:bottom="1440" w:left="1440" w:header="708" w:footer="708" w:gutter="0"/>
          <w:pgNumType/>
          <w:docGrid w:linePitch="360"/>
        </w:sectPr>
      </w:pPr>
    </w:p>
    <w:p>
      <w:pPr>
        <w:pStyle w:val="Heading1"/>
        <w:spacing w:after="240" w:before="480"/>
      </w:pPr>
      <w:bookmarkStart w:id="1"/>
      <w:r>
        <w:t xml:space="preserve">Indice</w:t>
      </w:r>
      <w:bookmarkEnd w:id="1"/>
    </w:p>
    <w:p>
      <w:pPr>
        <w:spacing w:after="100"/>
        <w:ind w:left="0"/>
      </w:pPr>
      <w:hyperlink w:history="1" w:anchor="chap1">
        <w:r>
          <w:rPr>
            <w:b/>
            <w:bCs/>
            <w:color w:val="0d6efd"/>
            <w:sz w:val="24"/>
            <w:szCs w:val="24"/>
          </w:rPr>
          <w:t xml:space="preserve">1. Introduzione</w:t>
        </w:r>
      </w:hyperlink>
    </w:p>
    <w:p>
      <w:pPr>
        <w:spacing w:after="100"/>
        <w:ind w:left="0"/>
      </w:pPr>
      <w:hyperlink w:history="1" w:anchor="chap2">
        <w:r>
          <w:rPr>
            <w:b/>
            <w:bCs/>
            <w:color w:val="0d6efd"/>
            <w:sz w:val="24"/>
            <w:szCs w:val="24"/>
          </w:rPr>
          <w:t xml:space="preserve">2. Primo avvio</w:t>
        </w:r>
      </w:hyperlink>
    </w:p>
    <w:p>
      <w:pPr>
        <w:spacing w:after="60"/>
        <w:ind w:left="340"/>
      </w:pPr>
      <w:hyperlink w:history="1" w:anchor="sec1">
        <w:r>
          <w:rPr>
            <w:b w:val="false"/>
            <w:bCs w:val="false"/>
            <w:color w:val="0d6efd"/>
            <w:sz w:val="21"/>
            <w:szCs w:val="21"/>
          </w:rPr>
          <w:t xml:space="preserve">2.1 Schermata iniziale (splash screen)</w:t>
        </w:r>
      </w:hyperlink>
    </w:p>
    <w:p>
      <w:pPr>
        <w:spacing w:after="60"/>
        <w:ind w:left="340"/>
      </w:pPr>
      <w:hyperlink w:history="1" w:anchor="sec2">
        <w:r>
          <w:rPr>
            <w:b w:val="false"/>
            <w:bCs w:val="false"/>
            <w:color w:val="0d6efd"/>
            <w:sz w:val="21"/>
            <w:szCs w:val="21"/>
          </w:rPr>
          <w:t xml:space="preserve">2.2 Selezione della cartella di salvataggio</w:t>
        </w:r>
      </w:hyperlink>
    </w:p>
    <w:p>
      <w:pPr>
        <w:spacing w:after="100"/>
        <w:ind w:left="0"/>
      </w:pPr>
      <w:hyperlink w:history="1" w:anchor="chap3">
        <w:r>
          <w:rPr>
            <w:b/>
            <w:bCs/>
            <w:color w:val="0d6efd"/>
            <w:sz w:val="24"/>
            <w:szCs w:val="24"/>
          </w:rPr>
          <w:t xml:space="preserve">3. Scheda "Log Comunicazioni"</w:t>
        </w:r>
      </w:hyperlink>
    </w:p>
    <w:p>
      <w:pPr>
        <w:spacing w:after="60"/>
        <w:ind w:left="340"/>
      </w:pPr>
      <w:hyperlink w:history="1" w:anchor="sec3">
        <w:r>
          <w:rPr>
            <w:b w:val="false"/>
            <w:bCs w:val="false"/>
            <w:color w:val="0d6efd"/>
            <w:sz w:val="21"/>
            <w:szCs w:val="21"/>
          </w:rPr>
          <w:t xml:space="preserve">3.1 Registrare una comunicazione</w:t>
        </w:r>
      </w:hyperlink>
    </w:p>
    <w:p>
      <w:pPr>
        <w:spacing w:after="60"/>
        <w:ind w:left="340"/>
      </w:pPr>
      <w:hyperlink w:history="1" w:anchor="sec4">
        <w:r>
          <w:rPr>
            <w:b w:val="false"/>
            <w:bCs w:val="false"/>
            <w:color w:val="0d6efd"/>
            <w:sz w:val="21"/>
            <w:szCs w:val="21"/>
          </w:rPr>
          <w:t xml:space="preserve">3.2 Generare il report</w:t>
        </w:r>
      </w:hyperlink>
    </w:p>
    <w:p>
      <w:pPr>
        <w:spacing w:after="60"/>
        <w:ind w:left="340"/>
      </w:pPr>
      <w:hyperlink w:history="1" w:anchor="sec5">
        <w:r>
          <w:rPr>
            <w:b w:val="false"/>
            <w:bCs w:val="false"/>
            <w:color w:val="0d6efd"/>
            <w:sz w:val="21"/>
            <w:szCs w:val="21"/>
          </w:rPr>
          <w:t xml:space="preserve">3.3 Chat con il remoto</w:t>
        </w:r>
      </w:hyperlink>
    </w:p>
    <w:p>
      <w:pPr>
        <w:spacing w:after="60"/>
        <w:ind w:left="340"/>
      </w:pPr>
      <w:hyperlink w:history="1" w:anchor="sec6">
        <w:r>
          <w:rPr>
            <w:b w:val="false"/>
            <w:bCs w:val="false"/>
            <w:color w:val="0d6efd"/>
            <w:sz w:val="21"/>
            <w:szCs w:val="21"/>
          </w:rPr>
          <w:t xml:space="preserve">3.4 Cambio lingua</w:t>
        </w:r>
      </w:hyperlink>
    </w:p>
    <w:p>
      <w:pPr>
        <w:spacing w:after="100"/>
        <w:ind w:left="0"/>
      </w:pPr>
      <w:hyperlink w:history="1" w:anchor="chap4">
        <w:r>
          <w:rPr>
            <w:b/>
            <w:bCs/>
            <w:color w:val="0d6efd"/>
            <w:sz w:val="24"/>
            <w:szCs w:val="24"/>
          </w:rPr>
          <w:t xml:space="preserve">4. Dashboard Web (accesso da smartphone o altro PC)</w:t>
        </w:r>
      </w:hyperlink>
    </w:p>
    <w:p>
      <w:pPr>
        <w:spacing w:after="60"/>
        <w:ind w:left="340"/>
      </w:pPr>
      <w:hyperlink w:history="1" w:anchor="sec7">
        <w:r>
          <w:rPr>
            <w:b w:val="false"/>
            <w:bCs w:val="false"/>
            <w:color w:val="0d6efd"/>
            <w:sz w:val="21"/>
            <w:szCs w:val="21"/>
          </w:rPr>
          <w:t xml:space="preserve">4.1 Attivazione</w:t>
        </w:r>
      </w:hyperlink>
    </w:p>
    <w:p>
      <w:pPr>
        <w:spacing w:after="60"/>
        <w:ind w:left="340"/>
      </w:pPr>
      <w:hyperlink w:history="1" w:anchor="sec8">
        <w:r>
          <w:rPr>
            <w:b w:val="false"/>
            <w:bCs w:val="false"/>
            <w:color w:val="0d6efd"/>
            <w:sz w:val="21"/>
            <w:szCs w:val="21"/>
          </w:rPr>
          <w:t xml:space="preserve">4.2 Requisiti per il collegamento da smartphone</w:t>
        </w:r>
      </w:hyperlink>
    </w:p>
    <w:p>
      <w:pPr>
        <w:spacing w:after="60"/>
        <w:ind w:left="340"/>
      </w:pPr>
      <w:hyperlink w:history="1" w:anchor="sec9">
        <w:r>
          <w:rPr>
            <w:b w:val="false"/>
            <w:bCs w:val="false"/>
            <w:color w:val="0d6efd"/>
            <w:sz w:val="21"/>
            <w:szCs w:val="21"/>
          </w:rPr>
          <w:t xml:space="preserve">4.3 Sezioni della dashboard</w:t>
        </w:r>
      </w:hyperlink>
    </w:p>
    <w:p>
      <w:pPr>
        <w:spacing w:after="100"/>
        <w:ind w:left="0"/>
      </w:pPr>
      <w:hyperlink w:history="1" w:anchor="chap5">
        <w:r>
          <w:rPr>
            <w:b/>
            <w:bCs/>
            <w:color w:val="0d6efd"/>
            <w:sz w:val="24"/>
            <w:szCs w:val="24"/>
          </w:rPr>
          <w:t xml:space="preserve">5. Scheda "TLC Point" — gestione apparati radio</w:t>
        </w:r>
      </w:hyperlink>
    </w:p>
    <w:p>
      <w:pPr>
        <w:spacing w:after="60"/>
        <w:ind w:left="340"/>
      </w:pPr>
      <w:hyperlink w:history="1" w:anchor="sec10">
        <w:r>
          <w:rPr>
            <w:b w:val="false"/>
            <w:bCs w:val="false"/>
            <w:color w:val="0d6efd"/>
            <w:sz w:val="21"/>
            <w:szCs w:val="21"/>
          </w:rPr>
          <w:t xml:space="preserve">5.1 Panoramica della schermata</w:t>
        </w:r>
      </w:hyperlink>
    </w:p>
    <w:p>
      <w:pPr>
        <w:spacing w:after="60"/>
        <w:ind w:left="340"/>
      </w:pPr>
      <w:hyperlink w:history="1" w:anchor="sec11">
        <w:r>
          <w:rPr>
            <w:b w:val="false"/>
            <w:bCs w:val="false"/>
            <w:color w:val="0d6efd"/>
            <w:sz w:val="21"/>
            <w:szCs w:val="21"/>
          </w:rPr>
          <w:t xml:space="preserve">5.2 Registrare un nuovo apparato</w:t>
        </w:r>
      </w:hyperlink>
    </w:p>
    <w:p>
      <w:pPr>
        <w:spacing w:after="60"/>
        <w:ind w:left="340"/>
      </w:pPr>
      <w:hyperlink w:history="1" w:anchor="sec12">
        <w:r>
          <w:rPr>
            <w:b w:val="false"/>
            <w:bCs w:val="false"/>
            <w:color w:val="0d6efd"/>
            <w:sz w:val="21"/>
            <w:szCs w:val="21"/>
          </w:rPr>
          <w:t xml:space="preserve">5.3 Assegnare un apparato (Carico) e l'alias di missione</w:t>
        </w:r>
      </w:hyperlink>
    </w:p>
    <w:p>
      <w:pPr>
        <w:spacing w:after="60"/>
        <w:ind w:left="340"/>
      </w:pPr>
      <w:hyperlink w:history="1" w:anchor="sec13">
        <w:r>
          <w:rPr>
            <w:b w:val="false"/>
            <w:bCs w:val="false"/>
            <w:color w:val="0d6efd"/>
            <w:sz w:val="21"/>
            <w:szCs w:val="21"/>
          </w:rPr>
          <w:t xml:space="preserve">5.4 Restituire un apparato (Scarico)</w:t>
        </w:r>
      </w:hyperlink>
    </w:p>
    <w:p>
      <w:pPr>
        <w:spacing w:after="60"/>
        <w:ind w:left="340"/>
      </w:pPr>
      <w:hyperlink w:history="1" w:anchor="sec14">
        <w:r>
          <w:rPr>
            <w:b w:val="false"/>
            <w:bCs w:val="false"/>
            <w:color w:val="0d6efd"/>
            <w:sz w:val="21"/>
            <w:szCs w:val="21"/>
          </w:rPr>
          <w:t xml:space="preserve">5.5 Cercare un apparato nell'elenco</w:t>
        </w:r>
      </w:hyperlink>
    </w:p>
    <w:p>
      <w:pPr>
        <w:spacing w:after="60"/>
        <w:ind w:left="340"/>
      </w:pPr>
      <w:hyperlink w:history="1" w:anchor="sec15">
        <w:r>
          <w:rPr>
            <w:b w:val="false"/>
            <w:bCs w:val="false"/>
            <w:color w:val="0d6efd"/>
            <w:sz w:val="21"/>
            <w:szCs w:val="21"/>
          </w:rPr>
          <w:t xml:space="preserve">5.6 Storico movimenti</w:t>
        </w:r>
      </w:hyperlink>
    </w:p>
    <w:p>
      <w:pPr>
        <w:spacing w:after="60"/>
        <w:ind w:left="340"/>
      </w:pPr>
      <w:hyperlink w:history="1" w:anchor="sec16">
        <w:r>
          <w:rPr>
            <w:b w:val="false"/>
            <w:bCs w:val="false"/>
            <w:color w:val="0d6efd"/>
            <w:sz w:val="21"/>
            <w:szCs w:val="21"/>
          </w:rPr>
          <w:t xml:space="preserve">5.7 Generare i codici QR</w:t>
        </w:r>
      </w:hyperlink>
    </w:p>
    <w:p>
      <w:pPr>
        <w:spacing w:after="60"/>
        <w:ind w:left="340"/>
      </w:pPr>
      <w:hyperlink w:history="1" w:anchor="sec17">
        <w:r>
          <w:rPr>
            <w:b w:val="false"/>
            <w:bCs w:val="false"/>
            <w:color w:val="0d6efd"/>
            <w:sz w:val="21"/>
            <w:szCs w:val="21"/>
          </w:rPr>
          <w:t xml:space="preserve">5.8 Report assegnazioni</w:t>
        </w:r>
      </w:hyperlink>
    </w:p>
    <w:p>
      <w:pPr>
        <w:spacing w:after="60"/>
        <w:ind w:left="340"/>
      </w:pPr>
      <w:hyperlink w:history="1" w:anchor="sec18">
        <w:r>
          <w:rPr>
            <w:b w:val="false"/>
            <w:bCs w:val="false"/>
            <w:color w:val="0d6efd"/>
            <w:sz w:val="21"/>
            <w:szCs w:val="21"/>
          </w:rPr>
          <w:t xml:space="preserve">5.9 Report log TLC Point</w:t>
        </w:r>
      </w:hyperlink>
    </w:p>
    <w:p>
      <w:pPr>
        <w:spacing w:after="60"/>
        <w:ind w:left="340"/>
      </w:pPr>
      <w:hyperlink w:history="1" w:anchor="sec19">
        <w:r>
          <w:rPr>
            <w:b w:val="false"/>
            <w:bCs w:val="false"/>
            <w:color w:val="0d6efd"/>
            <w:sz w:val="21"/>
            <w:szCs w:val="21"/>
          </w:rPr>
          <w:t xml:space="preserve">5.10 Correggere i codici ("Correggi codici")</w:t>
        </w:r>
      </w:hyperlink>
    </w:p>
    <w:p>
      <w:pPr>
        <w:spacing w:after="60"/>
        <w:ind w:left="340"/>
      </w:pPr>
      <w:hyperlink w:history="1" w:anchor="sec20">
        <w:r>
          <w:rPr>
            <w:b w:val="false"/>
            <w:bCs w:val="false"/>
            <w:color w:val="0d6efd"/>
            <w:sz w:val="21"/>
            <w:szCs w:val="21"/>
          </w:rPr>
          <w:t xml:space="preserve">5.11 Ricaricare il database</w:t>
        </w:r>
      </w:hyperlink>
    </w:p>
    <w:p>
      <w:pPr>
        <w:spacing w:after="100"/>
        <w:ind w:left="0"/>
      </w:pPr>
      <w:hyperlink w:history="1" w:anchor="chap6">
        <w:r>
          <w:rPr>
            <w:b/>
            <w:bCs/>
            <w:color w:val="0d6efd"/>
            <w:sz w:val="24"/>
            <w:szCs w:val="24"/>
          </w:rPr>
          <w:t xml:space="preserve">6. File e cartelle generate dall'applicazione</w:t>
        </w:r>
      </w:hyperlink>
    </w:p>
    <w:p>
      <w:pPr>
        <w:spacing w:after="100"/>
        <w:ind w:left="0"/>
      </w:pPr>
      <w:hyperlink w:history="1" w:anchor="chap7">
        <w:r>
          <w:rPr>
            <w:b/>
            <w:bCs/>
            <w:color w:val="0d6efd"/>
            <w:sz w:val="24"/>
            <w:szCs w:val="24"/>
          </w:rPr>
          <w:t xml:space="preserve">7. Configurazione (file configurator.txt)</w:t>
        </w:r>
      </w:hyperlink>
    </w:p>
    <w:p>
      <w:pPr>
        <w:spacing w:after="100"/>
        <w:ind w:left="0"/>
      </w:pPr>
      <w:hyperlink w:history="1" w:anchor="chap8">
        <w:r>
          <w:rPr>
            <w:b/>
            <w:bCs/>
            <w:color w:val="0d6efd"/>
            <w:sz w:val="24"/>
            <w:szCs w:val="24"/>
          </w:rPr>
          <w:t xml:space="preserve">8. Risoluzione dei problemi più comuni</w:t>
        </w:r>
      </w:hyperlink>
    </w:p>
    <w:p>
      <w:pPr>
        <w:spacing w:after="60"/>
        <w:ind w:left="340"/>
      </w:pPr>
      <w:hyperlink w:history="1" w:anchor="sec21">
        <w:r>
          <w:rPr>
            <w:b w:val="false"/>
            <w:bCs w:val="false"/>
            <w:color w:val="0d6efd"/>
            <w:sz w:val="21"/>
            <w:szCs w:val="21"/>
          </w:rPr>
          <w:t xml:space="preserve">8.1 Lo scanner legge un codice ma l'apparato non viene trovato</w:t>
        </w:r>
      </w:hyperlink>
    </w:p>
    <w:p>
      <w:pPr>
        <w:spacing w:after="60"/>
        <w:ind w:left="340"/>
      </w:pPr>
      <w:hyperlink w:history="1" w:anchor="sec22">
        <w:r>
          <w:rPr>
            <w:b w:val="false"/>
            <w:bCs w:val="false"/>
            <w:color w:val="0d6efd"/>
            <w:sz w:val="21"/>
            <w:szCs w:val="21"/>
          </w:rPr>
          <w:t xml:space="preserve">8.2 Non riesco ad aprire la dashboard dal telefono</w:t>
        </w:r>
      </w:hyperlink>
    </w:p>
    <w:p>
      <w:pPr>
        <w:spacing w:after="60"/>
        <w:ind w:left="340"/>
      </w:pPr>
      <w:hyperlink w:history="1" w:anchor="sec23">
        <w:r>
          <w:rPr>
            <w:b w:val="false"/>
            <w:bCs w:val="false"/>
            <w:color w:val="0d6efd"/>
            <w:sz w:val="21"/>
            <w:szCs w:val="21"/>
          </w:rPr>
          <w:t xml:space="preserve">8.3 Invio di un messaggio in chat senza effetto apparente</w:t>
        </w:r>
      </w:hyperlink>
    </w:p>
    <w:p>
      <w:pPr>
        <w:spacing w:after="60"/>
        <w:ind w:left="340"/>
      </w:pPr>
      <w:hyperlink w:history="1" w:anchor="sec24">
        <w:r>
          <w:rPr>
            <w:b w:val="false"/>
            <w:bCs w:val="false"/>
            <w:color w:val="0d6efd"/>
            <w:sz w:val="21"/>
            <w:szCs w:val="21"/>
          </w:rPr>
          <w:t xml:space="preserve">8.4 Genera QR non funziona</w:t>
        </w:r>
      </w:hyperlink>
    </w:p>
    <w:p>
      <w:pPr>
        <w:spacing w:after="60"/>
        <w:ind w:left="340"/>
      </w:pPr>
      <w:hyperlink w:history="1" w:anchor="sec25">
        <w:r>
          <w:rPr>
            <w:b w:val="false"/>
            <w:bCs w:val="false"/>
            <w:color w:val="0d6efd"/>
            <w:sz w:val="21"/>
            <w:szCs w:val="21"/>
          </w:rPr>
          <w:t xml:space="preserve">8.5 Il report non include tutte le comunicazioni/apparati attesi</w:t>
        </w:r>
      </w:hyperlink>
    </w:p>
    <w:p>
      <w:pPr>
        <w:sectPr>
          <w:pgSz w:w="11906" w:h="16838" w:orient="portrait"/>
          <w:pgMar w:top="1440" w:right="1440" w:bottom="1440" w:left="1440" w:header="708" w:footer="708" w:gutter="0"/>
          <w:pgNumType/>
          <w:docGrid w:linePitch="360"/>
        </w:sectPr>
      </w:pPr>
    </w:p>
    <w:p>
      <w:pPr>
        <w:pStyle w:val="Heading1"/>
        <w:spacing w:after="240" w:before="480"/>
      </w:pPr>
      <w:bookmarkStart w:name="chap1" w:id="1"/>
      <w:r>
        <w:t xml:space="preserve">1. Introduzione</w:t>
      </w:r>
      <w:bookmarkEnd w:id="1"/>
    </w:p>
    <w:p>
      <w:pPr>
        <w:spacing w:after="160" w:line="276"/>
      </w:pPr>
      <w:r>
        <w:t xml:space="preserve">Questa applicazione supporta il team TLC durante le missioni operative, offrendo tre strumenti integrati in un'unica interfaccia:</w:t>
      </w:r>
    </w:p>
    <w:p>
      <w:pPr>
        <w:pStyle w:val="ListParagraph"/>
        <w:numPr>
          <w:ilvl w:val="0"/>
          <w:numId w:val="1"/>
        </w:numPr>
        <w:spacing w:after="90" w:line="276"/>
      </w:pPr>
      <w:r>
        <w:t xml:space="preserve">Log Comunicazioni — registrazione strutturata delle comunicazioni radio, con generazione di report ufficiali in PDF e Excel.</w:t>
      </w:r>
    </w:p>
    <w:p>
      <w:pPr>
        <w:pStyle w:val="ListParagraph"/>
        <w:numPr>
          <w:ilvl w:val="0"/>
          <w:numId w:val="1"/>
        </w:numPr>
        <w:spacing w:after="90" w:line="276"/>
      </w:pPr>
      <w:r>
        <w:t xml:space="preserve">Chat — canale di messaggistica a due vie tra l'operatore alla postazione e chi è collegato da remoto tramite browser.</w:t>
      </w:r>
    </w:p>
    <w:p>
      <w:pPr>
        <w:pStyle w:val="ListParagraph"/>
        <w:numPr>
          <w:ilvl w:val="0"/>
          <w:numId w:val="1"/>
        </w:numPr>
        <w:spacing w:after="90" w:line="276"/>
      </w:pPr>
      <w:r>
        <w:t xml:space="preserve">TLC Point — gestione del carico/scarico degli apparati radio: chi ha cosa, quando, e con quale nominativo di missione.</w:t>
      </w:r>
    </w:p>
    <w:p>
      <w:pPr>
        <w:spacing w:after="160" w:line="276"/>
      </w:pPr>
      <w:r>
        <w:t xml:space="preserve">Tutti i dati restano in locale: l'applicazione non dipende da alcun servizio cloud esterno. La condivisione con altri dispositivi (es. smartphone) avviene solo all'interno della rete locale (LAN/Wi-Fi), tramite una piccola dashboard web integrata.</w:t>
      </w:r>
    </w:p>
    <w:tbl>
      <w:tblPr>
        <w:tblW w:type="dxa" w:w="9026"/>
        <w:tblBorders>
          <w:top w:val="single" w:color="0d6efd" w:sz="4"/>
          <w:left w:val="single" w:color="0d6efd" w:sz="4"/>
          <w:bottom w:val="single" w:color="0d6efd" w:sz="4"/>
          <w:right w:val="single" w:color="0d6efd" w:sz="4"/>
          <w:insideH w:val="single" w:color="auto" w:sz="4"/>
          <w:insideV w:val="single" w:color="auto" w:sz="4"/>
        </w:tblBorders>
      </w:tblPr>
      <w:tblGrid>
        <w:gridCol w:w="9026"/>
      </w:tblGrid>
      <w:tr>
        <w:tc>
          <w:tcPr>
            <w:tcW w:type="dxa" w:w="9026"/>
            <w:shd w:fill="eaf2ff" w:val="clear"/>
            <w:tcMar>
              <w:top w:type="dxa" w:w="140"/>
              <w:left w:type="dxa" w:w="180"/>
              <w:bottom w:type="dxa" w:w="140"/>
              <w:right w:type="dxa" w:w="180"/>
            </w:tcMar>
          </w:tcPr>
          <w:p>
            <w:r>
              <w:rPr>
                <w:b/>
                <w:bCs/>
                <w:color w:val="1a2e44"/>
              </w:rPr>
              <w:t xml:space="preserve">Nota: </w:t>
            </w:r>
            <w:r>
              <w:t xml:space="preserve">Questo manuale descrive l'uso dell'applicazione così come configurata al momento della stesura. Alcuni elementi grafici (logo, colori, titolo finestra) possono variare in base al file di configurazione utilizzato.</w:t>
            </w:r>
          </w:p>
        </w:tc>
      </w:tr>
    </w:tbl>
    <w:p>
      <w:r>
        <w:br w:type="page"/>
      </w:r>
    </w:p>
    <w:p>
      <w:pPr>
        <w:pStyle w:val="Heading1"/>
        <w:spacing w:after="240" w:before="480"/>
      </w:pPr>
      <w:bookmarkStart w:name="chap2" w:id="1"/>
      <w:r>
        <w:t xml:space="preserve">2. Primo avvio</w:t>
      </w:r>
      <w:bookmarkEnd w:id="1"/>
    </w:p>
    <w:p>
      <w:pPr>
        <w:pStyle w:val="Heading2"/>
        <w:spacing w:after="160" w:before="360"/>
      </w:pPr>
      <w:bookmarkStart w:name="sec1" w:id="1"/>
      <w:r>
        <w:t xml:space="preserve">2.1 Schermata iniziale (splash screen)</w:t>
      </w:r>
      <w:bookmarkEnd w:id="1"/>
    </w:p>
    <w:p>
      <w:pPr>
        <w:spacing w:after="160" w:line="276"/>
      </w:pPr>
      <w:r>
        <w:t xml:space="preserve">All'avvio compare per alcuni istanti una schermata con il logo e il numero di versione dell'applicazione, mentre i componenti interni vengono inizializzati.</w:t>
      </w:r>
    </w:p>
    <w:p>
      <w:pPr>
        <w:pStyle w:val="Heading2"/>
        <w:spacing w:after="160" w:before="360"/>
      </w:pPr>
      <w:bookmarkStart w:name="sec2" w:id="1"/>
      <w:r>
        <w:t xml:space="preserve">2.2 Selezione della cartella di salvataggio</w:t>
      </w:r>
      <w:bookmarkEnd w:id="1"/>
    </w:p>
    <w:p>
      <w:pPr>
        <w:spacing w:after="160" w:line="276"/>
      </w:pPr>
      <w:r>
        <w:t xml:space="preserve">Subito dopo viene chiesto dove salvare i report generati durante la sessione. Sono disponibili tre modalità:</w:t>
      </w:r>
    </w:p>
    <w:p>
      <w:pPr>
        <w:pStyle w:val="ListParagraph"/>
        <w:numPr>
          <w:ilvl w:val="0"/>
          <w:numId w:val="1"/>
        </w:numPr>
        <w:spacing w:after="90" w:line="276"/>
      </w:pPr>
      <w:r>
        <w:t xml:space="preserve">Salva nel Drive — usa una cartella sincronizzata (es. Google Drive, OneDrive) configurata in anticipo.</w:t>
      </w:r>
    </w:p>
    <w:p>
      <w:pPr>
        <w:pStyle w:val="ListParagraph"/>
        <w:numPr>
          <w:ilvl w:val="0"/>
          <w:numId w:val="1"/>
        </w:numPr>
        <w:spacing w:after="90" w:line="276"/>
      </w:pPr>
      <w:r>
        <w:t xml:space="preserve">Salva nella cartella Locale — crea/usa una cartella "reports" accanto all'applicazione.</w:t>
      </w:r>
    </w:p>
    <w:p>
      <w:pPr>
        <w:pStyle w:val="ListParagraph"/>
        <w:numPr>
          <w:ilvl w:val="0"/>
          <w:numId w:val="1"/>
        </w:numPr>
        <w:spacing w:after="90" w:line="276"/>
      </w:pPr>
      <w:r>
        <w:t xml:space="preserve">Scegli cartella Esterna — permette di selezionare manualmente qualunque cartella (es. una chiavetta USB) tramite il pulsante Sfoglia.</w:t>
      </w:r>
    </w:p>
    <w:p>
      <w:pPr>
        <w:spacing w:after="160" w:line="276"/>
      </w:pPr>
      <w:r>
        <w:t xml:space="preserve">Nella stessa finestra è presente un indicatore luminoso (LED) che mostra se il computer è connesso a Internet: verde se connesso, rosso se offline. La connessione a Internet non è necessaria per il funzionamento base dell'app (log, chat locale, TLC Point); serve solo se si usano funzionalità che dipendono dalla rete.</w:t>
      </w:r>
    </w:p>
    <w:p>
      <w:pPr>
        <w:spacing w:after="160" w:line="276"/>
      </w:pPr>
      <w:r>
        <w:t xml:space="preserve">È inoltre possibile cambiare la lingua dell'interfaccia (Italiano/Inglese) cliccando sulle bandierine in basso.</w:t>
      </w:r>
    </w:p>
    <w:tbl>
      <w:tblPr>
        <w:tblW w:type="dxa" w:w="9026"/>
        <w:tblBorders>
          <w:top w:val="single" w:color="0d6efd" w:sz="4"/>
          <w:left w:val="single" w:color="0d6efd" w:sz="4"/>
          <w:bottom w:val="single" w:color="0d6efd" w:sz="4"/>
          <w:right w:val="single" w:color="0d6efd" w:sz="4"/>
          <w:insideH w:val="single" w:color="auto" w:sz="4"/>
          <w:insideV w:val="single" w:color="auto" w:sz="4"/>
        </w:tblBorders>
      </w:tblPr>
      <w:tblGrid>
        <w:gridCol w:w="9026"/>
      </w:tblGrid>
      <w:tr>
        <w:tc>
          <w:tcPr>
            <w:tcW w:type="dxa" w:w="9026"/>
            <w:shd w:fill="eaf2ff" w:val="clear"/>
            <w:tcMar>
              <w:top w:type="dxa" w:w="140"/>
              <w:left w:type="dxa" w:w="180"/>
              <w:bottom w:type="dxa" w:w="140"/>
              <w:right w:type="dxa" w:w="180"/>
            </w:tcMar>
          </w:tcPr>
          <w:p>
            <w:r>
              <w:rPr>
                <w:b/>
                <w:bCs/>
                <w:color w:val="1a2e44"/>
              </w:rPr>
              <w:t xml:space="preserve">Nota: </w:t>
            </w:r>
            <w:r>
              <w:t xml:space="preserve">Qualunque sia la cartella scelta qui, tutti i report generati dall'applicazione vengono SEMPRE salvati anche in una seconda copia locale automatica (cartella "report_locale", accanto all'applicazione) — vedi capitolo 6. Questo garantisce che una copia dei report resti sempre disponibile anche se la destinazione principale non fosse raggiungibile in un secondo momento (es. chiavetta USB rimossa, cartella Drive non sincronizzata).</w:t>
            </w:r>
          </w:p>
        </w:tc>
      </w:tr>
    </w:tbl>
    <w:p>
      <w:r>
        <w:br w:type="page"/>
      </w:r>
    </w:p>
    <w:p>
      <w:pPr>
        <w:pStyle w:val="Heading1"/>
        <w:spacing w:after="240" w:before="480"/>
      </w:pPr>
      <w:bookmarkStart w:name="chap3" w:id="1"/>
      <w:r>
        <w:t xml:space="preserve">3. Scheda "Log Comunicazioni"</w:t>
      </w:r>
      <w:bookmarkEnd w:id="1"/>
    </w:p>
    <w:p>
      <w:pPr>
        <w:spacing w:after="160" w:line="276"/>
      </w:pPr>
      <w:r>
        <w:t xml:space="preserve">È la schermata principale dell'applicazione, organizzata a schede (tab) in alto: "Log Comunicazioni" e "TLC Point".</w:t>
      </w:r>
    </w:p>
    <w:p>
      <w:pPr>
        <w:pStyle w:val="Heading2"/>
        <w:spacing w:after="160" w:before="360"/>
      </w:pPr>
      <w:bookmarkStart w:name="sec3" w:id="1"/>
      <w:r>
        <w:t xml:space="preserve">3.1 Registrare una comunicazione</w:t>
      </w:r>
      <w:bookmarkEnd w:id="1"/>
    </w:p>
    <w:p>
      <w:pPr>
        <w:spacing w:after="160" w:line="276"/>
      </w:pPr>
      <w:r>
        <w:t xml:space="preserve">Nella parte superiore della scheda si compilano i campi della comunicazione:</w:t>
      </w:r>
    </w:p>
    <w:p>
      <w:pPr>
        <w:pStyle w:val="ListParagraph"/>
        <w:numPr>
          <w:ilvl w:val="0"/>
          <w:numId w:val="1"/>
        </w:numPr>
        <w:spacing w:after="90" w:line="276"/>
      </w:pPr>
      <w:r>
        <w:t xml:space="preserve">Operatore — nome di chi sta usando l'applicazione in quel momento.</w:t>
      </w:r>
    </w:p>
    <w:p>
      <w:pPr>
        <w:pStyle w:val="ListParagraph"/>
        <w:numPr>
          <w:ilvl w:val="0"/>
          <w:numId w:val="1"/>
        </w:numPr>
        <w:spacing w:after="90" w:line="276"/>
      </w:pPr>
      <w:r>
        <w:t xml:space="preserve">Evento — nome della missione/esercitazione in corso.</w:t>
      </w:r>
    </w:p>
    <w:p>
      <w:pPr>
        <w:pStyle w:val="ListParagraph"/>
        <w:numPr>
          <w:ilvl w:val="0"/>
          <w:numId w:val="1"/>
        </w:numPr>
        <w:spacing w:after="90" w:line="276"/>
      </w:pPr>
      <w:r>
        <w:t xml:space="preserve">Mittente / Ricevente — chi trasmette e chi riceve la comunicazione.</w:t>
      </w:r>
    </w:p>
    <w:p>
      <w:pPr>
        <w:pStyle w:val="ListParagraph"/>
        <w:numPr>
          <w:ilvl w:val="0"/>
          <w:numId w:val="1"/>
        </w:numPr>
        <w:spacing w:after="90" w:line="276"/>
      </w:pPr>
      <w:r>
        <w:t xml:space="preserve">Messaggio ricevuto / Messaggio trasmesso — contenuto della comunicazione.</w:t>
      </w:r>
    </w:p>
    <w:p>
      <w:pPr>
        <w:pStyle w:val="ListParagraph"/>
        <w:numPr>
          <w:ilvl w:val="0"/>
          <w:numId w:val="1"/>
        </w:numPr>
        <w:spacing w:after="90" w:line="276"/>
      </w:pPr>
      <w:r>
        <w:t xml:space="preserve">Data e ora — inserite automaticamente, modificabili manualmente se necessario.</w:t>
      </w:r>
    </w:p>
    <w:p>
      <w:pPr>
        <w:spacing w:after="160" w:line="276"/>
      </w:pPr>
      <w:r>
        <w:t xml:space="preserve">Premendo il pulsante Aggiungi al log, la comunicazione viene inserita nell'elenco principale, visibile e scorrevole nella parte centrale della schermata.</w:t>
      </w:r>
    </w:p>
    <w:p>
      <w:pPr>
        <w:pStyle w:val="Heading2"/>
        <w:spacing w:after="160" w:before="360"/>
      </w:pPr>
      <w:bookmarkStart w:name="sec4" w:id="1"/>
      <w:r>
        <w:t xml:space="preserve">3.2 Generare il report</w:t>
      </w:r>
      <w:bookmarkEnd w:id="1"/>
    </w:p>
    <w:p>
      <w:pPr>
        <w:spacing w:after="160" w:line="276"/>
      </w:pPr>
      <w:r>
        <w:t xml:space="preserve">Il pulsante Genera PDF crea automaticamente quattro 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964"/>
        <w:gridCol w:w="4062"/>
      </w:tblGrid>
      <w:tr>
        <w:trPr>
          <w:tblHeader/>
        </w:trPr>
        <w:tc>
          <w:tcPr>
            <w:tcW w:type="dxa" w:w="4964"/>
            <w:shd w:fill="1a2e44" w:val="clear"/>
            <w:tcMar>
              <w:top w:type="dxa" w:w="100"/>
              <w:left w:type="dxa" w:w="120"/>
              <w:bottom w:type="dxa" w:w="100"/>
              <w:right w:type="dxa" w:w="120"/>
            </w:tcMar>
          </w:tcPr>
          <w:p>
            <w:r>
              <w:rPr>
                <w:b/>
                <w:bCs/>
                <w:color w:val="FFFFFF"/>
                <w:sz w:val="20"/>
                <w:szCs w:val="20"/>
              </w:rPr>
              <w:t xml:space="preserve">File</w:t>
            </w:r>
          </w:p>
        </w:tc>
        <w:tc>
          <w:tcPr>
            <w:tcW w:type="dxa" w:w="4062"/>
            <w:shd w:fill="1a2e44" w:val="clear"/>
            <w:tcMar>
              <w:top w:type="dxa" w:w="100"/>
              <w:left w:type="dxa" w:w="120"/>
              <w:bottom w:type="dxa" w:w="100"/>
              <w:right w:type="dxa" w:w="120"/>
            </w:tcMar>
          </w:tcPr>
          <w:p>
            <w:r>
              <w:rPr>
                <w:b/>
                <w:bCs/>
                <w:color w:val="FFFFFF"/>
                <w:sz w:val="20"/>
                <w:szCs w:val="20"/>
              </w:rPr>
              <w:t xml:space="preserve">Contenuto</w:t>
            </w:r>
          </w:p>
        </w:tc>
      </w:tr>
      <w:tr>
        <w:tc>
          <w:tcPr>
            <w:tcW w:type="dxa" w:w="4964"/>
            <w:tcMar>
              <w:top w:type="dxa" w:w="100"/>
              <w:left w:type="dxa" w:w="120"/>
              <w:bottom w:type="dxa" w:w="100"/>
              <w:right w:type="dxa" w:w="120"/>
            </w:tcMar>
          </w:tcPr>
          <w:p>
            <w:r>
              <w:rPr>
                <w:b w:val="false"/>
                <w:bCs w:val="false"/>
                <w:sz w:val="20"/>
                <w:szCs w:val="20"/>
              </w:rPr>
              <w:t xml:space="preserve">rapporto_comunicazioni_radio_....pdf / .xlsx</w:t>
            </w:r>
          </w:p>
        </w:tc>
        <w:tc>
          <w:tcPr>
            <w:tcW w:type="dxa" w:w="4062"/>
            <w:tcMar>
              <w:top w:type="dxa" w:w="100"/>
              <w:left w:type="dxa" w:w="120"/>
              <w:bottom w:type="dxa" w:w="100"/>
              <w:right w:type="dxa" w:w="120"/>
            </w:tcMar>
          </w:tcPr>
          <w:p>
            <w:r>
              <w:rPr>
                <w:b w:val="false"/>
                <w:bCs w:val="false"/>
                <w:sz w:val="20"/>
                <w:szCs w:val="20"/>
              </w:rPr>
              <w:t xml:space="preserve">Elenco completo delle comunicazioni registrate in questa sessione</w:t>
            </w:r>
          </w:p>
        </w:tc>
      </w:tr>
      <w:tr>
        <w:tc>
          <w:tcPr>
            <w:tcW w:type="dxa" w:w="4964"/>
            <w:tcMar>
              <w:top w:type="dxa" w:w="100"/>
              <w:left w:type="dxa" w:w="120"/>
              <w:bottom w:type="dxa" w:w="100"/>
              <w:right w:type="dxa" w:w="120"/>
            </w:tcMar>
          </w:tcPr>
          <w:p>
            <w:r>
              <w:rPr>
                <w:b w:val="false"/>
                <w:bCs w:val="false"/>
                <w:sz w:val="20"/>
                <w:szCs w:val="20"/>
              </w:rPr>
              <w:t xml:space="preserve">rapporto_chat_....pdf / .xlsx</w:t>
            </w:r>
          </w:p>
        </w:tc>
        <w:tc>
          <w:tcPr>
            <w:tcW w:type="dxa" w:w="4062"/>
            <w:tcMar>
              <w:top w:type="dxa" w:w="100"/>
              <w:left w:type="dxa" w:w="120"/>
              <w:bottom w:type="dxa" w:w="100"/>
              <w:right w:type="dxa" w:w="120"/>
            </w:tcMar>
          </w:tcPr>
          <w:p>
            <w:r>
              <w:rPr>
                <w:b w:val="false"/>
                <w:bCs w:val="false"/>
                <w:sz w:val="20"/>
                <w:szCs w:val="20"/>
              </w:rPr>
              <w:t xml:space="preserve">Cronologia della chat (solo se sono stati scambiati messaggi)</w:t>
            </w:r>
          </w:p>
        </w:tc>
      </w:tr>
    </w:tbl>
    <w:p>
      <w:pPr>
        <w:spacing w:after="160"/>
      </w:pPr>
    </w:p>
    <w:p>
      <w:pPr>
        <w:spacing w:after="160" w:line="276"/>
      </w:pPr>
      <w:r>
        <w:t xml:space="preserve">Ogni file viene salvato automaticamente sia nella cartella scelta all'avvio, sia nella cartella di backup locale (vedi capitolo 6) — non è necessaria alcuna azione aggiuntiva.</w:t>
      </w:r>
    </w:p>
    <w:p>
      <w:pPr>
        <w:pStyle w:val="Heading2"/>
        <w:spacing w:after="160" w:before="360"/>
      </w:pPr>
      <w:bookmarkStart w:name="sec5" w:id="1"/>
      <w:r>
        <w:t xml:space="preserve">3.3 Chat con il remoto</w:t>
      </w:r>
      <w:bookmarkEnd w:id="1"/>
    </w:p>
    <w:p>
      <w:pPr>
        <w:spacing w:after="160" w:line="276"/>
      </w:pPr>
      <w:r>
        <w:t xml:space="preserve">Sul lato destro della schermata è presente un pannello Chat, utilizzabile per comunicare in tempo reale con chiunque sia collegato alla dashboard web (vedi capitolo 4). È una chat a due vie:</w:t>
      </w:r>
    </w:p>
    <w:p>
      <w:pPr>
        <w:pStyle w:val="ListParagraph"/>
        <w:numPr>
          <w:ilvl w:val="0"/>
          <w:numId w:val="1"/>
        </w:numPr>
        <w:spacing w:after="90" w:line="276"/>
      </w:pPr>
      <w:r>
        <w:t xml:space="preserve">I messaggi scritti dall'operatore locale compaiono in un colore, quelli ricevuti da remoto in un altro.</w:t>
      </w:r>
    </w:p>
    <w:p>
      <w:pPr>
        <w:pStyle w:val="ListParagraph"/>
        <w:numPr>
          <w:ilvl w:val="0"/>
          <w:numId w:val="1"/>
        </w:numPr>
        <w:spacing w:after="90" w:line="276"/>
      </w:pPr>
      <w:r>
        <w:t xml:space="preserve">Per inviare un messaggio: scrivere nel campo in basso e premere Invio (o il pulsante Invia).</w:t>
      </w:r>
    </w:p>
    <w:p>
      <w:pPr>
        <w:spacing w:after="160" w:line="276"/>
      </w:pPr>
      <w:r>
        <w:t xml:space="preserve">Tutti i messaggi scambiati vengono automaticamente inclusi nel report chat descritto al paragrafo precedente.</w:t>
      </w:r>
    </w:p>
    <w:p>
      <w:pPr>
        <w:pStyle w:val="Heading2"/>
        <w:spacing w:after="160" w:before="360"/>
      </w:pPr>
      <w:bookmarkStart w:name="sec6" w:id="1"/>
      <w:r>
        <w:t xml:space="preserve">3.4 Cambio lingua</w:t>
      </w:r>
      <w:bookmarkEnd w:id="1"/>
    </w:p>
    <w:p>
      <w:pPr>
        <w:spacing w:after="160" w:line="276"/>
      </w:pPr>
      <w:r>
        <w:t xml:space="preserve">Le bandierine Italia/Regno Unito in basso permettono di cambiare la lingua dell'intera interfaccia (incluso il pannello TLC Point) in qualunque momento, senza perdere i dati inseriti.</w:t>
      </w:r>
    </w:p>
    <w:p>
      <w:r>
        <w:br w:type="page"/>
      </w:r>
    </w:p>
    <w:p>
      <w:pPr>
        <w:pStyle w:val="Heading1"/>
        <w:spacing w:after="240" w:before="480"/>
      </w:pPr>
      <w:bookmarkStart w:name="chap4" w:id="1"/>
      <w:r>
        <w:t xml:space="preserve">4. Dashboard Web (accesso da smartphone o altro PC)</w:t>
      </w:r>
      <w:bookmarkEnd w:id="1"/>
    </w:p>
    <w:p>
      <w:pPr>
        <w:spacing w:after="160" w:line="276"/>
      </w:pPr>
      <w:r>
        <w:t xml:space="preserve">L'applicazione può esporre una piccola pagina web locale, raggiungibile da qualunque browser collegato alla stessa rete Wi-Fi/LAN del computer su cui gira l'app (es. uno smartphone). Non è necessaria alcuna connessione a Internet: tutto avviene all'interno della rete locale.</w:t>
      </w:r>
    </w:p>
    <w:p>
      <w:pPr>
        <w:pStyle w:val="Heading2"/>
        <w:spacing w:after="160" w:before="360"/>
      </w:pPr>
      <w:bookmarkStart w:name="sec7" w:id="1"/>
      <w:r>
        <w:t xml:space="preserve">4.1 Attivazione</w:t>
      </w:r>
      <w:bookmarkEnd w:id="1"/>
    </w:p>
    <w:p>
      <w:pPr>
        <w:spacing w:after="160" w:line="276"/>
      </w:pPr>
      <w:r>
        <w:t xml:space="preserve">La dashboard si attiva automaticamente se abilitata nel file di configurazione (parametro Remote_enabled = true — vedi capitolo 7). Se attiva, nella scheda "Log Comunicazioni" compare un link da condividere, ad esempio:</w:t>
      </w:r>
    </w:p>
    <w:p>
      <w:pPr>
        <w:spacing w:after="160" w:line="276"/>
      </w:pPr>
      <w:r>
        <w:rPr>
          <w:i/>
          <w:iCs/>
          <w:color w:val="0d6efd"/>
        </w:rPr>
        <w:t xml:space="preserve">http://192.168.1.107:8080?session=xxxxxxxx</w:t>
      </w:r>
    </w:p>
    <w:p>
      <w:pPr>
        <w:spacing w:after="160" w:line="276"/>
      </w:pPr>
      <w:r>
        <w:t xml:space="preserve">Basta aprire quel link nel browser di un altro dispositivo collegato alla stessa rete.</w:t>
      </w:r>
    </w:p>
    <w:p>
      <w:pPr>
        <w:pStyle w:val="Heading2"/>
        <w:spacing w:after="160" w:before="360"/>
      </w:pPr>
      <w:bookmarkStart w:name="sec8" w:id="1"/>
      <w:r>
        <w:t xml:space="preserve">4.2 Requisiti per il collegamento da smartphone</w:t>
      </w:r>
      <w:bookmarkEnd w:id="1"/>
    </w:p>
    <w:p>
      <w:pPr>
        <w:pStyle w:val="ListParagraph"/>
        <w:numPr>
          <w:ilvl w:val="0"/>
          <w:numId w:val="1"/>
        </w:numPr>
        <w:spacing w:after="90" w:line="276"/>
      </w:pPr>
      <w:r>
        <w:t xml:space="preserve">Il telefono deve essere collegato alla stessa rete Wi-Fi del computer (non dati mobili, non un hotspot diverso).</w:t>
      </w:r>
    </w:p>
    <w:p>
      <w:pPr>
        <w:pStyle w:val="ListParagraph"/>
        <w:numPr>
          <w:ilvl w:val="0"/>
          <w:numId w:val="1"/>
        </w:numPr>
        <w:spacing w:after="90" w:line="276"/>
      </w:pPr>
      <w:r>
        <w:t xml:space="preserve">Al primo avvio, Windows potrebbe chiedere di autorizzare l'app attraverso il firewall per le reti private: va accettato.</w:t>
      </w:r>
    </w:p>
    <w:p>
      <w:pPr>
        <w:pStyle w:val="ListParagraph"/>
        <w:numPr>
          <w:ilvl w:val="0"/>
          <w:numId w:val="1"/>
        </w:numPr>
        <w:spacing w:after="90" w:line="276"/>
      </w:pPr>
      <w:r>
        <w:t xml:space="preserve">Se il collegamento continua a non funzionare, verificare le impostazioni del firewall di Windows (Pannello di controllo → Windows Defender Firewall → Consenti un'app).</w:t>
      </w:r>
    </w:p>
    <w:p>
      <w:pPr>
        <w:pStyle w:val="Heading2"/>
        <w:spacing w:after="160" w:before="360"/>
      </w:pPr>
      <w:bookmarkStart w:name="sec9" w:id="1"/>
      <w:r>
        <w:t xml:space="preserve">4.3 Sezioni della dashboard</w:t>
      </w:r>
      <w:bookmarkEnd w:id="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70"/>
      </w:tblGrid>
      <w:tr>
        <w:trPr>
          <w:tblHeader/>
        </w:trPr>
        <w:tc>
          <w:tcPr>
            <w:tcW w:type="dxa" w:w="2257"/>
            <w:shd w:fill="1a2e44" w:val="clear"/>
            <w:tcMar>
              <w:top w:type="dxa" w:w="100"/>
              <w:left w:type="dxa" w:w="120"/>
              <w:bottom w:type="dxa" w:w="100"/>
              <w:right w:type="dxa" w:w="120"/>
            </w:tcMar>
          </w:tcPr>
          <w:p>
            <w:r>
              <w:rPr>
                <w:b/>
                <w:bCs/>
                <w:color w:val="FFFFFF"/>
                <w:sz w:val="20"/>
                <w:szCs w:val="20"/>
              </w:rPr>
              <w:t xml:space="preserve">Scheda</w:t>
            </w:r>
          </w:p>
        </w:tc>
        <w:tc>
          <w:tcPr>
            <w:tcW w:type="dxa" w:w="6770"/>
            <w:shd w:fill="1a2e44" w:val="clear"/>
            <w:tcMar>
              <w:top w:type="dxa" w:w="100"/>
              <w:left w:type="dxa" w:w="120"/>
              <w:bottom w:type="dxa" w:w="100"/>
              <w:right w:type="dxa" w:w="120"/>
            </w:tcMar>
          </w:tcPr>
          <w:p>
            <w:r>
              <w:rPr>
                <w:b/>
                <w:bCs/>
                <w:color w:val="FFFFFF"/>
                <w:sz w:val="20"/>
                <w:szCs w:val="20"/>
              </w:rPr>
              <w:t xml:space="preserve">Contenuto</w:t>
            </w:r>
          </w:p>
        </w:tc>
      </w:tr>
      <w:tr>
        <w:tc>
          <w:tcPr>
            <w:tcW w:type="dxa" w:w="2257"/>
            <w:tcMar>
              <w:top w:type="dxa" w:w="100"/>
              <w:left w:type="dxa" w:w="120"/>
              <w:bottom w:type="dxa" w:w="100"/>
              <w:right w:type="dxa" w:w="120"/>
            </w:tcMar>
          </w:tcPr>
          <w:p>
            <w:r>
              <w:rPr>
                <w:b w:val="false"/>
                <w:bCs w:val="false"/>
                <w:sz w:val="20"/>
                <w:szCs w:val="20"/>
              </w:rPr>
              <w:t xml:space="preserve">Log</w:t>
            </w:r>
          </w:p>
        </w:tc>
        <w:tc>
          <w:tcPr>
            <w:tcW w:type="dxa" w:w="6770"/>
            <w:tcMar>
              <w:top w:type="dxa" w:w="100"/>
              <w:left w:type="dxa" w:w="120"/>
              <w:bottom w:type="dxa" w:w="100"/>
              <w:right w:type="dxa" w:w="120"/>
            </w:tcMar>
          </w:tcPr>
          <w:p>
            <w:r>
              <w:rPr>
                <w:b w:val="false"/>
                <w:bCs w:val="false"/>
                <w:sz w:val="20"/>
                <w:szCs w:val="20"/>
              </w:rPr>
              <w:t xml:space="preserve">Elenco delle comunicazioni radio in tempo reale, identico a quello dell'app</w:t>
            </w:r>
          </w:p>
        </w:tc>
      </w:tr>
      <w:tr>
        <w:tc>
          <w:tcPr>
            <w:tcW w:type="dxa" w:w="2257"/>
            <w:tcMar>
              <w:top w:type="dxa" w:w="100"/>
              <w:left w:type="dxa" w:w="120"/>
              <w:bottom w:type="dxa" w:w="100"/>
              <w:right w:type="dxa" w:w="120"/>
            </w:tcMar>
          </w:tcPr>
          <w:p>
            <w:r>
              <w:rPr>
                <w:b w:val="false"/>
                <w:bCs w:val="false"/>
                <w:sz w:val="20"/>
                <w:szCs w:val="20"/>
              </w:rPr>
              <w:t xml:space="preserve">Chat</w:t>
            </w:r>
          </w:p>
        </w:tc>
        <w:tc>
          <w:tcPr>
            <w:tcW w:type="dxa" w:w="6770"/>
            <w:tcMar>
              <w:top w:type="dxa" w:w="100"/>
              <w:left w:type="dxa" w:w="120"/>
              <w:bottom w:type="dxa" w:w="100"/>
              <w:right w:type="dxa" w:w="120"/>
            </w:tcMar>
          </w:tcPr>
          <w:p>
            <w:r>
              <w:rPr>
                <w:b w:val="false"/>
                <w:bCs w:val="false"/>
                <w:sz w:val="20"/>
                <w:szCs w:val="20"/>
              </w:rPr>
              <w:t xml:space="preserve">Chat a due vie con l'operatore locale; alla prima apertura viene chiesto un nome identificativo, richiesto una sola volta per sessione di navigazione</w:t>
            </w:r>
          </w:p>
        </w:tc>
      </w:tr>
      <w:tr>
        <w:tc>
          <w:tcPr>
            <w:tcW w:type="dxa" w:w="2257"/>
            <w:tcMar>
              <w:top w:type="dxa" w:w="100"/>
              <w:left w:type="dxa" w:w="120"/>
              <w:bottom w:type="dxa" w:w="100"/>
              <w:right w:type="dxa" w:w="120"/>
            </w:tcMar>
          </w:tcPr>
          <w:p>
            <w:r>
              <w:rPr>
                <w:b w:val="false"/>
                <w:bCs w:val="false"/>
                <w:sz w:val="20"/>
                <w:szCs w:val="20"/>
              </w:rPr>
              <w:t xml:space="preserve">Assegnazioni</w:t>
            </w:r>
          </w:p>
        </w:tc>
        <w:tc>
          <w:tcPr>
            <w:tcW w:type="dxa" w:w="6770"/>
            <w:tcMar>
              <w:top w:type="dxa" w:w="100"/>
              <w:left w:type="dxa" w:w="120"/>
              <w:bottom w:type="dxa" w:w="100"/>
              <w:right w:type="dxa" w:w="120"/>
            </w:tcMar>
          </w:tcPr>
          <w:p>
            <w:r>
              <w:rPr>
                <w:b w:val="false"/>
                <w:bCs w:val="false"/>
                <w:sz w:val="20"/>
                <w:szCs w:val="20"/>
              </w:rPr>
              <w:t xml:space="preserve">Riepilogo in tempo reale di quali apparati radio sono attualmente assegnati e a chi (vedi capitolo 5)</w:t>
            </w:r>
          </w:p>
        </w:tc>
      </w:tr>
    </w:tbl>
    <w:p>
      <w:pPr>
        <w:spacing w:after="160"/>
      </w:pPr>
    </w:p>
    <w:p>
      <w:pPr>
        <w:spacing w:after="160" w:line="276"/>
      </w:pPr>
      <w:r>
        <w:t xml:space="preserve">Tutte le schede si aggiornano automaticamente, senza bisogno di ricaricare la pagina.</w:t>
      </w:r>
    </w:p>
    <w:p>
      <w:r>
        <w:br w:type="page"/>
      </w:r>
    </w:p>
    <w:p>
      <w:pPr>
        <w:pStyle w:val="Heading1"/>
        <w:spacing w:after="240" w:before="480"/>
      </w:pPr>
      <w:bookmarkStart w:name="chap5" w:id="1"/>
      <w:r>
        <w:t xml:space="preserve">5. Scheda "TLC Point" — gestione apparati radio</w:t>
      </w:r>
      <w:bookmarkEnd w:id="1"/>
    </w:p>
    <w:p>
      <w:pPr>
        <w:spacing w:after="160" w:line="276"/>
      </w:pPr>
      <w:r>
        <w:t xml:space="preserve">La scheda TLC Point permette di tenere traccia di tutti gli apparati radio della colonna mobile: chi li ha in dotazione, con quale nominativo di missione, e lo storico completo di ogni movimento.</w:t>
      </w:r>
    </w:p>
    <w:p>
      <w:pPr>
        <w:spacing w:after="160" w:line="276"/>
      </w:pPr>
      <w:r>
        <w:t xml:space="preserve">È pensata per l'uso con un lettore di codici a barre/QR USB (che si comporta come una tastiera): basta lasciare il cursore nel campo di scansione e leggere l'etichetta, senza bisogno di altri click. Funziona comunque anche digitando il codice a mano.</w:t>
      </w:r>
    </w:p>
    <w:p>
      <w:pPr>
        <w:pStyle w:val="Heading2"/>
        <w:spacing w:after="160" w:before="360"/>
      </w:pPr>
      <w:bookmarkStart w:name="sec10" w:id="1"/>
      <w:r>
        <w:t xml:space="preserve">5.1 Panoramica della schermata</w:t>
      </w:r>
      <w:bookmarkEnd w:id="1"/>
    </w:p>
    <w:p>
      <w:pPr>
        <w:pStyle w:val="ListParagraph"/>
        <w:numPr>
          <w:ilvl w:val="0"/>
          <w:numId w:val="1"/>
        </w:numPr>
        <w:spacing w:after="90" w:line="276"/>
      </w:pPr>
      <w:r>
        <w:t xml:space="preserve">In alto: campo di scansione/inserimento codice.</w:t>
      </w:r>
    </w:p>
    <w:p>
      <w:pPr>
        <w:pStyle w:val="ListParagraph"/>
        <w:numPr>
          <w:ilvl w:val="0"/>
          <w:numId w:val="1"/>
        </w:numPr>
        <w:spacing w:after="90" w:line="276"/>
      </w:pPr>
      <w:r>
        <w:t xml:space="preserve">A sinistra: scheda dell'apparato scansionato, con le azioni disponibili.</w:t>
      </w:r>
    </w:p>
    <w:p>
      <w:pPr>
        <w:pStyle w:val="ListParagraph"/>
        <w:numPr>
          <w:ilvl w:val="0"/>
          <w:numId w:val="1"/>
        </w:numPr>
        <w:spacing w:after="90" w:line="276"/>
      </w:pPr>
      <w:r>
        <w:t xml:space="preserve">A destra: elenco completo di tutti gli apparati registrati, con barra di ricerca.</w:t>
      </w:r>
    </w:p>
    <w:p>
      <w:pPr>
        <w:pStyle w:val="ListParagraph"/>
        <w:numPr>
          <w:ilvl w:val="0"/>
          <w:numId w:val="1"/>
        </w:numPr>
        <w:spacing w:after="90" w:line="276"/>
      </w:pPr>
      <w:r>
        <w:t xml:space="preserve">In basso: storico di tutti i movimenti (carichi e scarichi) effettuati.</w:t>
      </w:r>
    </w:p>
    <w:p>
      <w:pPr>
        <w:pStyle w:val="Heading2"/>
        <w:spacing w:after="160" w:before="360"/>
      </w:pPr>
      <w:bookmarkStart w:name="sec11" w:id="1"/>
      <w:r>
        <w:t xml:space="preserve">5.2 Registrare un nuovo apparato</w:t>
      </w:r>
      <w:bookmarkEnd w:id="1"/>
    </w:p>
    <w:p>
      <w:pPr>
        <w:spacing w:after="160" w:line="276"/>
      </w:pPr>
      <w:r>
        <w:t xml:space="preserve">Quando si scansiona (o digita) un codice non ancora presente in anagrafica, l'applicazione lo segnala e propone un modulo di registrazione:</w:t>
      </w:r>
    </w:p>
    <w:p>
      <w:pPr>
        <w:pStyle w:val="ListParagraph"/>
        <w:numPr>
          <w:ilvl w:val="0"/>
          <w:numId w:val="2"/>
        </w:numPr>
        <w:spacing w:after="90" w:line="276"/>
      </w:pPr>
      <w:r>
        <w:t xml:space="preserve">Scansionare o digitare il codice nel campo in alto e premere Invio.</w:t>
      </w:r>
    </w:p>
    <w:p>
      <w:pPr>
        <w:pStyle w:val="ListParagraph"/>
        <w:numPr>
          <w:ilvl w:val="0"/>
          <w:numId w:val="2"/>
        </w:numPr>
        <w:spacing w:after="90" w:line="276"/>
      </w:pPr>
      <w:r>
        <w:t xml:space="preserve">Compilare almeno il campo Modello (obbligatorio); Numero seriale e Note sono facoltativi.</w:t>
      </w:r>
    </w:p>
    <w:p>
      <w:pPr>
        <w:pStyle w:val="ListParagraph"/>
        <w:numPr>
          <w:ilvl w:val="0"/>
          <w:numId w:val="2"/>
        </w:numPr>
        <w:spacing w:after="90" w:line="276"/>
      </w:pPr>
      <w:r>
        <w:t xml:space="preserve">Premere Registra: l'apparato viene aggiunto all'anagrafica con stato "Disponibile".</w:t>
      </w:r>
    </w:p>
    <w:p>
      <w:pPr>
        <w:spacing w:after="160" w:line="276"/>
      </w:pPr>
      <w:r>
        <w:t xml:space="preserve">In alternativa, gli apparati possono essere inseriti in blocco compilando direttamente il file Excel dell'anagrafica (vedi capitolo 6), che l'applicazione rilegge con il pulsante Ricarica database.</w:t>
      </w:r>
    </w:p>
    <w:p>
      <w:pPr>
        <w:pStyle w:val="Heading2"/>
        <w:spacing w:after="160" w:before="360"/>
      </w:pPr>
      <w:bookmarkStart w:name="sec12" w:id="1"/>
      <w:r>
        <w:t xml:space="preserve">5.3 Assegnare un apparato (Carico) e l'alias di missione</w:t>
      </w:r>
      <w:bookmarkEnd w:id="1"/>
    </w:p>
    <w:p>
      <w:pPr>
        <w:spacing w:after="160" w:line="276"/>
      </w:pPr>
      <w:r>
        <w:t xml:space="preserve">Quando si scansiona un apparato disponibile, viene proposto il modulo di carico:</w:t>
      </w:r>
    </w:p>
    <w:p>
      <w:pPr>
        <w:pStyle w:val="ListParagraph"/>
        <w:numPr>
          <w:ilvl w:val="0"/>
          <w:numId w:val="1"/>
        </w:numPr>
        <w:spacing w:after="90" w:line="276"/>
      </w:pPr>
      <w:r>
        <w:t xml:space="preserve">Persona — nome di chi riceve fisicamente l'apparato (obbligatorio).</w:t>
      </w:r>
    </w:p>
    <w:p>
      <w:pPr>
        <w:pStyle w:val="ListParagraph"/>
        <w:numPr>
          <w:ilvl w:val="0"/>
          <w:numId w:val="1"/>
        </w:numPr>
        <w:spacing w:after="90" w:line="276"/>
      </w:pPr>
      <w:r>
        <w:t xml:space="preserve">Alias (nominativo missione) — il nominativo radio che la persona userà durante la missione (facoltativo, es. "Base 1", "Rover 2"). Utile per distinguere il nome anagrafico dal nominativo effettivamente usato in comunicazione.</w:t>
      </w:r>
    </w:p>
    <w:p>
      <w:pPr>
        <w:spacing w:after="160" w:line="276"/>
      </w:pPr>
      <w:r>
        <w:t xml:space="preserve">Premendo Carica (assegna), l'apparato passa allo stato "In carico", e l'operazione viene registrata nello storico movimenti con data, ora e operatore che ha effettuato l'assegnazione.</w:t>
      </w:r>
    </w:p>
    <w:p>
      <w:pPr>
        <w:spacing w:after="160" w:line="276"/>
      </w:pPr>
      <w:r>
        <w:t xml:space="preserve">L'alias inserito compare anche nella scheda dell'apparato, nell'elenco apparati, nello storico movimenti, nel riepilogo assegnazioni della dashboard web e nei report.</w:t>
      </w:r>
    </w:p>
    <w:p>
      <w:pPr>
        <w:pStyle w:val="Heading2"/>
        <w:spacing w:after="160" w:before="360"/>
      </w:pPr>
      <w:bookmarkStart w:name="sec13" w:id="1"/>
      <w:r>
        <w:t xml:space="preserve">5.4 Restituire un apparato (Scarico)</w:t>
      </w:r>
      <w:bookmarkEnd w:id="1"/>
    </w:p>
    <w:p>
      <w:pPr>
        <w:spacing w:after="160" w:line="276"/>
      </w:pPr>
      <w:r>
        <w:t xml:space="preserve">Scansionando un apparato attualmente in carico, viene proposto il pulsante Scarica (restituisci): l'apparato torna disponibile e l'operazione viene registrata nello storico. L'alias associato viene azzerato, pronto per una futura assegnazione.</w:t>
      </w:r>
    </w:p>
    <w:p>
      <w:pPr>
        <w:pStyle w:val="Heading2"/>
        <w:spacing w:after="160" w:before="360"/>
      </w:pPr>
      <w:bookmarkStart w:name="sec14" w:id="1"/>
      <w:r>
        <w:t xml:space="preserve">5.5 Cercare un apparato nell'elenco</w:t>
      </w:r>
      <w:bookmarkEnd w:id="1"/>
    </w:p>
    <w:p>
      <w:pPr>
        <w:spacing w:after="160" w:line="276"/>
      </w:pPr>
      <w:r>
        <w:t xml:space="preserve">L'elenco apparati sulla destra mostra tutti gli apparati registrati, con codice, modello, stato, persona assegnataria ed eventuale alias. Il campo di ricerca sopra l'elenco filtra in tempo reale per codice, modello o persona.</w:t>
      </w:r>
    </w:p>
    <w:p>
      <w:pPr>
        <w:spacing w:after="160" w:line="276"/>
      </w:pPr>
      <w:r>
        <w:t xml:space="preserve">Facendo doppio clic su una riga (o selezionandola e premendo Usa selezionato), il codice viene riportato automaticamente nel campo di scansione: è un'alternativa manuale alla lettura del codice a barre.</w:t>
      </w:r>
    </w:p>
    <w:p>
      <w:pPr>
        <w:pStyle w:val="Heading2"/>
        <w:spacing w:after="160" w:before="360"/>
      </w:pPr>
      <w:bookmarkStart w:name="sec15" w:id="1"/>
      <w:r>
        <w:t xml:space="preserve">5.6 Storico movimenti</w:t>
      </w:r>
      <w:bookmarkEnd w:id="1"/>
    </w:p>
    <w:p>
      <w:pPr>
        <w:spacing w:after="160" w:line="276"/>
      </w:pPr>
      <w:r>
        <w:t xml:space="preserve">In basso viene mostrato lo storico di tutti i movimenti (carichi e scarichi), con data/ora, codice, modello, tipo di operazione, persona, alias e operatore che ha effettuato l'operazione.</w:t>
      </w:r>
    </w:p>
    <w:p>
      <w:r>
        <w:br w:type="page"/>
      </w:r>
    </w:p>
    <w:p>
      <w:pPr>
        <w:pStyle w:val="Heading2"/>
        <w:spacing w:after="160" w:before="360"/>
      </w:pPr>
      <w:bookmarkStart w:name="sec16" w:id="1"/>
      <w:r>
        <w:t xml:space="preserve">5.7 Generare i codici QR</w:t>
      </w:r>
      <w:bookmarkEnd w:id="1"/>
    </w:p>
    <w:p>
      <w:pPr>
        <w:spacing w:after="160" w:line="276"/>
      </w:pPr>
      <w:r>
        <w:t xml:space="preserve">Sono disponibili due modalità per generare QR code da applicare fisicamente sugli apparati:</w:t>
      </w:r>
    </w:p>
    <w:p>
      <w:pPr>
        <w:pStyle w:val="Heading3"/>
        <w:spacing w:after="120" w:before="260"/>
      </w:pPr>
      <w:r>
        <w:t xml:space="preserve">QR singolo</w:t>
      </w:r>
    </w:p>
    <w:p>
      <w:pPr>
        <w:spacing w:after="160" w:line="276"/>
      </w:pPr>
      <w:r>
        <w:t xml:space="preserve">Digitare o scansionare il codice dell'apparato e premere il pulsante Genera QR accanto al campo di scansione: viene chiesto dove salvare l'immagine (formato PNG), pronta per la stampa su un'etichetta.</w:t>
      </w:r>
    </w:p>
    <w:p>
      <w:pPr>
        <w:pStyle w:val="Heading3"/>
        <w:spacing w:after="120" w:before="260"/>
      </w:pPr>
      <w:r>
        <w:t xml:space="preserve">Foglio QR stampabile (tutti gli apparati)</w:t>
      </w:r>
    </w:p>
    <w:p>
      <w:pPr>
        <w:spacing w:after="160" w:line="276"/>
      </w:pPr>
      <w:r>
        <w:t xml:space="preserve">Il pulsante Foglio QR stampabile, nell'elenco apparati, genera un documento PDF in formato A4 con un QR code ed etichetta (codice + modello) per ciascun apparato attualmente visibile nell'elenco — rispetta l'eventuale filtro di ricerca impostato, quindi è possibile stampare le etichette anche solo per un sottoinsieme di apparati.</w:t>
      </w:r>
    </w:p>
    <w:p>
      <w:pPr>
        <w:spacing w:after="160" w:line="276"/>
      </w:pPr>
      <w:r>
        <w:t xml:space="preserve">Il foglio viene salvato sia nella cartella scelta all'avvio sia nel backup locale automatico.</w:t>
      </w:r>
    </w:p>
    <w:p>
      <w:pPr>
        <w:pStyle w:val="Heading2"/>
        <w:spacing w:after="160" w:before="360"/>
      </w:pPr>
      <w:bookmarkStart w:name="sec17" w:id="1"/>
      <w:r>
        <w:t xml:space="preserve">5.8 Report assegnazioni</w:t>
      </w:r>
      <w:bookmarkEnd w:id="1"/>
    </w:p>
    <w:p>
      <w:pPr>
        <w:spacing w:after="160" w:line="276"/>
      </w:pPr>
      <w:r>
        <w:t xml:space="preserve">Il pulsante Report assegnazioni (in basso) genera una "fotografia" dello stato attuale: quali apparati sono in questo momento assegnati, a chi, con quale alias e da quando. Viene prodotto sia in PDF che in Excel, salvato sia in locale sia nella cartella scelta.</w:t>
      </w:r>
    </w:p>
    <w:p>
      <w:pPr>
        <w:spacing w:after="160" w:line="276"/>
      </w:pPr>
      <w:r>
        <w:t xml:space="preserve">Se nessun apparato risulta attualmente in carico, il report non viene generato e compare un avviso.</w:t>
      </w:r>
    </w:p>
    <w:p>
      <w:pPr>
        <w:pStyle w:val="Heading2"/>
        <w:spacing w:after="160" w:before="360"/>
      </w:pPr>
      <w:bookmarkStart w:name="sec18" w:id="1"/>
      <w:r>
        <w:t xml:space="preserve">5.9 Report log TLC Point</w:t>
      </w:r>
      <w:bookmarkEnd w:id="1"/>
    </w:p>
    <w:p>
      <w:pPr>
        <w:spacing w:after="160" w:line="276"/>
      </w:pPr>
      <w:r>
        <w:t xml:space="preserve">Il pulsante Report log TLC Point, accanto allo storico movimenti, genera un report completo (PDF + Excel) con TUTTI i movimenti mai registrati (non solo quelli visibili nella schermata): ogni carico e ogni scarico, con data/ora, codice, modello, persona, alias e operatore. Anche questo report viene salvato sia in locale sia nella cartella scelta.</w:t>
      </w:r>
    </w:p>
    <w:p>
      <w:pPr>
        <w:pStyle w:val="Heading2"/>
        <w:spacing w:after="160" w:before="360"/>
      </w:pPr>
      <w:bookmarkStart w:name="sec19" w:id="1"/>
      <w:r>
        <w:t xml:space="preserve">5.10 Correggere i codici ("Correggi codici")</w:t>
      </w:r>
      <w:bookmarkEnd w:id="1"/>
    </w:p>
    <w:tbl>
      <w:tblPr>
        <w:tblW w:type="dxa" w:w="9026"/>
        <w:tblBorders>
          <w:top w:val="single" w:color="c0392b" w:sz="4"/>
          <w:left w:val="single" w:color="c0392b" w:sz="4"/>
          <w:bottom w:val="single" w:color="c0392b" w:sz="4"/>
          <w:right w:val="single" w:color="c0392b" w:sz="4"/>
          <w:insideH w:val="single" w:color="auto" w:sz="4"/>
          <w:insideV w:val="single" w:color="auto" w:sz="4"/>
        </w:tblBorders>
      </w:tblPr>
      <w:tblGrid>
        <w:gridCol w:w="9026"/>
      </w:tblGrid>
      <w:tr>
        <w:tc>
          <w:tcPr>
            <w:tcW w:type="dxa" w:w="9026"/>
            <w:shd w:fill="fdecea" w:val="clear"/>
            <w:tcMar>
              <w:top w:type="dxa" w:w="140"/>
              <w:left w:type="dxa" w:w="180"/>
              <w:bottom w:type="dxa" w:w="140"/>
              <w:right w:type="dxa" w:w="180"/>
            </w:tcMar>
          </w:tcPr>
          <w:p>
            <w:r>
              <w:rPr>
                <w:b/>
                <w:bCs/>
                <w:color w:val="c0392b"/>
              </w:rPr>
              <w:t xml:space="preserve">Attenzione: </w:t>
            </w:r>
            <w:r>
              <w:t xml:space="preserve">Alcuni lettori di codici a barre/QR USB non riescono a digitare correttamente caratteri speciali come il trattino "tipografico" (es. "–"), spesso inserito automaticamente da Excel quando si scrive "TLC - 15" con gli spazi. Il sintomo tipico è: il codice scansionato non corrisponde a nessun apparato in anagrafica, anche se il codice sembra corretto a vista.</w:t>
            </w:r>
          </w:p>
        </w:tc>
      </w:tr>
    </w:tbl>
    <w:p>
      <w:pPr>
        <w:spacing w:after="160" w:line="276"/>
      </w:pPr>
      <w:r>
        <w:t xml:space="preserve">Per risolvere, usare il pulsante Correggi codici (in basso): sostituisce automaticamente i trattini speciali con un trattino normale in tutti i codici già presenti in anagrafica.</w:t>
      </w:r>
    </w:p>
    <w:tbl>
      <w:tblPr>
        <w:tblW w:type="dxa" w:w="9026"/>
        <w:tblBorders>
          <w:top w:val="single" w:color="c0392b" w:sz="4"/>
          <w:left w:val="single" w:color="c0392b" w:sz="4"/>
          <w:bottom w:val="single" w:color="c0392b" w:sz="4"/>
          <w:right w:val="single" w:color="c0392b" w:sz="4"/>
          <w:insideH w:val="single" w:color="auto" w:sz="4"/>
          <w:insideV w:val="single" w:color="auto" w:sz="4"/>
        </w:tblBorders>
      </w:tblPr>
      <w:tblGrid>
        <w:gridCol w:w="9026"/>
      </w:tblGrid>
      <w:tr>
        <w:tc>
          <w:tcPr>
            <w:tcW w:type="dxa" w:w="9026"/>
            <w:shd w:fill="fdecea" w:val="clear"/>
            <w:tcMar>
              <w:top w:type="dxa" w:w="140"/>
              <w:left w:type="dxa" w:w="180"/>
              <w:bottom w:type="dxa" w:w="140"/>
              <w:right w:type="dxa" w:w="180"/>
            </w:tcMar>
          </w:tcPr>
          <w:p>
            <w:r>
              <w:rPr>
                <w:b/>
                <w:bCs/>
                <w:color w:val="c0392b"/>
              </w:rPr>
              <w:t xml:space="preserve">Attenzione: </w:t>
            </w:r>
            <w:r>
              <w:t xml:space="preserve">Dopo la correzione, i QR/etichette già stampati con il vecchio codice non corrispondono più a quello nuovo: vanno rigenerati e ristampati con la funzione "Foglio QR stampabile" (paragrafo 5.7).</w:t>
            </w:r>
          </w:p>
        </w:tc>
      </w:tr>
    </w:tbl>
    <w:p>
      <w:pPr>
        <w:spacing w:after="160" w:line="276"/>
      </w:pPr>
      <w:r>
        <w:t xml:space="preserve">Per evitare il problema in futuro, quando si compila l'anagrafica direttamente da Excel è consigliabile scrivere i codici senza spazi attorno al trattino (es. "TLC-15" invece di "TLC - 15"), oppure disattivare la correzione automatica di Excel per quel tipo di sostituzione. Gli apparati registrati tramite il pulsante "Registra" dell'applicazione vengono invece già corretti automaticamente.</w:t>
      </w:r>
    </w:p>
    <w:p>
      <w:pPr>
        <w:pStyle w:val="Heading2"/>
        <w:spacing w:after="160" w:before="360"/>
      </w:pPr>
      <w:bookmarkStart w:name="sec20" w:id="1"/>
      <w:r>
        <w:t xml:space="preserve">5.11 Ricaricare il database</w:t>
      </w:r>
      <w:bookmarkEnd w:id="1"/>
    </w:p>
    <w:p>
      <w:pPr>
        <w:spacing w:after="160" w:line="276"/>
      </w:pPr>
      <w:r>
        <w:t xml:space="preserve">Se il file Excel dell'anagrafica viene modificato manualmente (es. per inserire più apparati in blocco) mentre l'applicazione è già aperta, il pulsante Ricarica database rilegge il file da disco e aggiorna tutte le schermate.</w:t>
      </w:r>
    </w:p>
    <w:p>
      <w:r>
        <w:br w:type="page"/>
      </w:r>
    </w:p>
    <w:p>
      <w:pPr>
        <w:pStyle w:val="Heading1"/>
        <w:spacing w:after="240" w:before="480"/>
      </w:pPr>
      <w:bookmarkStart w:name="chap6" w:id="1"/>
      <w:r>
        <w:t xml:space="preserve">6. File e cartelle generate dall'applicazione</w:t>
      </w:r>
      <w:bookmarkEnd w:id="1"/>
    </w:p>
    <w:p>
      <w:pPr>
        <w:spacing w:after="160" w:line="276"/>
      </w:pPr>
      <w:r>
        <w:t xml:space="preserve">L'applicazione crea automaticamente alcune cartelle accanto a se stessa (o nella cartella da cui viene avviata):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shd w:fill="1a2e44" w:val="clear"/>
            <w:tcMar>
              <w:top w:type="dxa" w:w="100"/>
              <w:left w:type="dxa" w:w="120"/>
              <w:bottom w:type="dxa" w:w="100"/>
              <w:right w:type="dxa" w:w="120"/>
            </w:tcMar>
          </w:tcPr>
          <w:p>
            <w:r>
              <w:rPr>
                <w:b/>
                <w:bCs/>
                <w:color w:val="FFFFFF"/>
                <w:sz w:val="20"/>
                <w:szCs w:val="20"/>
              </w:rPr>
              <w:t xml:space="preserve">Cartella / file</w:t>
            </w:r>
          </w:p>
        </w:tc>
        <w:tc>
          <w:tcPr>
            <w:tcW w:type="dxa" w:w="6318"/>
            <w:shd w:fill="1a2e44" w:val="clear"/>
            <w:tcMar>
              <w:top w:type="dxa" w:w="100"/>
              <w:left w:type="dxa" w:w="120"/>
              <w:bottom w:type="dxa" w:w="100"/>
              <w:right w:type="dxa" w:w="120"/>
            </w:tcMar>
          </w:tcPr>
          <w:p>
            <w:r>
              <w:rPr>
                <w:b/>
                <w:bCs/>
                <w:color w:val="FFFFFF"/>
                <w:sz w:val="20"/>
                <w:szCs w:val="20"/>
              </w:rPr>
              <w:t xml:space="preserve">Contenuto</w:t>
            </w:r>
          </w:p>
        </w:tc>
      </w:tr>
      <w:tr>
        <w:tc>
          <w:tcPr>
            <w:tcW w:type="dxa" w:w="2708"/>
            <w:tcMar>
              <w:top w:type="dxa" w:w="100"/>
              <w:left w:type="dxa" w:w="120"/>
              <w:bottom w:type="dxa" w:w="100"/>
              <w:right w:type="dxa" w:w="120"/>
            </w:tcMar>
          </w:tcPr>
          <w:p>
            <w:r>
              <w:rPr>
                <w:b w:val="false"/>
                <w:bCs w:val="false"/>
                <w:sz w:val="20"/>
                <w:szCs w:val="20"/>
              </w:rPr>
              <w:t xml:space="preserve">report_locale/</w:t>
            </w:r>
          </w:p>
        </w:tc>
        <w:tc>
          <w:tcPr>
            <w:tcW w:type="dxa" w:w="6318"/>
            <w:tcMar>
              <w:top w:type="dxa" w:w="100"/>
              <w:left w:type="dxa" w:w="120"/>
              <w:bottom w:type="dxa" w:w="100"/>
              <w:right w:type="dxa" w:w="120"/>
            </w:tcMar>
          </w:tcPr>
          <w:p>
            <w:r>
              <w:rPr>
                <w:b w:val="false"/>
                <w:bCs w:val="false"/>
                <w:sz w:val="20"/>
                <w:szCs w:val="20"/>
              </w:rPr>
              <w:t xml:space="preserve">Copia locale automatica di TUTTI i report generati (log, chat, assegnazioni, log TLC Point), indipendentemente dalla cartella scelta all'avvio</w:t>
            </w:r>
          </w:p>
        </w:tc>
      </w:tr>
      <w:tr>
        <w:tc>
          <w:tcPr>
            <w:tcW w:type="dxa" w:w="2708"/>
            <w:tcMar>
              <w:top w:type="dxa" w:w="100"/>
              <w:left w:type="dxa" w:w="120"/>
              <w:bottom w:type="dxa" w:w="100"/>
              <w:right w:type="dxa" w:w="120"/>
            </w:tcMar>
          </w:tcPr>
          <w:p>
            <w:r>
              <w:rPr>
                <w:b w:val="false"/>
                <w:bCs w:val="false"/>
                <w:sz w:val="20"/>
                <w:szCs w:val="20"/>
              </w:rPr>
              <w:t xml:space="preserve">recovery/</w:t>
            </w:r>
          </w:p>
        </w:tc>
        <w:tc>
          <w:tcPr>
            <w:tcW w:type="dxa" w:w="6318"/>
            <w:tcMar>
              <w:top w:type="dxa" w:w="100"/>
              <w:left w:type="dxa" w:w="120"/>
              <w:bottom w:type="dxa" w:w="100"/>
              <w:right w:type="dxa" w:w="120"/>
            </w:tcMar>
          </w:tcPr>
          <w:p>
            <w:r>
              <w:rPr>
                <w:b w:val="false"/>
                <w:bCs w:val="false"/>
                <w:sz w:val="20"/>
                <w:szCs w:val="20"/>
              </w:rPr>
              <w:t xml:space="preserve">Salvataggio automatico di sicurezza della sessione di log in corso, per recuperare i dati in caso di chiusura imprevista</w:t>
            </w:r>
          </w:p>
        </w:tc>
      </w:tr>
      <w:tr>
        <w:tc>
          <w:tcPr>
            <w:tcW w:type="dxa" w:w="2708"/>
            <w:tcMar>
              <w:top w:type="dxa" w:w="100"/>
              <w:left w:type="dxa" w:w="120"/>
              <w:bottom w:type="dxa" w:w="100"/>
              <w:right w:type="dxa" w:w="120"/>
            </w:tcMar>
          </w:tcPr>
          <w:p>
            <w:r>
              <w:rPr>
                <w:b w:val="false"/>
                <w:bCs w:val="false"/>
                <w:sz w:val="20"/>
                <w:szCs w:val="20"/>
              </w:rPr>
              <w:t xml:space="preserve">apparati.xlsx</w:t>
            </w:r>
          </w:p>
        </w:tc>
        <w:tc>
          <w:tcPr>
            <w:tcW w:type="dxa" w:w="6318"/>
            <w:tcMar>
              <w:top w:type="dxa" w:w="100"/>
              <w:left w:type="dxa" w:w="120"/>
              <w:bottom w:type="dxa" w:w="100"/>
              <w:right w:type="dxa" w:w="120"/>
            </w:tcMar>
          </w:tcPr>
          <w:p>
            <w:r>
              <w:rPr>
                <w:b w:val="false"/>
                <w:bCs w:val="false"/>
                <w:sz w:val="20"/>
                <w:szCs w:val="20"/>
              </w:rPr>
              <w:t xml:space="preserve">Anagrafica degli apparati radio e storico movimenti TLC Point (nome configurabile)</w:t>
            </w:r>
          </w:p>
        </w:tc>
      </w:tr>
      <w:tr>
        <w:tc>
          <w:tcPr>
            <w:tcW w:type="dxa" w:w="2708"/>
            <w:tcMar>
              <w:top w:type="dxa" w:w="100"/>
              <w:left w:type="dxa" w:w="120"/>
              <w:bottom w:type="dxa" w:w="100"/>
              <w:right w:type="dxa" w:w="120"/>
            </w:tcMar>
          </w:tcPr>
          <w:p>
            <w:r>
              <w:rPr>
                <w:b w:val="false"/>
                <w:bCs w:val="false"/>
                <w:sz w:val="20"/>
                <w:szCs w:val="20"/>
              </w:rPr>
              <w:t xml:space="preserve">qr_codes/</w:t>
            </w:r>
          </w:p>
        </w:tc>
        <w:tc>
          <w:tcPr>
            <w:tcW w:type="dxa" w:w="6318"/>
            <w:tcMar>
              <w:top w:type="dxa" w:w="100"/>
              <w:left w:type="dxa" w:w="120"/>
              <w:bottom w:type="dxa" w:w="100"/>
              <w:right w:type="dxa" w:w="120"/>
            </w:tcMar>
          </w:tcPr>
          <w:p>
            <w:r>
              <w:rPr>
                <w:b w:val="false"/>
                <w:bCs w:val="false"/>
                <w:sz w:val="20"/>
                <w:szCs w:val="20"/>
              </w:rPr>
              <w:t xml:space="preserve">Cartella proposta di default quando si salva un QR code singolo</w:t>
            </w:r>
          </w:p>
        </w:tc>
      </w:tr>
    </w:tbl>
    <w:p>
      <w:pPr>
        <w:spacing w:after="160"/>
      </w:pPr>
    </w:p>
    <w:tbl>
      <w:tblPr>
        <w:tblW w:type="dxa" w:w="9026"/>
        <w:tblBorders>
          <w:top w:val="single" w:color="0d6efd" w:sz="4"/>
          <w:left w:val="single" w:color="0d6efd" w:sz="4"/>
          <w:bottom w:val="single" w:color="0d6efd" w:sz="4"/>
          <w:right w:val="single" w:color="0d6efd" w:sz="4"/>
          <w:insideH w:val="single" w:color="auto" w:sz="4"/>
          <w:insideV w:val="single" w:color="auto" w:sz="4"/>
        </w:tblBorders>
      </w:tblPr>
      <w:tblGrid>
        <w:gridCol w:w="9026"/>
      </w:tblGrid>
      <w:tr>
        <w:tc>
          <w:tcPr>
            <w:tcW w:type="dxa" w:w="9026"/>
            <w:shd w:fill="eaf2ff" w:val="clear"/>
            <w:tcMar>
              <w:top w:type="dxa" w:w="140"/>
              <w:left w:type="dxa" w:w="180"/>
              <w:bottom w:type="dxa" w:w="140"/>
              <w:right w:type="dxa" w:w="180"/>
            </w:tcMar>
          </w:tcPr>
          <w:p>
            <w:r>
              <w:rPr>
                <w:b/>
                <w:bCs/>
                <w:color w:val="1a2e44"/>
              </w:rPr>
              <w:t xml:space="preserve">Nota: </w:t>
            </w:r>
            <w:r>
              <w:t xml:space="preserve">Il file apparati.xlsx può essere aperto e modificato direttamente in Excel (ad esempio per inserire molti apparati in una volta sola). Dopo la modifica, usare "Ricarica database" nell'app per rileggerlo.</w:t>
            </w:r>
          </w:p>
        </w:tc>
      </w:tr>
    </w:tbl>
    <w:p>
      <w:r>
        <w:br w:type="page"/>
      </w:r>
    </w:p>
    <w:p>
      <w:pPr>
        <w:pStyle w:val="Heading1"/>
        <w:spacing w:after="240" w:before="480"/>
      </w:pPr>
      <w:bookmarkStart w:name="chap7" w:id="1"/>
      <w:r>
        <w:t xml:space="preserve">7. Configurazione (file configurator.txt)</w:t>
      </w:r>
      <w:bookmarkEnd w:id="1"/>
    </w:p>
    <w:p>
      <w:pPr>
        <w:spacing w:after="160" w:line="276"/>
      </w:pPr>
      <w:r>
        <w:t xml:space="preserve">Il comportamento dell'applicazione si personalizza tramite il file di testo configurator.txt, nella cartella principale. I parametri principali sono: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shd w:fill="1a2e44" w:val="clear"/>
            <w:tcMar>
              <w:top w:type="dxa" w:w="100"/>
              <w:left w:type="dxa" w:w="120"/>
              <w:bottom w:type="dxa" w:w="100"/>
              <w:right w:type="dxa" w:w="120"/>
            </w:tcMar>
          </w:tcPr>
          <w:p>
            <w:r>
              <w:rPr>
                <w:b/>
                <w:bCs/>
                <w:color w:val="FFFFFF"/>
                <w:sz w:val="20"/>
                <w:szCs w:val="20"/>
              </w:rPr>
              <w:t xml:space="preserve">Parametro</w:t>
            </w:r>
          </w:p>
        </w:tc>
        <w:tc>
          <w:tcPr>
            <w:tcW w:type="dxa" w:w="6318"/>
            <w:shd w:fill="1a2e44" w:val="clear"/>
            <w:tcMar>
              <w:top w:type="dxa" w:w="100"/>
              <w:left w:type="dxa" w:w="120"/>
              <w:bottom w:type="dxa" w:w="100"/>
              <w:right w:type="dxa" w:w="120"/>
            </w:tcMar>
          </w:tcPr>
          <w:p>
            <w:r>
              <w:rPr>
                <w:b/>
                <w:bCs/>
                <w:color w:val="FFFFFF"/>
                <w:sz w:val="20"/>
                <w:szCs w:val="20"/>
              </w:rPr>
              <w:t xml:space="preserve">Descrizione</w:t>
            </w:r>
          </w:p>
        </w:tc>
      </w:tr>
      <w:tr>
        <w:tc>
          <w:tcPr>
            <w:tcW w:type="dxa" w:w="2708"/>
            <w:tcMar>
              <w:top w:type="dxa" w:w="100"/>
              <w:left w:type="dxa" w:w="120"/>
              <w:bottom w:type="dxa" w:w="100"/>
              <w:right w:type="dxa" w:w="120"/>
            </w:tcMar>
          </w:tcPr>
          <w:p>
            <w:r>
              <w:rPr>
                <w:b w:val="false"/>
                <w:bCs w:val="false"/>
                <w:sz w:val="20"/>
                <w:szCs w:val="20"/>
              </w:rPr>
              <w:t xml:space="preserve">Program_title</w:t>
            </w:r>
          </w:p>
        </w:tc>
        <w:tc>
          <w:tcPr>
            <w:tcW w:type="dxa" w:w="6318"/>
            <w:tcMar>
              <w:top w:type="dxa" w:w="100"/>
              <w:left w:type="dxa" w:w="120"/>
              <w:bottom w:type="dxa" w:w="100"/>
              <w:right w:type="dxa" w:w="120"/>
            </w:tcMar>
          </w:tcPr>
          <w:p>
            <w:r>
              <w:rPr>
                <w:b w:val="false"/>
                <w:bCs w:val="false"/>
                <w:sz w:val="20"/>
                <w:szCs w:val="20"/>
              </w:rPr>
              <w:t xml:space="preserve">Titolo mostrato nella finestra dell'applicazione</w:t>
            </w:r>
          </w:p>
        </w:tc>
      </w:tr>
      <w:tr>
        <w:tc>
          <w:tcPr>
            <w:tcW w:type="dxa" w:w="2708"/>
            <w:tcMar>
              <w:top w:type="dxa" w:w="100"/>
              <w:left w:type="dxa" w:w="120"/>
              <w:bottom w:type="dxa" w:w="100"/>
              <w:right w:type="dxa" w:w="120"/>
            </w:tcMar>
          </w:tcPr>
          <w:p>
            <w:r>
              <w:rPr>
                <w:b w:val="false"/>
                <w:bCs w:val="false"/>
                <w:sz w:val="20"/>
                <w:szCs w:val="20"/>
              </w:rPr>
              <w:t xml:space="preserve">Logo_path</w:t>
            </w:r>
          </w:p>
        </w:tc>
        <w:tc>
          <w:tcPr>
            <w:tcW w:type="dxa" w:w="6318"/>
            <w:tcMar>
              <w:top w:type="dxa" w:w="100"/>
              <w:left w:type="dxa" w:w="120"/>
              <w:bottom w:type="dxa" w:w="100"/>
              <w:right w:type="dxa" w:w="120"/>
            </w:tcMar>
          </w:tcPr>
          <w:p>
            <w:r>
              <w:rPr>
                <w:b w:val="false"/>
                <w:bCs w:val="false"/>
                <w:sz w:val="20"/>
                <w:szCs w:val="20"/>
              </w:rPr>
              <w:t xml:space="preserve">Percorso del file immagine del logo</w:t>
            </w:r>
          </w:p>
        </w:tc>
      </w:tr>
      <w:tr>
        <w:tc>
          <w:tcPr>
            <w:tcW w:type="dxa" w:w="2708"/>
            <w:tcMar>
              <w:top w:type="dxa" w:w="100"/>
              <w:left w:type="dxa" w:w="120"/>
              <w:bottom w:type="dxa" w:w="100"/>
              <w:right w:type="dxa" w:w="120"/>
            </w:tcMar>
          </w:tcPr>
          <w:p>
            <w:r>
              <w:rPr>
                <w:b w:val="false"/>
                <w:bCs w:val="false"/>
                <w:sz w:val="20"/>
                <w:szCs w:val="20"/>
              </w:rPr>
              <w:t xml:space="preserve">Flags_logo</w:t>
            </w:r>
          </w:p>
        </w:tc>
        <w:tc>
          <w:tcPr>
            <w:tcW w:type="dxa" w:w="6318"/>
            <w:tcMar>
              <w:top w:type="dxa" w:w="100"/>
              <w:left w:type="dxa" w:w="120"/>
              <w:bottom w:type="dxa" w:w="100"/>
              <w:right w:type="dxa" w:w="120"/>
            </w:tcMar>
          </w:tcPr>
          <w:p>
            <w:r>
              <w:rPr>
                <w:b w:val="false"/>
                <w:bCs w:val="false"/>
                <w:sz w:val="20"/>
                <w:szCs w:val="20"/>
              </w:rPr>
              <w:t xml:space="preserve">Percorso delle icone delle bandiere (IT/EN) per il cambio lingua</w:t>
            </w:r>
          </w:p>
        </w:tc>
      </w:tr>
      <w:tr>
        <w:tc>
          <w:tcPr>
            <w:tcW w:type="dxa" w:w="2708"/>
            <w:tcMar>
              <w:top w:type="dxa" w:w="100"/>
              <w:left w:type="dxa" w:w="120"/>
              <w:bottom w:type="dxa" w:w="100"/>
              <w:right w:type="dxa" w:w="120"/>
            </w:tcMar>
          </w:tcPr>
          <w:p>
            <w:r>
              <w:rPr>
                <w:b w:val="false"/>
                <w:bCs w:val="false"/>
                <w:sz w:val="20"/>
                <w:szCs w:val="20"/>
              </w:rPr>
              <w:t xml:space="preserve">Drive_path</w:t>
            </w:r>
          </w:p>
        </w:tc>
        <w:tc>
          <w:tcPr>
            <w:tcW w:type="dxa" w:w="6318"/>
            <w:tcMar>
              <w:top w:type="dxa" w:w="100"/>
              <w:left w:type="dxa" w:w="120"/>
              <w:bottom w:type="dxa" w:w="100"/>
              <w:right w:type="dxa" w:w="120"/>
            </w:tcMar>
          </w:tcPr>
          <w:p>
            <w:r>
              <w:rPr>
                <w:b w:val="false"/>
                <w:bCs w:val="false"/>
                <w:sz w:val="20"/>
                <w:szCs w:val="20"/>
              </w:rPr>
              <w:t xml:space="preserve">Cartella predefinita per l'opzione "Salva nel Drive"</w:t>
            </w:r>
          </w:p>
        </w:tc>
      </w:tr>
      <w:tr>
        <w:tc>
          <w:tcPr>
            <w:tcW w:type="dxa" w:w="2708"/>
            <w:tcMar>
              <w:top w:type="dxa" w:w="100"/>
              <w:left w:type="dxa" w:w="120"/>
              <w:bottom w:type="dxa" w:w="100"/>
              <w:right w:type="dxa" w:w="120"/>
            </w:tcMar>
          </w:tcPr>
          <w:p>
            <w:r>
              <w:rPr>
                <w:b w:val="false"/>
                <w:bCs w:val="false"/>
                <w:sz w:val="20"/>
                <w:szCs w:val="20"/>
              </w:rPr>
              <w:t xml:space="preserve">Firmware_version</w:t>
            </w:r>
          </w:p>
        </w:tc>
        <w:tc>
          <w:tcPr>
            <w:tcW w:type="dxa" w:w="6318"/>
            <w:tcMar>
              <w:top w:type="dxa" w:w="100"/>
              <w:left w:type="dxa" w:w="120"/>
              <w:bottom w:type="dxa" w:w="100"/>
              <w:right w:type="dxa" w:w="120"/>
            </w:tcMar>
          </w:tcPr>
          <w:p>
            <w:r>
              <w:rPr>
                <w:b w:val="false"/>
                <w:bCs w:val="false"/>
                <w:sz w:val="20"/>
                <w:szCs w:val="20"/>
              </w:rPr>
              <w:t xml:space="preserve">Versione mostrata nella schermata iniziale</w:t>
            </w:r>
          </w:p>
        </w:tc>
      </w:tr>
      <w:tr>
        <w:tc>
          <w:tcPr>
            <w:tcW w:type="dxa" w:w="2708"/>
            <w:tcMar>
              <w:top w:type="dxa" w:w="100"/>
              <w:left w:type="dxa" w:w="120"/>
              <w:bottom w:type="dxa" w:w="100"/>
              <w:right w:type="dxa" w:w="120"/>
            </w:tcMar>
          </w:tcPr>
          <w:p>
            <w:r>
              <w:rPr>
                <w:b w:val="false"/>
                <w:bCs w:val="false"/>
                <w:sz w:val="20"/>
                <w:szCs w:val="20"/>
              </w:rPr>
              <w:t xml:space="preserve">Proprieties</w:t>
            </w:r>
          </w:p>
        </w:tc>
        <w:tc>
          <w:tcPr>
            <w:tcW w:type="dxa" w:w="6318"/>
            <w:tcMar>
              <w:top w:type="dxa" w:w="100"/>
              <w:left w:type="dxa" w:w="120"/>
              <w:bottom w:type="dxa" w:w="100"/>
              <w:right w:type="dxa" w:w="120"/>
            </w:tcMar>
          </w:tcPr>
          <w:p>
            <w:r>
              <w:rPr>
                <w:b w:val="false"/>
                <w:bCs w:val="false"/>
                <w:sz w:val="20"/>
                <w:szCs w:val="20"/>
              </w:rPr>
              <w:t xml:space="preserve">Testo aggiuntivo mostrato nella schermata iniziale</w:t>
            </w:r>
          </w:p>
        </w:tc>
      </w:tr>
      <w:tr>
        <w:tc>
          <w:tcPr>
            <w:tcW w:type="dxa" w:w="2708"/>
            <w:tcMar>
              <w:top w:type="dxa" w:w="100"/>
              <w:left w:type="dxa" w:w="120"/>
              <w:bottom w:type="dxa" w:w="100"/>
              <w:right w:type="dxa" w:w="120"/>
            </w:tcMar>
          </w:tcPr>
          <w:p>
            <w:r>
              <w:rPr>
                <w:b w:val="false"/>
                <w:bCs w:val="false"/>
                <w:sz w:val="20"/>
                <w:szCs w:val="20"/>
              </w:rPr>
              <w:t xml:space="preserve">Remote_enabled</w:t>
            </w:r>
          </w:p>
        </w:tc>
        <w:tc>
          <w:tcPr>
            <w:tcW w:type="dxa" w:w="6318"/>
            <w:tcMar>
              <w:top w:type="dxa" w:w="100"/>
              <w:left w:type="dxa" w:w="120"/>
              <w:bottom w:type="dxa" w:w="100"/>
              <w:right w:type="dxa" w:w="120"/>
            </w:tcMar>
          </w:tcPr>
          <w:p>
            <w:r>
              <w:rPr>
                <w:b w:val="false"/>
                <w:bCs w:val="false"/>
                <w:sz w:val="20"/>
                <w:szCs w:val="20"/>
              </w:rPr>
              <w:t xml:space="preserve">true/false — attiva o disattiva la dashboard web locale (capitolo 4)</w:t>
            </w:r>
          </w:p>
        </w:tc>
      </w:tr>
      <w:tr>
        <w:tc>
          <w:tcPr>
            <w:tcW w:type="dxa" w:w="2708"/>
            <w:tcMar>
              <w:top w:type="dxa" w:w="100"/>
              <w:left w:type="dxa" w:w="120"/>
              <w:bottom w:type="dxa" w:w="100"/>
              <w:right w:type="dxa" w:w="120"/>
            </w:tcMar>
          </w:tcPr>
          <w:p>
            <w:r>
              <w:rPr>
                <w:b w:val="false"/>
                <w:bCs w:val="false"/>
                <w:sz w:val="20"/>
                <w:szCs w:val="20"/>
              </w:rPr>
              <w:t xml:space="preserve">Web_dashboard_port</w:t>
            </w:r>
          </w:p>
        </w:tc>
        <w:tc>
          <w:tcPr>
            <w:tcW w:type="dxa" w:w="6318"/>
            <w:tcMar>
              <w:top w:type="dxa" w:w="100"/>
              <w:left w:type="dxa" w:w="120"/>
              <w:bottom w:type="dxa" w:w="100"/>
              <w:right w:type="dxa" w:w="120"/>
            </w:tcMar>
          </w:tcPr>
          <w:p>
            <w:r>
              <w:rPr>
                <w:b w:val="false"/>
                <w:bCs w:val="false"/>
                <w:sz w:val="20"/>
                <w:szCs w:val="20"/>
              </w:rPr>
              <w:t xml:space="preserve">Porta di rete usata dalla dashboard web (predefinita: 8080)</w:t>
            </w:r>
          </w:p>
        </w:tc>
      </w:tr>
      <w:tr>
        <w:tc>
          <w:tcPr>
            <w:tcW w:type="dxa" w:w="2708"/>
            <w:tcMar>
              <w:top w:type="dxa" w:w="100"/>
              <w:left w:type="dxa" w:w="120"/>
              <w:bottom w:type="dxa" w:w="100"/>
              <w:right w:type="dxa" w:w="120"/>
            </w:tcMar>
          </w:tcPr>
          <w:p>
            <w:r>
              <w:rPr>
                <w:b w:val="false"/>
                <w:bCs w:val="false"/>
                <w:sz w:val="20"/>
                <w:szCs w:val="20"/>
              </w:rPr>
              <w:t xml:space="preserve">WS_TOKEN</w:t>
            </w:r>
          </w:p>
        </w:tc>
        <w:tc>
          <w:tcPr>
            <w:tcW w:type="dxa" w:w="6318"/>
            <w:tcMar>
              <w:top w:type="dxa" w:w="100"/>
              <w:left w:type="dxa" w:w="120"/>
              <w:bottom w:type="dxa" w:w="100"/>
              <w:right w:type="dxa" w:w="120"/>
            </w:tcMar>
          </w:tcPr>
          <w:p>
            <w:r>
              <w:rPr>
                <w:b w:val="false"/>
                <w:bCs w:val="false"/>
                <w:sz w:val="20"/>
                <w:szCs w:val="20"/>
              </w:rPr>
              <w:t xml:space="preserve">Codice fisso della sessione dashboard, per avere sempre lo stesso link tra un riavvio e l'altro (facoltativo)</w:t>
            </w:r>
          </w:p>
        </w:tc>
      </w:tr>
      <w:tr>
        <w:tc>
          <w:tcPr>
            <w:tcW w:type="dxa" w:w="2708"/>
            <w:tcMar>
              <w:top w:type="dxa" w:w="100"/>
              <w:left w:type="dxa" w:w="120"/>
              <w:bottom w:type="dxa" w:w="100"/>
              <w:right w:type="dxa" w:w="120"/>
            </w:tcMar>
          </w:tcPr>
          <w:p>
            <w:r>
              <w:rPr>
                <w:b w:val="false"/>
                <w:bCs w:val="false"/>
                <w:sz w:val="20"/>
                <w:szCs w:val="20"/>
              </w:rPr>
              <w:t xml:space="preserve">Apparati_db_path</w:t>
            </w:r>
          </w:p>
        </w:tc>
        <w:tc>
          <w:tcPr>
            <w:tcW w:type="dxa" w:w="6318"/>
            <w:tcMar>
              <w:top w:type="dxa" w:w="100"/>
              <w:left w:type="dxa" w:w="120"/>
              <w:bottom w:type="dxa" w:w="100"/>
              <w:right w:type="dxa" w:w="120"/>
            </w:tcMar>
          </w:tcPr>
          <w:p>
            <w:r>
              <w:rPr>
                <w:b w:val="false"/>
                <w:bCs w:val="false"/>
                <w:sz w:val="20"/>
                <w:szCs w:val="20"/>
              </w:rPr>
              <w:t xml:space="preserve">Percorso del file Excel dell'anagrafica apparati TLC Point (predefinito: apparati.xlsx)</w:t>
            </w:r>
          </w:p>
        </w:tc>
      </w:tr>
    </w:tbl>
    <w:p>
      <w:pPr>
        <w:spacing w:after="160"/>
      </w:pPr>
    </w:p>
    <w:p>
      <w:pPr>
        <w:spacing w:after="160" w:line="276"/>
      </w:pPr>
      <w:r>
        <w:t xml:space="preserve">Le righe che iniziano con # nel file di configurazione sono commenti e vengono ignorate.</w:t>
      </w:r>
    </w:p>
    <w:p>
      <w:r>
        <w:br w:type="page"/>
      </w:r>
    </w:p>
    <w:p>
      <w:pPr>
        <w:pStyle w:val="Heading1"/>
        <w:spacing w:after="240" w:before="480"/>
      </w:pPr>
      <w:bookmarkStart w:name="chap8" w:id="1"/>
      <w:r>
        <w:t xml:space="preserve">8. Risoluzione dei problemi più comuni</w:t>
      </w:r>
      <w:bookmarkEnd w:id="1"/>
    </w:p>
    <w:p>
      <w:pPr>
        <w:pStyle w:val="Heading2"/>
        <w:spacing w:after="160" w:before="360"/>
      </w:pPr>
      <w:bookmarkStart w:name="sec21" w:id="1"/>
      <w:r>
        <w:t xml:space="preserve">8.1 Lo scanner legge un codice ma l'apparato non viene trovato</w:t>
      </w:r>
      <w:bookmarkEnd w:id="1"/>
    </w:p>
    <w:p>
      <w:pPr>
        <w:spacing w:after="160" w:line="276"/>
      </w:pPr>
      <w:r>
        <w:t xml:space="preserve">Causa più frequente: il codice in anagrafica contiene un trattino tipografico che lo scanner non riesce a riprodurre correttamente. Soluzione: usare il pulsante Correggi codici (paragrafo 5.10), poi rigenerare e ristampare le etichette QR interessate.</w:t>
      </w:r>
    </w:p>
    <w:p>
      <w:pPr>
        <w:pStyle w:val="Heading2"/>
        <w:spacing w:after="160" w:before="360"/>
      </w:pPr>
      <w:bookmarkStart w:name="sec22" w:id="1"/>
      <w:r>
        <w:t xml:space="preserve">8.2 Non riesco ad aprire la dashboard dal telefono</w:t>
      </w:r>
      <w:bookmarkEnd w:id="1"/>
    </w:p>
    <w:p>
      <w:pPr>
        <w:pStyle w:val="ListParagraph"/>
        <w:numPr>
          <w:ilvl w:val="0"/>
          <w:numId w:val="1"/>
        </w:numPr>
        <w:spacing w:after="90" w:line="276"/>
      </w:pPr>
      <w:r>
        <w:t xml:space="preserve">Verificare che il telefono sia collegato alla stessa rete Wi-Fi del computer.</w:t>
      </w:r>
    </w:p>
    <w:p>
      <w:pPr>
        <w:pStyle w:val="ListParagraph"/>
        <w:numPr>
          <w:ilvl w:val="0"/>
          <w:numId w:val="1"/>
        </w:numPr>
        <w:spacing w:after="90" w:line="276"/>
      </w:pPr>
      <w:r>
        <w:t xml:space="preserve">Controllare che il firewall di Windows non stia bloccando l'app sulle reti private (Pannello di controllo → Windows Defender Firewall).</w:t>
      </w:r>
    </w:p>
    <w:p>
      <w:pPr>
        <w:pStyle w:val="ListParagraph"/>
        <w:numPr>
          <w:ilvl w:val="0"/>
          <w:numId w:val="1"/>
        </w:numPr>
        <w:spacing w:after="90" w:line="276"/>
      </w:pPr>
      <w:r>
        <w:t xml:space="preserve">Verificare che il parametro Remote_enabled sia impostato su true nel file di configurazione.</w:t>
      </w:r>
    </w:p>
    <w:p>
      <w:pPr>
        <w:pStyle w:val="Heading2"/>
        <w:spacing w:after="160" w:before="360"/>
      </w:pPr>
      <w:bookmarkStart w:name="sec23" w:id="1"/>
      <w:r>
        <w:t xml:space="preserve">8.3 Invio di un messaggio in chat senza effetto apparente</w:t>
      </w:r>
      <w:bookmarkEnd w:id="1"/>
    </w:p>
    <w:p>
      <w:pPr>
        <w:spacing w:after="160" w:line="276"/>
      </w:pPr>
      <w:r>
        <w:t xml:space="preserve">Se compare un messaggio di errore in rosso vicino al campo di invio, indica un problema di rete o del server — riprovare dopo aver verificato la connessione alla rete locale. L'invio non dipende dallo stato "LIVE" mostrato in alto: funziona anche se quell'indicatore risulta temporaneamente disconnesso.</w:t>
      </w:r>
    </w:p>
    <w:p>
      <w:pPr>
        <w:pStyle w:val="Heading2"/>
        <w:spacing w:after="160" w:before="360"/>
      </w:pPr>
      <w:bookmarkStart w:name="sec24" w:id="1"/>
      <w:r>
        <w:t xml:space="preserve">8.4 Genera QR non funziona</w:t>
      </w:r>
      <w:bookmarkEnd w:id="1"/>
    </w:p>
    <w:p>
      <w:pPr>
        <w:spacing w:after="160" w:line="276"/>
      </w:pPr>
      <w:r>
        <w:t xml:space="preserve">La generazione dei codici QR richiede la libreria qrcode installata nell'ambiente in cui gira l'applicazione. Se il pulsante mostra un errore relativo alla libreria mancante, è necessario installarla nell'ambiente usato per creare l'eseguibile.</w:t>
      </w:r>
    </w:p>
    <w:p>
      <w:pPr>
        <w:pStyle w:val="Heading2"/>
        <w:spacing w:after="160" w:before="360"/>
      </w:pPr>
      <w:bookmarkStart w:name="sec25" w:id="1"/>
      <w:r>
        <w:t xml:space="preserve">8.5 Il report non include tutte le comunicazioni/apparati attesi</w:t>
      </w:r>
      <w:bookmarkEnd w:id="1"/>
    </w:p>
    <w:p>
      <w:pPr>
        <w:spacing w:after="160" w:line="276"/>
      </w:pPr>
      <w:r>
        <w:t xml:space="preserve">Il report "Log Comunicazioni" e il report "Chat" includono solo i dati della sessione corrente (da quando l'app è stata avviata). Per lo storico completo di tutti i movimenti TLC Point, anche di sessioni precedenti, usare invece il Report log TLC Point (paragrafo 5.9), che legge l'intero archivio salvato nel file apparati.xlsx.</w:t>
      </w:r>
    </w:p>
    <w:p>
      <w:pPr>
        <w:spacing w:after="300"/>
      </w:pPr>
    </w:p>
    <w:p>
      <w:pPr>
        <w:pBdr>
          <w:top w:val="single" w:color="cccccc" w:sz="4" w:space="8"/>
        </w:pBdr>
      </w:pPr>
    </w:p>
    <w:p>
      <w:pPr>
        <w:spacing w:after="120"/>
      </w:pPr>
    </w:p>
    <w:p>
      <w:pPr>
        <w:jc w:val="center"/>
      </w:pPr>
      <w:r>
        <w:rPr>
          <w:i/>
          <w:iCs/>
          <w:color w:val="999999"/>
          <w:sz w:val="20"/>
          <w:szCs w:val="20"/>
        </w:rPr>
        <w:t xml:space="preserve">Fine del manuale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8"/>
        <w:szCs w:val="18"/>
      </w:rPr>
      <w:t xml:space="preserve">Pagina </w:t>
    </w:r>
    <w:r>
      <w:rPr>
        <w:color w:val="999999"/>
        <w:sz w:val="18"/>
        <w:szCs w:val="18"/>
      </w:rPr>
      <w:fldChar w:fldCharType="begin"/>
      <w:instrText xml:space="preserve">PAGE</w:instrText>
      <w:fldChar w:fldCharType="separate"/>
      <w:fldChar w:fldCharType="end"/>
    </w:r>
    <w:r>
      <w:rPr>
        <w:color w:val="999999"/>
        <w:sz w:val="18"/>
        <w:szCs w:val="18"/>
      </w:rPr>
      <w:t xml:space="preserve"> di </w:t>
    </w:r>
    <w:r>
      <w:rPr>
        <w:color w:val="99999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ProcivBes Radio Team Tool — Manuale Utente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jc w:val="center"/>
    </w:pPr>
    <w:rPr>
      <w:rFonts w:ascii="Calibri" w:cs="Calibri" w:eastAsia="Calibri" w:hAnsi="Calibri"/>
      <w:b/>
      <w:bCs/>
      <w:color w:val="1a2e44"/>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2026-07-12T15:11:34.255Z</dcterms:created>
  <dcterms:modified xsi:type="dcterms:W3CDTF">2026-07-12T15:11:34.255Z</dcterms:modified>
</cp:coreProperties>
</file>

<file path=docProps/custom.xml><?xml version="1.0" encoding="utf-8"?>
<Properties xmlns="http://schemas.openxmlformats.org/officeDocument/2006/custom-properties" xmlns:vt="http://schemas.openxmlformats.org/officeDocument/2006/docPropsVTypes"/>
</file>