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0677C" w14:textId="77777777" w:rsidR="00B44B32" w:rsidRDefault="006B4FAE">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IT行业薪酬变化的量化分析</w:t>
      </w:r>
      <w:r w:rsidR="00B44B32">
        <w:rPr>
          <w:rFonts w:ascii="宋体" w:eastAsia="宋体" w:hAnsi="宋体"/>
          <w:color w:val="FF0000"/>
          <w:sz w:val="21"/>
          <w:szCs w:val="21"/>
        </w:rPr>
        <w:t xml:space="preserve"> </w:t>
      </w:r>
    </w:p>
    <w:p w14:paraId="092EB9D2" w14:textId="77777777" w:rsidR="00B44B32" w:rsidRDefault="006B4FAE">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卢睿博</w:t>
      </w:r>
      <w:r w:rsidR="00B44B32">
        <w:rPr>
          <w:rFonts w:ascii="宋体" w:eastAsia="宋体" w:hAnsi="宋体" w:hint="eastAsia"/>
          <w:b/>
          <w:sz w:val="21"/>
          <w:szCs w:val="21"/>
        </w:rPr>
        <w:t xml:space="preserve">  </w:t>
      </w:r>
    </w:p>
    <w:p w14:paraId="609B627D" w14:textId="77777777" w:rsidR="00B44B32" w:rsidRDefault="00B44B32">
      <w:pPr>
        <w:spacing w:after="0" w:line="220" w:lineRule="atLeast"/>
        <w:rPr>
          <w:rFonts w:ascii="宋体" w:eastAsia="宋体" w:hAnsi="宋体"/>
          <w:sz w:val="18"/>
          <w:szCs w:val="18"/>
          <w:vertAlign w:val="superscript"/>
        </w:rPr>
      </w:pPr>
      <w:r>
        <w:rPr>
          <w:rFonts w:ascii="仿宋" w:eastAsia="仿宋" w:hAnsi="仿宋" w:hint="eastAsia"/>
          <w:sz w:val="18"/>
          <w:szCs w:val="18"/>
        </w:rPr>
        <w:t xml:space="preserve">1 </w:t>
      </w:r>
      <w:r w:rsidR="006B4FAE">
        <w:rPr>
          <w:rFonts w:ascii="仿宋" w:eastAsia="仿宋" w:hAnsi="仿宋" w:hint="eastAsia"/>
          <w:sz w:val="18"/>
          <w:szCs w:val="18"/>
        </w:rPr>
        <w:t>大连理工大学软件学院</w:t>
      </w:r>
      <w:r>
        <w:rPr>
          <w:rFonts w:ascii="仿宋" w:eastAsia="仿宋" w:hAnsi="仿宋" w:hint="eastAsia"/>
          <w:sz w:val="18"/>
          <w:szCs w:val="18"/>
        </w:rPr>
        <w:t xml:space="preserve"> </w:t>
      </w:r>
      <w:r w:rsidR="006B4FAE">
        <w:rPr>
          <w:rFonts w:ascii="仿宋" w:eastAsia="仿宋" w:hAnsi="仿宋" w:hint="eastAsia"/>
          <w:sz w:val="18"/>
          <w:szCs w:val="18"/>
        </w:rPr>
        <w:t>辽宁</w:t>
      </w:r>
      <w:r>
        <w:rPr>
          <w:rFonts w:ascii="仿宋" w:eastAsia="仿宋" w:hAnsi="仿宋" w:hint="eastAsia"/>
          <w:sz w:val="18"/>
          <w:szCs w:val="18"/>
        </w:rPr>
        <w:t xml:space="preserve"> </w:t>
      </w:r>
      <w:r w:rsidR="006B4FAE">
        <w:rPr>
          <w:rFonts w:ascii="仿宋" w:eastAsia="仿宋" w:hAnsi="仿宋" w:hint="eastAsia"/>
          <w:sz w:val="18"/>
          <w:szCs w:val="18"/>
        </w:rPr>
        <w:t>大连</w:t>
      </w:r>
      <w:r>
        <w:rPr>
          <w:rFonts w:ascii="仿宋" w:eastAsia="仿宋" w:hAnsi="仿宋" w:hint="eastAsia"/>
          <w:sz w:val="18"/>
          <w:szCs w:val="18"/>
        </w:rPr>
        <w:t xml:space="preserve"> </w:t>
      </w:r>
      <w:r w:rsidR="006B4FAE" w:rsidRPr="006B4FAE">
        <w:rPr>
          <w:rFonts w:ascii="仿宋" w:eastAsia="仿宋" w:hAnsi="仿宋"/>
          <w:sz w:val="18"/>
          <w:szCs w:val="18"/>
        </w:rPr>
        <w:t>116600</w:t>
      </w:r>
      <w:r w:rsidR="009F784C">
        <w:rPr>
          <w:rFonts w:ascii="宋体" w:eastAsia="宋体" w:hAnsi="宋体"/>
          <w:sz w:val="18"/>
          <w:szCs w:val="18"/>
          <w:vertAlign w:val="superscript"/>
        </w:rPr>
        <w:t xml:space="preserve"> </w:t>
      </w:r>
    </w:p>
    <w:p w14:paraId="441E2DE7" w14:textId="77777777" w:rsidR="00B44B32" w:rsidRDefault="00B44B32">
      <w:pPr>
        <w:spacing w:after="0" w:line="220" w:lineRule="atLeast"/>
        <w:jc w:val="both"/>
        <w:rPr>
          <w:rFonts w:ascii="仿宋" w:eastAsia="仿宋" w:hAnsi="仿宋"/>
          <w:sz w:val="21"/>
          <w:szCs w:val="21"/>
        </w:rPr>
      </w:pPr>
    </w:p>
    <w:p w14:paraId="54D3BE40" w14:textId="77777777" w:rsidR="00B44B32" w:rsidRDefault="00B44B32">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622DEE" w:rsidRPr="00622DEE">
        <w:rPr>
          <w:rFonts w:ascii="仿宋" w:eastAsia="仿宋" w:hAnsi="仿宋" w:hint="eastAsia"/>
          <w:sz w:val="18"/>
          <w:szCs w:val="18"/>
        </w:rPr>
        <w:t>针对IT行业薪酬的讨论会间断性的成为</w:t>
      </w:r>
      <w:proofErr w:type="gramStart"/>
      <w:r w:rsidR="00622DEE" w:rsidRPr="00622DEE">
        <w:rPr>
          <w:rFonts w:ascii="仿宋" w:eastAsia="仿宋" w:hAnsi="仿宋" w:hint="eastAsia"/>
          <w:sz w:val="18"/>
          <w:szCs w:val="18"/>
        </w:rPr>
        <w:t>社会热议的</w:t>
      </w:r>
      <w:proofErr w:type="gramEnd"/>
      <w:r w:rsidR="00622DEE" w:rsidRPr="00622DEE">
        <w:rPr>
          <w:rFonts w:ascii="仿宋" w:eastAsia="仿宋" w:hAnsi="仿宋" w:hint="eastAsia"/>
          <w:sz w:val="18"/>
          <w:szCs w:val="18"/>
        </w:rPr>
        <w:t>话题。通常由于IT行业薪酬的优越性和高职位高薪酬的少数人群的</w:t>
      </w:r>
      <w:r w:rsidR="00622DEE">
        <w:rPr>
          <w:rFonts w:ascii="仿宋" w:eastAsia="仿宋" w:hAnsi="仿宋" w:hint="eastAsia"/>
          <w:sz w:val="18"/>
          <w:szCs w:val="18"/>
        </w:rPr>
        <w:t>影响，针对行业普遍现象的分析会被选择性忽略。</w:t>
      </w:r>
      <w:r w:rsidR="00622DEE" w:rsidRPr="00622DEE">
        <w:rPr>
          <w:rFonts w:ascii="仿宋" w:eastAsia="仿宋" w:hAnsi="仿宋" w:hint="eastAsia"/>
          <w:sz w:val="18"/>
          <w:szCs w:val="18"/>
        </w:rPr>
        <w:t>本篇文章运用数值分析等数学方法系统性的对IT行业</w:t>
      </w:r>
      <w:r w:rsidR="00622DEE">
        <w:rPr>
          <w:rFonts w:ascii="仿宋" w:eastAsia="仿宋" w:hAnsi="仿宋" w:hint="eastAsia"/>
          <w:sz w:val="18"/>
          <w:szCs w:val="18"/>
        </w:rPr>
        <w:t>的普遍</w:t>
      </w:r>
      <w:r w:rsidR="00622DEE" w:rsidRPr="00622DEE">
        <w:rPr>
          <w:rFonts w:ascii="仿宋" w:eastAsia="仿宋" w:hAnsi="仿宋" w:hint="eastAsia"/>
          <w:sz w:val="18"/>
          <w:szCs w:val="18"/>
        </w:rPr>
        <w:t>薪酬进行量化分析</w:t>
      </w:r>
      <w:r w:rsidR="00622DEE">
        <w:rPr>
          <w:rFonts w:ascii="仿宋" w:eastAsia="仿宋" w:hAnsi="仿宋" w:hint="eastAsia"/>
          <w:sz w:val="18"/>
          <w:szCs w:val="18"/>
        </w:rPr>
        <w:t>，综合分析了过去三年中IT行业薪酬的变化并给出针对变化现象的推测结论</w:t>
      </w:r>
    </w:p>
    <w:p w14:paraId="5A367417" w14:textId="77777777" w:rsidR="00B44B32" w:rsidRDefault="00B44B32">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6B4FAE">
        <w:rPr>
          <w:rFonts w:ascii="宋体" w:eastAsia="宋体" w:hAnsi="宋体" w:hint="eastAsia"/>
          <w:sz w:val="18"/>
          <w:szCs w:val="18"/>
        </w:rPr>
        <w:t>IT行业</w:t>
      </w:r>
      <w:r>
        <w:rPr>
          <w:rFonts w:ascii="宋体" w:eastAsia="宋体" w:hAnsi="宋体" w:hint="eastAsia"/>
          <w:sz w:val="18"/>
          <w:szCs w:val="18"/>
        </w:rPr>
        <w:t>；</w:t>
      </w:r>
      <w:r w:rsidR="006B4FAE">
        <w:rPr>
          <w:rFonts w:ascii="宋体" w:eastAsia="宋体" w:hAnsi="宋体" w:hint="eastAsia"/>
          <w:sz w:val="18"/>
          <w:szCs w:val="18"/>
        </w:rPr>
        <w:t>薪酬</w:t>
      </w:r>
      <w:r>
        <w:rPr>
          <w:rFonts w:ascii="宋体" w:eastAsia="宋体" w:hAnsi="宋体" w:hint="eastAsia"/>
          <w:sz w:val="18"/>
          <w:szCs w:val="18"/>
        </w:rPr>
        <w:t>；</w:t>
      </w:r>
      <w:r w:rsidR="006B4FAE">
        <w:rPr>
          <w:rFonts w:ascii="宋体" w:eastAsia="宋体" w:hAnsi="宋体" w:hint="eastAsia"/>
          <w:sz w:val="18"/>
          <w:szCs w:val="18"/>
        </w:rPr>
        <w:t>量化分析</w:t>
      </w:r>
    </w:p>
    <w:p w14:paraId="76108433" w14:textId="77777777" w:rsidR="00B44B32" w:rsidRDefault="00B44B32">
      <w:pPr>
        <w:pStyle w:val="DepartCorrespond"/>
        <w:ind w:left="106" w:hanging="106"/>
        <w:rPr>
          <w:b/>
        </w:rPr>
      </w:pPr>
      <w:r>
        <w:rPr>
          <w:rFonts w:hint="eastAsia"/>
          <w:b/>
        </w:rPr>
        <w:t xml:space="preserve">    </w:t>
      </w:r>
    </w:p>
    <w:p w14:paraId="72AC7D4E" w14:textId="77777777" w:rsidR="00B44B32" w:rsidRDefault="00B44B32">
      <w:pPr>
        <w:pStyle w:val="DepartCorrespond"/>
        <w:numPr>
          <w:ilvl w:val="0"/>
          <w:numId w:val="1"/>
        </w:numPr>
        <w:ind w:firstLineChars="0"/>
        <w:rPr>
          <w:rFonts w:ascii="黑体" w:eastAsia="黑体" w:hAnsi="黑体"/>
          <w:color w:val="FF0000"/>
          <w:sz w:val="21"/>
          <w:szCs w:val="21"/>
        </w:rPr>
        <w:sectPr w:rsidR="00B44B32">
          <w:headerReference w:type="default" r:id="rId8"/>
          <w:foot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p>
    <w:p w14:paraId="5E4FFF03" w14:textId="77777777" w:rsidR="00B44B32" w:rsidRDefault="006B4FAE">
      <w:pPr>
        <w:pStyle w:val="ad"/>
        <w:numPr>
          <w:ilvl w:val="0"/>
          <w:numId w:val="1"/>
        </w:numPr>
      </w:pPr>
      <w:bookmarkStart w:id="0" w:name="OLE_LINK3"/>
      <w:r>
        <w:rPr>
          <w:rFonts w:ascii="黑体" w:eastAsia="黑体" w:hAnsi="黑体" w:hint="eastAsia"/>
          <w:szCs w:val="21"/>
        </w:rPr>
        <w:t>引言</w:t>
      </w:r>
    </w:p>
    <w:bookmarkEnd w:id="0"/>
    <w:p w14:paraId="3DF702A9" w14:textId="77777777" w:rsidR="00AB5AFA" w:rsidRDefault="00365B46" w:rsidP="00495773">
      <w:pPr>
        <w:pStyle w:val="a9"/>
        <w:spacing w:after="0" w:line="400" w:lineRule="exact"/>
        <w:ind w:firstLineChars="200" w:firstLine="360"/>
        <w:rPr>
          <w:rFonts w:ascii="宋体" w:hAnsi="宋体"/>
          <w:sz w:val="18"/>
          <w:szCs w:val="18"/>
        </w:rPr>
      </w:pPr>
      <w:r>
        <w:rPr>
          <w:rFonts w:ascii="宋体" w:hAnsi="宋体" w:hint="eastAsia"/>
          <w:sz w:val="18"/>
          <w:szCs w:val="18"/>
        </w:rPr>
        <w:t>IT行业因为其薪酬高，加班多的特点一直在社会舆论中占据着重要的地位，但不可否认的是IT行业依然保持着对人才充足的吸引力。</w:t>
      </w:r>
    </w:p>
    <w:p w14:paraId="482DEECD" w14:textId="77777777" w:rsidR="00365B46" w:rsidRDefault="00330B23" w:rsidP="00495773">
      <w:pPr>
        <w:pStyle w:val="a9"/>
        <w:spacing w:after="0" w:line="400" w:lineRule="exact"/>
        <w:ind w:firstLineChars="200" w:firstLine="360"/>
        <w:rPr>
          <w:rFonts w:ascii="宋体" w:hAnsi="宋体"/>
          <w:sz w:val="18"/>
          <w:szCs w:val="18"/>
        </w:rPr>
      </w:pPr>
      <w:r>
        <w:rPr>
          <w:rFonts w:ascii="宋体" w:hAnsi="宋体" w:hint="eastAsia"/>
          <w:sz w:val="18"/>
          <w:szCs w:val="18"/>
        </w:rPr>
        <w:t>从</w:t>
      </w:r>
      <w:r w:rsidR="00365B46">
        <w:rPr>
          <w:rFonts w:ascii="宋体" w:hAnsi="宋体" w:hint="eastAsia"/>
          <w:sz w:val="18"/>
          <w:szCs w:val="18"/>
        </w:rPr>
        <w:t>IT行业招聘平台BOSS</w:t>
      </w:r>
      <w:proofErr w:type="gramStart"/>
      <w:r w:rsidR="00365B46">
        <w:rPr>
          <w:rFonts w:ascii="宋体" w:hAnsi="宋体" w:hint="eastAsia"/>
          <w:sz w:val="18"/>
          <w:szCs w:val="18"/>
        </w:rPr>
        <w:t>直聘发布</w:t>
      </w:r>
      <w:proofErr w:type="gramEnd"/>
      <w:r w:rsidR="00365B46">
        <w:rPr>
          <w:rFonts w:ascii="宋体" w:hAnsi="宋体" w:hint="eastAsia"/>
          <w:sz w:val="18"/>
          <w:szCs w:val="18"/>
        </w:rPr>
        <w:t>的《互联网人才趋势白皮书》中我们可以看到，过去一年</w:t>
      </w:r>
      <w:r w:rsidR="00C65A6B">
        <w:rPr>
          <w:rFonts w:ascii="宋体" w:hAnsi="宋体" w:hint="eastAsia"/>
          <w:sz w:val="18"/>
          <w:szCs w:val="18"/>
        </w:rPr>
        <w:t>，IT行业依旧保持着旺盛的生命力，从业者的薪资保持着一定的增幅。</w:t>
      </w:r>
    </w:p>
    <w:p w14:paraId="252F0D69" w14:textId="77777777" w:rsidR="00EF4D30" w:rsidRDefault="00C65A6B" w:rsidP="00495773">
      <w:pPr>
        <w:pStyle w:val="a9"/>
        <w:spacing w:after="0" w:line="400" w:lineRule="exact"/>
        <w:ind w:firstLine="357"/>
        <w:rPr>
          <w:rFonts w:ascii="宋体" w:hAnsi="宋体"/>
          <w:sz w:val="18"/>
          <w:szCs w:val="18"/>
        </w:rPr>
      </w:pPr>
      <w:r>
        <w:rPr>
          <w:rFonts w:ascii="宋体" w:hAnsi="宋体" w:hint="eastAsia"/>
          <w:sz w:val="18"/>
          <w:szCs w:val="18"/>
        </w:rPr>
        <w:t>报告显示，IT行业的平均招聘薪酬达到1</w:t>
      </w:r>
      <w:r>
        <w:rPr>
          <w:rFonts w:ascii="宋体" w:hAnsi="宋体"/>
          <w:sz w:val="18"/>
          <w:szCs w:val="18"/>
        </w:rPr>
        <w:t>.06</w:t>
      </w:r>
      <w:r>
        <w:rPr>
          <w:rFonts w:ascii="宋体" w:hAnsi="宋体" w:hint="eastAsia"/>
          <w:sz w:val="18"/>
          <w:szCs w:val="18"/>
        </w:rPr>
        <w:t>万元</w:t>
      </w:r>
      <w:r w:rsidR="00EF4D30">
        <w:rPr>
          <w:rFonts w:ascii="宋体" w:hAnsi="宋体" w:hint="eastAsia"/>
          <w:sz w:val="18"/>
          <w:szCs w:val="18"/>
        </w:rPr>
        <w:t>，同比上升3</w:t>
      </w:r>
      <w:r w:rsidR="00EF4D30">
        <w:rPr>
          <w:rFonts w:ascii="宋体" w:hAnsi="宋体"/>
          <w:sz w:val="18"/>
          <w:szCs w:val="18"/>
        </w:rPr>
        <w:t>.1%</w:t>
      </w:r>
      <w:r w:rsidR="00EF4D30">
        <w:rPr>
          <w:rFonts w:ascii="宋体" w:hAnsi="宋体" w:hint="eastAsia"/>
          <w:sz w:val="18"/>
          <w:szCs w:val="18"/>
        </w:rPr>
        <w:t>。随着高水平技术岗位的大量涌现和普通技术岗位薪资的不断回调，IT行业岗位薪酬也在不断两级分化，其中前5</w:t>
      </w:r>
      <w:r w:rsidR="00EF4D30">
        <w:rPr>
          <w:rFonts w:ascii="宋体" w:hAnsi="宋体"/>
          <w:sz w:val="18"/>
          <w:szCs w:val="18"/>
        </w:rPr>
        <w:t>%</w:t>
      </w:r>
      <w:r w:rsidR="00EF4D30">
        <w:rPr>
          <w:rFonts w:ascii="宋体" w:hAnsi="宋体" w:hint="eastAsia"/>
          <w:sz w:val="18"/>
          <w:szCs w:val="18"/>
        </w:rPr>
        <w:t>的高级岗位的平均薪资是普通岗位的</w:t>
      </w:r>
      <w:r w:rsidR="00EF4D30">
        <w:rPr>
          <w:rFonts w:ascii="宋体" w:hAnsi="宋体"/>
          <w:sz w:val="18"/>
          <w:szCs w:val="18"/>
        </w:rPr>
        <w:t>8.1</w:t>
      </w:r>
      <w:r w:rsidR="00EF4D30">
        <w:rPr>
          <w:rFonts w:ascii="宋体" w:hAnsi="宋体" w:hint="eastAsia"/>
          <w:sz w:val="18"/>
          <w:szCs w:val="18"/>
        </w:rPr>
        <w:t>倍，同比于去年的7</w:t>
      </w:r>
      <w:r w:rsidR="00EF4D30">
        <w:rPr>
          <w:rFonts w:ascii="宋体" w:hAnsi="宋体"/>
          <w:sz w:val="18"/>
          <w:szCs w:val="18"/>
        </w:rPr>
        <w:t>.9</w:t>
      </w:r>
      <w:r w:rsidR="00EF4D30">
        <w:rPr>
          <w:rFonts w:ascii="宋体" w:hAnsi="宋体" w:hint="eastAsia"/>
          <w:sz w:val="18"/>
          <w:szCs w:val="18"/>
        </w:rPr>
        <w:t>倍，呈现增长的趋势。</w:t>
      </w:r>
    </w:p>
    <w:p w14:paraId="19222DF1" w14:textId="77777777" w:rsidR="00582F88" w:rsidRDefault="00582F88" w:rsidP="00495773">
      <w:pPr>
        <w:pStyle w:val="a9"/>
        <w:spacing w:after="0" w:line="400" w:lineRule="exact"/>
        <w:ind w:firstLine="357"/>
        <w:rPr>
          <w:rFonts w:ascii="宋体" w:hAnsi="宋体" w:hint="eastAsia"/>
          <w:sz w:val="18"/>
          <w:szCs w:val="18"/>
        </w:rPr>
      </w:pPr>
      <w:r>
        <w:rPr>
          <w:rFonts w:ascii="宋体" w:hAnsi="宋体" w:hint="eastAsia"/>
          <w:sz w:val="18"/>
          <w:szCs w:val="18"/>
        </w:rPr>
        <w:t>[</w:t>
      </w:r>
      <w:r>
        <w:rPr>
          <w:rFonts w:ascii="宋体" w:hAnsi="宋体"/>
          <w:sz w:val="18"/>
          <w:szCs w:val="18"/>
        </w:rPr>
        <w:t>2]</w:t>
      </w:r>
      <w:r>
        <w:rPr>
          <w:rFonts w:ascii="宋体" w:hAnsi="宋体" w:hint="eastAsia"/>
          <w:sz w:val="18"/>
          <w:szCs w:val="18"/>
        </w:rPr>
        <w:t>和[</w:t>
      </w:r>
      <w:r>
        <w:rPr>
          <w:rFonts w:ascii="宋体" w:hAnsi="宋体"/>
          <w:sz w:val="18"/>
          <w:szCs w:val="18"/>
        </w:rPr>
        <w:t>5]</w:t>
      </w:r>
      <w:r>
        <w:rPr>
          <w:rFonts w:ascii="宋体" w:hAnsi="宋体" w:hint="eastAsia"/>
          <w:sz w:val="18"/>
          <w:szCs w:val="18"/>
        </w:rPr>
        <w:t>这两篇文章针对IT工资进行了简要的分析。[</w:t>
      </w:r>
      <w:r>
        <w:rPr>
          <w:rFonts w:ascii="宋体" w:hAnsi="宋体"/>
          <w:sz w:val="18"/>
          <w:szCs w:val="18"/>
        </w:rPr>
        <w:t>3]</w:t>
      </w:r>
      <w:r>
        <w:rPr>
          <w:rFonts w:ascii="宋体" w:hAnsi="宋体" w:hint="eastAsia"/>
          <w:sz w:val="18"/>
          <w:szCs w:val="18"/>
        </w:rPr>
        <w:t>文章对包括IT行业等的新兴行业进行了统一的分析，[</w:t>
      </w:r>
      <w:r>
        <w:rPr>
          <w:rFonts w:ascii="宋体" w:hAnsi="宋体"/>
          <w:sz w:val="18"/>
          <w:szCs w:val="18"/>
        </w:rPr>
        <w:t>1]</w:t>
      </w:r>
      <w:r>
        <w:rPr>
          <w:rFonts w:ascii="宋体" w:hAnsi="宋体" w:hint="eastAsia"/>
          <w:sz w:val="18"/>
          <w:szCs w:val="18"/>
        </w:rPr>
        <w:t>中对工资的影响因素进行了抽象的分析。</w:t>
      </w:r>
    </w:p>
    <w:p w14:paraId="4F494440" w14:textId="77777777" w:rsidR="00EF4D30" w:rsidRDefault="00EF4D30" w:rsidP="00EF4D30">
      <w:pPr>
        <w:pStyle w:val="a9"/>
        <w:spacing w:after="0" w:line="400" w:lineRule="exact"/>
        <w:ind w:firstLine="357"/>
        <w:rPr>
          <w:rFonts w:ascii="宋体" w:hAnsi="宋体"/>
          <w:sz w:val="18"/>
          <w:szCs w:val="18"/>
        </w:rPr>
      </w:pPr>
      <w:r>
        <w:rPr>
          <w:rFonts w:ascii="宋体" w:hAnsi="宋体" w:hint="eastAsia"/>
          <w:sz w:val="18"/>
          <w:szCs w:val="18"/>
        </w:rPr>
        <w:t>本文在IT行业统一薪资</w:t>
      </w:r>
      <w:r w:rsidR="0032683F">
        <w:rPr>
          <w:rFonts w:ascii="宋体" w:hAnsi="宋体" w:hint="eastAsia"/>
          <w:sz w:val="18"/>
          <w:szCs w:val="18"/>
        </w:rPr>
        <w:t>的基础上又针对不同融资阶段，不同地域，不同岗位的工资情况进行了进一步的分析，得出了本文的结论。</w:t>
      </w:r>
    </w:p>
    <w:p w14:paraId="48CC32F3" w14:textId="77777777" w:rsidR="0032683F" w:rsidRPr="009F784C" w:rsidRDefault="0032683F" w:rsidP="0032683F">
      <w:pPr>
        <w:pStyle w:val="ad"/>
        <w:numPr>
          <w:ilvl w:val="0"/>
          <w:numId w:val="1"/>
        </w:numPr>
      </w:pPr>
      <w:r>
        <w:rPr>
          <w:rFonts w:ascii="黑体" w:eastAsia="黑体" w:hAnsi="黑体" w:hint="eastAsia"/>
          <w:szCs w:val="21"/>
        </w:rPr>
        <w:t>分析结果</w:t>
      </w:r>
    </w:p>
    <w:p w14:paraId="5CCB7D1A" w14:textId="77777777" w:rsidR="009F784C" w:rsidRPr="009F784C" w:rsidRDefault="009F784C" w:rsidP="009F784C">
      <w:pPr>
        <w:pStyle w:val="ad"/>
        <w:ind w:left="360"/>
        <w:rPr>
          <w:rFonts w:ascii="宋体" w:hAnsi="宋体" w:hint="eastAsia"/>
          <w:sz w:val="18"/>
          <w:szCs w:val="18"/>
        </w:rPr>
      </w:pPr>
      <w:r>
        <w:rPr>
          <w:rFonts w:ascii="宋体" w:hAnsi="宋体" w:hint="eastAsia"/>
          <w:sz w:val="18"/>
          <w:szCs w:val="18"/>
        </w:rPr>
        <w:t>通过对于薪酬的各种印象因素和现状的分析，我们从两个方面得出了以下结果</w:t>
      </w:r>
      <w:r w:rsidR="00AE7645">
        <w:rPr>
          <w:rFonts w:ascii="宋体" w:hAnsi="宋体" w:hint="eastAsia"/>
          <w:sz w:val="18"/>
          <w:szCs w:val="18"/>
        </w:rPr>
        <w:t>。</w:t>
      </w:r>
    </w:p>
    <w:p w14:paraId="058B2CB6" w14:textId="77777777" w:rsidR="00495773" w:rsidRDefault="009F784C" w:rsidP="00495773">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多维度</w:t>
      </w:r>
      <w:r w:rsidR="00AE7645">
        <w:rPr>
          <w:rFonts w:ascii="黑体" w:eastAsia="黑体" w:hAnsi="黑体" w:hint="eastAsia"/>
          <w:sz w:val="18"/>
          <w:szCs w:val="18"/>
        </w:rPr>
        <w:t>的</w:t>
      </w:r>
      <w:r>
        <w:rPr>
          <w:rFonts w:ascii="黑体" w:eastAsia="黑体" w:hAnsi="黑体" w:hint="eastAsia"/>
          <w:sz w:val="18"/>
          <w:szCs w:val="18"/>
        </w:rPr>
        <w:t>影响因素</w:t>
      </w:r>
    </w:p>
    <w:p w14:paraId="473EE290" w14:textId="77777777" w:rsidR="009F784C" w:rsidRDefault="009F784C" w:rsidP="009F784C">
      <w:pPr>
        <w:pStyle w:val="a9"/>
        <w:spacing w:after="0" w:line="400" w:lineRule="exact"/>
        <w:ind w:firstLineChars="200" w:firstLine="360"/>
        <w:rPr>
          <w:rFonts w:ascii="宋体" w:hAnsi="宋体"/>
          <w:sz w:val="18"/>
          <w:szCs w:val="18"/>
        </w:rPr>
      </w:pPr>
      <w:r>
        <w:rPr>
          <w:rFonts w:ascii="宋体" w:hAnsi="宋体" w:hint="eastAsia"/>
          <w:sz w:val="18"/>
          <w:szCs w:val="18"/>
        </w:rPr>
        <w:t>通过我们的研究发现，薪酬的实际高低取决于以下几个维度。1）企业的融资轮数：融资轮次高的企业普遍薪酬较高。</w:t>
      </w:r>
      <w:r>
        <w:rPr>
          <w:rFonts w:ascii="宋体" w:hAnsi="宋体" w:hint="eastAsia"/>
          <w:sz w:val="18"/>
          <w:szCs w:val="18"/>
        </w:rPr>
        <w:t>2）技术岗位：新兴的技术岗位普遍薪酬高且涨幅也高。3）就业区域：</w:t>
      </w:r>
      <w:r w:rsidR="009E53D7">
        <w:rPr>
          <w:rFonts w:ascii="宋体" w:hAnsi="宋体" w:hint="eastAsia"/>
          <w:sz w:val="18"/>
          <w:szCs w:val="18"/>
        </w:rPr>
        <w:t>我们将其分为</w:t>
      </w:r>
      <w:r w:rsidR="00885CE7">
        <w:rPr>
          <w:rFonts w:ascii="宋体" w:hAnsi="宋体" w:hint="eastAsia"/>
          <w:sz w:val="18"/>
          <w:szCs w:val="18"/>
        </w:rPr>
        <w:t>三个梯队，具有不同的薪酬区间。4）按行业来分：</w:t>
      </w:r>
      <w:r w:rsidR="00885CE7">
        <w:rPr>
          <w:rFonts w:ascii="宋体" w:hAnsi="宋体"/>
          <w:sz w:val="18"/>
          <w:szCs w:val="18"/>
        </w:rPr>
        <w:t>AI</w:t>
      </w:r>
      <w:r w:rsidR="00885CE7">
        <w:rPr>
          <w:rFonts w:ascii="宋体" w:hAnsi="宋体" w:hint="eastAsia"/>
          <w:sz w:val="18"/>
          <w:szCs w:val="18"/>
        </w:rPr>
        <w:t>，短视频，网络安全</w:t>
      </w:r>
      <w:r w:rsidR="009E53D7">
        <w:rPr>
          <w:rFonts w:ascii="宋体" w:hAnsi="宋体" w:hint="eastAsia"/>
          <w:sz w:val="18"/>
          <w:szCs w:val="18"/>
        </w:rPr>
        <w:t>等</w:t>
      </w:r>
      <w:r w:rsidR="00885CE7">
        <w:rPr>
          <w:rFonts w:ascii="宋体" w:hAnsi="宋体" w:hint="eastAsia"/>
          <w:sz w:val="18"/>
          <w:szCs w:val="18"/>
        </w:rPr>
        <w:t>行业的薪酬普遍偏高。</w:t>
      </w:r>
    </w:p>
    <w:p w14:paraId="52867ABD" w14:textId="77777777" w:rsidR="00885CE7" w:rsidRDefault="00885CE7" w:rsidP="00885CE7">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针对薪酬的深度剥离分析</w:t>
      </w:r>
    </w:p>
    <w:p w14:paraId="0C1F88FE" w14:textId="77777777" w:rsidR="00885CE7" w:rsidRDefault="00AE7645" w:rsidP="009F784C">
      <w:pPr>
        <w:pStyle w:val="a9"/>
        <w:spacing w:after="0" w:line="400" w:lineRule="exact"/>
        <w:ind w:firstLineChars="200" w:firstLine="360"/>
        <w:rPr>
          <w:rFonts w:ascii="宋体" w:hAnsi="宋体"/>
          <w:sz w:val="18"/>
          <w:szCs w:val="18"/>
        </w:rPr>
      </w:pPr>
      <w:r>
        <w:rPr>
          <w:rFonts w:ascii="宋体" w:hAnsi="宋体" w:hint="eastAsia"/>
          <w:sz w:val="18"/>
          <w:szCs w:val="18"/>
        </w:rPr>
        <w:t>通过深度的分析，</w:t>
      </w:r>
      <w:r w:rsidR="00885CE7">
        <w:rPr>
          <w:rFonts w:ascii="宋体" w:hAnsi="宋体" w:hint="eastAsia"/>
          <w:sz w:val="18"/>
          <w:szCs w:val="18"/>
        </w:rPr>
        <w:t>我们发现，市场环境因素，</w:t>
      </w:r>
      <w:proofErr w:type="gramStart"/>
      <w:r w:rsidR="00885CE7">
        <w:rPr>
          <w:rFonts w:ascii="宋体" w:hAnsi="宋体" w:hint="eastAsia"/>
          <w:sz w:val="18"/>
          <w:szCs w:val="18"/>
        </w:rPr>
        <w:t>行业机遇</w:t>
      </w:r>
      <w:proofErr w:type="gramEnd"/>
      <w:r w:rsidR="00885CE7">
        <w:rPr>
          <w:rFonts w:ascii="宋体" w:hAnsi="宋体" w:hint="eastAsia"/>
          <w:sz w:val="18"/>
          <w:szCs w:val="18"/>
        </w:rPr>
        <w:t>与发展，灵活的福利措施，弹性的薪酬体系，高流动的人员因素等早就了互联网薪酬水涨船高</w:t>
      </w:r>
      <w:r>
        <w:rPr>
          <w:rFonts w:ascii="宋体" w:hAnsi="宋体" w:hint="eastAsia"/>
          <w:sz w:val="18"/>
          <w:szCs w:val="18"/>
        </w:rPr>
        <w:t>的形式</w:t>
      </w:r>
      <w:r w:rsidR="00885CE7">
        <w:rPr>
          <w:rFonts w:ascii="宋体" w:hAnsi="宋体" w:hint="eastAsia"/>
          <w:sz w:val="18"/>
          <w:szCs w:val="18"/>
        </w:rPr>
        <w:t>。</w:t>
      </w:r>
    </w:p>
    <w:p w14:paraId="30D73411" w14:textId="77777777" w:rsidR="00885CE7" w:rsidRDefault="00885CE7" w:rsidP="00885CE7">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通过对新兴行业发展规律分析得到的启示</w:t>
      </w:r>
    </w:p>
    <w:p w14:paraId="4AF54811" w14:textId="77777777" w:rsidR="00885CE7" w:rsidRPr="00885CE7" w:rsidRDefault="00AE7645" w:rsidP="009F784C">
      <w:pPr>
        <w:pStyle w:val="a9"/>
        <w:spacing w:after="0" w:line="400" w:lineRule="exact"/>
        <w:ind w:firstLineChars="200" w:firstLine="360"/>
        <w:rPr>
          <w:rFonts w:ascii="宋体" w:hAnsi="宋体" w:hint="eastAsia"/>
          <w:sz w:val="18"/>
          <w:szCs w:val="18"/>
        </w:rPr>
      </w:pPr>
      <w:r>
        <w:rPr>
          <w:rFonts w:ascii="宋体" w:hAnsi="宋体" w:hint="eastAsia"/>
          <w:sz w:val="18"/>
          <w:szCs w:val="18"/>
        </w:rPr>
        <w:t>由薪酬体现出的IT行业的发展与新兴行业发展理论的结合。我们认为</w:t>
      </w:r>
      <w:r>
        <w:rPr>
          <w:rFonts w:ascii="宋体" w:hAnsi="宋体"/>
          <w:sz w:val="18"/>
          <w:szCs w:val="18"/>
        </w:rPr>
        <w:t>1</w:t>
      </w:r>
      <w:r>
        <w:rPr>
          <w:rFonts w:ascii="宋体" w:hAnsi="宋体" w:hint="eastAsia"/>
          <w:sz w:val="18"/>
          <w:szCs w:val="18"/>
        </w:rPr>
        <w:t>）IT行业的发展需要在政府调控下合理稳步进行。2）注意并行技术的发展，防止垄断和产业单一化。3）IT行业的发展一定要结合我国经济社会发展的总体目标和战略需求。4）要注重产业链和市场体系建设</w:t>
      </w:r>
      <w:r>
        <w:rPr>
          <w:rFonts w:ascii="宋体" w:hAnsi="宋体" w:hint="eastAsia"/>
          <w:sz w:val="18"/>
          <w:szCs w:val="18"/>
          <w:vertAlign w:val="superscript"/>
        </w:rPr>
        <w:t>[</w:t>
      </w:r>
      <w:r>
        <w:rPr>
          <w:rFonts w:ascii="宋体" w:hAnsi="宋体"/>
          <w:sz w:val="18"/>
          <w:szCs w:val="18"/>
          <w:vertAlign w:val="superscript"/>
        </w:rPr>
        <w:t>3]</w:t>
      </w:r>
      <w:r>
        <w:rPr>
          <w:rFonts w:ascii="宋体" w:hAnsi="宋体" w:hint="eastAsia"/>
          <w:sz w:val="18"/>
          <w:szCs w:val="18"/>
        </w:rPr>
        <w:t>。</w:t>
      </w:r>
    </w:p>
    <w:p w14:paraId="3EDA907D" w14:textId="77777777" w:rsidR="00495773" w:rsidRPr="00F65FCE" w:rsidRDefault="00495773" w:rsidP="00495773">
      <w:pPr>
        <w:pStyle w:val="ad"/>
        <w:numPr>
          <w:ilvl w:val="0"/>
          <w:numId w:val="1"/>
        </w:numPr>
      </w:pPr>
      <w:r>
        <w:rPr>
          <w:rFonts w:ascii="黑体" w:eastAsia="黑体" w:hAnsi="黑体" w:hint="eastAsia"/>
          <w:szCs w:val="21"/>
        </w:rPr>
        <w:t>分析方法</w:t>
      </w:r>
    </w:p>
    <w:p w14:paraId="61E5DCDB" w14:textId="77777777" w:rsidR="00F65FCE" w:rsidRPr="00F65FCE" w:rsidRDefault="00F65FCE" w:rsidP="00F65FCE">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整体分析</w:t>
      </w:r>
    </w:p>
    <w:p w14:paraId="4A56A868" w14:textId="77777777" w:rsidR="00330B23" w:rsidRPr="00330B23" w:rsidRDefault="00330B23" w:rsidP="00330B23">
      <w:pPr>
        <w:pStyle w:val="a9"/>
        <w:ind w:firstLine="360"/>
        <w:rPr>
          <w:rFonts w:ascii="宋体" w:hAnsi="宋体" w:hint="eastAsia"/>
          <w:sz w:val="18"/>
          <w:szCs w:val="18"/>
        </w:rPr>
      </w:pPr>
      <w:r w:rsidRPr="00330B23">
        <w:rPr>
          <w:rFonts w:ascii="宋体" w:hAnsi="宋体" w:hint="eastAsia"/>
          <w:sz w:val="18"/>
          <w:szCs w:val="18"/>
        </w:rPr>
        <w:t>首先我们根据国家统计局2</w:t>
      </w:r>
      <w:r w:rsidRPr="00330B23">
        <w:rPr>
          <w:rFonts w:ascii="宋体" w:hAnsi="宋体"/>
          <w:sz w:val="18"/>
          <w:szCs w:val="18"/>
        </w:rPr>
        <w:t>0</w:t>
      </w:r>
      <w:r w:rsidR="00522DB4">
        <w:rPr>
          <w:rFonts w:ascii="宋体" w:hAnsi="宋体"/>
          <w:sz w:val="18"/>
          <w:szCs w:val="18"/>
        </w:rPr>
        <w:t>20</w:t>
      </w:r>
      <w:r w:rsidRPr="00330B23">
        <w:rPr>
          <w:rFonts w:ascii="宋体" w:hAnsi="宋体" w:hint="eastAsia"/>
          <w:sz w:val="18"/>
          <w:szCs w:val="18"/>
        </w:rPr>
        <w:t>年公布的数据</w:t>
      </w:r>
      <w:r w:rsidR="00522DB4">
        <w:rPr>
          <w:rFonts w:ascii="宋体" w:hAnsi="宋体"/>
          <w:sz w:val="18"/>
          <w:szCs w:val="18"/>
        </w:rPr>
        <w:t>,</w:t>
      </w:r>
      <w:r w:rsidRPr="00330B23">
        <w:rPr>
          <w:rFonts w:ascii="宋体" w:hAnsi="宋体" w:hint="eastAsia"/>
          <w:sz w:val="18"/>
          <w:szCs w:val="18"/>
        </w:rPr>
        <w:t>2</w:t>
      </w:r>
      <w:r w:rsidRPr="00330B23">
        <w:rPr>
          <w:rFonts w:ascii="宋体" w:hAnsi="宋体"/>
          <w:sz w:val="18"/>
          <w:szCs w:val="18"/>
        </w:rPr>
        <w:t>019</w:t>
      </w:r>
      <w:r w:rsidRPr="00330B23">
        <w:rPr>
          <w:rFonts w:ascii="宋体" w:hAnsi="宋体" w:hint="eastAsia"/>
          <w:sz w:val="18"/>
          <w:szCs w:val="18"/>
        </w:rPr>
        <w:t>年城镇非私营单位就业人员年平均工资约为9</w:t>
      </w:r>
      <w:r w:rsidRPr="00330B23">
        <w:rPr>
          <w:rFonts w:ascii="宋体" w:hAnsi="宋体"/>
          <w:sz w:val="18"/>
          <w:szCs w:val="18"/>
        </w:rPr>
        <w:t>0501</w:t>
      </w:r>
      <w:r w:rsidRPr="00330B23">
        <w:rPr>
          <w:rFonts w:ascii="宋体" w:hAnsi="宋体" w:hint="eastAsia"/>
          <w:sz w:val="18"/>
          <w:szCs w:val="18"/>
        </w:rPr>
        <w:t>元，名义增长</w:t>
      </w:r>
      <w:r>
        <w:rPr>
          <w:rFonts w:ascii="宋体" w:hAnsi="宋体" w:hint="eastAsia"/>
          <w:sz w:val="18"/>
          <w:szCs w:val="18"/>
        </w:rPr>
        <w:t>（</w:t>
      </w:r>
      <w:r w:rsidRPr="00330B23">
        <w:rPr>
          <w:rFonts w:ascii="宋体" w:hAnsi="宋体"/>
          <w:sz w:val="18"/>
          <w:szCs w:val="18"/>
        </w:rPr>
        <w:t>不扣除价格因素的增长比率</w:t>
      </w:r>
      <w:r>
        <w:rPr>
          <w:rFonts w:ascii="Arial" w:hAnsi="Arial" w:cs="Arial" w:hint="eastAsia"/>
          <w:color w:val="333333"/>
          <w:sz w:val="20"/>
          <w:szCs w:val="20"/>
          <w:shd w:val="clear" w:color="auto" w:fill="FFFFFF"/>
        </w:rPr>
        <w:t>）</w:t>
      </w:r>
      <w:r>
        <w:rPr>
          <w:rFonts w:ascii="宋体" w:hAnsi="宋体" w:hint="eastAsia"/>
          <w:sz w:val="18"/>
          <w:szCs w:val="18"/>
        </w:rPr>
        <w:t>9</w:t>
      </w:r>
      <w:r>
        <w:rPr>
          <w:rFonts w:ascii="宋体" w:hAnsi="宋体"/>
          <w:sz w:val="18"/>
          <w:szCs w:val="18"/>
        </w:rPr>
        <w:t>.8%</w:t>
      </w:r>
      <w:r>
        <w:rPr>
          <w:rFonts w:ascii="宋体" w:hAnsi="宋体" w:hint="eastAsia"/>
          <w:sz w:val="18"/>
          <w:szCs w:val="18"/>
        </w:rPr>
        <w:t>（</w:t>
      </w:r>
      <w:r w:rsidRPr="00330B23">
        <w:rPr>
          <w:rFonts w:ascii="宋体" w:hAnsi="宋体" w:hint="eastAsia"/>
          <w:sz w:val="18"/>
          <w:szCs w:val="18"/>
        </w:rPr>
        <w:t>见图一</w:t>
      </w:r>
      <w:r w:rsidR="00522DB4">
        <w:rPr>
          <w:rFonts w:ascii="宋体" w:hAnsi="宋体" w:hint="eastAsia"/>
          <w:sz w:val="18"/>
          <w:szCs w:val="18"/>
          <w:vertAlign w:val="superscript"/>
        </w:rPr>
        <w:t>[</w:t>
      </w:r>
      <w:r w:rsidR="00522DB4">
        <w:rPr>
          <w:rFonts w:ascii="宋体" w:hAnsi="宋体"/>
          <w:sz w:val="18"/>
          <w:szCs w:val="18"/>
          <w:vertAlign w:val="superscript"/>
        </w:rPr>
        <w:t>4]</w:t>
      </w:r>
      <w:r>
        <w:rPr>
          <w:rFonts w:ascii="宋体" w:hAnsi="宋体" w:hint="eastAsia"/>
          <w:sz w:val="18"/>
          <w:szCs w:val="18"/>
        </w:rPr>
        <w:t>）</w:t>
      </w:r>
      <w:r w:rsidR="00522DB4">
        <w:rPr>
          <w:rFonts w:ascii="宋体" w:hAnsi="宋体" w:hint="eastAsia"/>
          <w:sz w:val="18"/>
          <w:szCs w:val="18"/>
        </w:rPr>
        <w:t>。</w:t>
      </w:r>
    </w:p>
    <w:p w14:paraId="7987785E" w14:textId="77777777" w:rsidR="00AE7645" w:rsidRDefault="00AE7645" w:rsidP="00330B23">
      <w:pPr>
        <w:pStyle w:val="ad"/>
        <w:ind w:left="360"/>
        <w:jc w:val="center"/>
      </w:pPr>
      <w:r>
        <w:fldChar w:fldCharType="begin"/>
      </w:r>
      <w:r>
        <w:instrText xml:space="preserve"> INCLUDEPICTURE "http://www.stats.gov.cn/tjsj/zxfb/202005/W020200515557126039141_r75.jpg" \* MERGEFORMATINET </w:instrText>
      </w:r>
      <w:r>
        <w:fldChar w:fldCharType="separate"/>
      </w:r>
      <w:r w:rsidR="00330B23">
        <w:pict w14:anchorId="2BA45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103.35pt">
            <v:imagedata r:id="rId12" r:href="rId13"/>
          </v:shape>
        </w:pict>
      </w:r>
      <w:r>
        <w:fldChar w:fldCharType="end"/>
      </w:r>
    </w:p>
    <w:p w14:paraId="5D219F24" w14:textId="77777777" w:rsidR="00495773" w:rsidRDefault="00AE7645" w:rsidP="00522DB4">
      <w:pPr>
        <w:pStyle w:val="a9"/>
        <w:spacing w:after="0"/>
        <w:jc w:val="center"/>
        <w:rPr>
          <w:rFonts w:ascii="宋体" w:hAnsi="宋体"/>
          <w:sz w:val="15"/>
          <w:szCs w:val="15"/>
        </w:rPr>
      </w:pPr>
      <w:r>
        <w:rPr>
          <w:rFonts w:ascii="宋体" w:hAnsi="宋体" w:hint="eastAsia"/>
          <w:sz w:val="15"/>
          <w:szCs w:val="15"/>
        </w:rPr>
        <w:t>图1  2</w:t>
      </w:r>
      <w:r>
        <w:rPr>
          <w:rFonts w:ascii="宋体" w:hAnsi="宋体"/>
          <w:sz w:val="15"/>
          <w:szCs w:val="15"/>
        </w:rPr>
        <w:t>010-2019</w:t>
      </w:r>
      <w:r>
        <w:rPr>
          <w:rFonts w:ascii="宋体" w:hAnsi="宋体" w:hint="eastAsia"/>
          <w:sz w:val="15"/>
          <w:szCs w:val="15"/>
        </w:rPr>
        <w:t>年</w:t>
      </w:r>
      <w:r w:rsidR="00330B23" w:rsidRPr="00330B23">
        <w:rPr>
          <w:rFonts w:ascii="宋体" w:hAnsi="宋体" w:hint="eastAsia"/>
          <w:sz w:val="15"/>
          <w:szCs w:val="15"/>
        </w:rPr>
        <w:t>城镇非私营单位就业人员年平均工资及增速</w:t>
      </w:r>
    </w:p>
    <w:p w14:paraId="6DE2FE9E" w14:textId="77777777" w:rsidR="00522DB4" w:rsidRDefault="00C0190D" w:rsidP="00F65FCE">
      <w:pPr>
        <w:pStyle w:val="a9"/>
        <w:spacing w:after="0"/>
        <w:ind w:firstLineChars="200" w:firstLine="360"/>
        <w:rPr>
          <w:rFonts w:ascii="宋体" w:hAnsi="宋体"/>
          <w:sz w:val="18"/>
          <w:szCs w:val="18"/>
        </w:rPr>
      </w:pPr>
      <w:r>
        <w:rPr>
          <w:rFonts w:ascii="宋体" w:hAnsi="宋体" w:hint="eastAsia"/>
          <w:sz w:val="18"/>
          <w:szCs w:val="18"/>
        </w:rPr>
        <w:lastRenderedPageBreak/>
        <w:t>通过分行业的比较我们可以看出，信息传输、软件和信息技术服务业的平均工资</w:t>
      </w:r>
      <w:r w:rsidR="00485B62">
        <w:rPr>
          <w:rFonts w:ascii="宋体" w:hAnsi="宋体" w:hint="eastAsia"/>
          <w:sz w:val="18"/>
          <w:szCs w:val="18"/>
        </w:rPr>
        <w:t>为</w:t>
      </w:r>
      <w:r>
        <w:rPr>
          <w:rFonts w:ascii="宋体" w:hAnsi="宋体" w:hint="eastAsia"/>
          <w:sz w:val="18"/>
          <w:szCs w:val="18"/>
        </w:rPr>
        <w:t>1</w:t>
      </w:r>
      <w:r>
        <w:rPr>
          <w:rFonts w:ascii="宋体" w:hAnsi="宋体"/>
          <w:sz w:val="18"/>
          <w:szCs w:val="18"/>
        </w:rPr>
        <w:t>61352</w:t>
      </w:r>
      <w:r>
        <w:rPr>
          <w:rFonts w:ascii="宋体" w:hAnsi="宋体" w:hint="eastAsia"/>
          <w:sz w:val="18"/>
          <w:szCs w:val="18"/>
        </w:rPr>
        <w:t>元，相较于总体平均工资高出7</w:t>
      </w:r>
      <w:r>
        <w:rPr>
          <w:rFonts w:ascii="宋体" w:hAnsi="宋体"/>
          <w:sz w:val="18"/>
          <w:szCs w:val="18"/>
        </w:rPr>
        <w:t>8.3%</w:t>
      </w:r>
      <w:r w:rsidR="00485B62">
        <w:rPr>
          <w:rFonts w:ascii="宋体" w:hAnsi="宋体" w:hint="eastAsia"/>
          <w:sz w:val="18"/>
          <w:szCs w:val="18"/>
        </w:rPr>
        <w:t>(见表</w:t>
      </w:r>
      <w:proofErr w:type="gramStart"/>
      <w:r w:rsidR="00485B62">
        <w:rPr>
          <w:rFonts w:ascii="宋体" w:hAnsi="宋体" w:hint="eastAsia"/>
          <w:sz w:val="18"/>
          <w:szCs w:val="18"/>
        </w:rPr>
        <w:t>一</w:t>
      </w:r>
      <w:proofErr w:type="gramEnd"/>
      <w:r w:rsidR="00485B62">
        <w:rPr>
          <w:rFonts w:ascii="宋体" w:hAnsi="宋体" w:hint="eastAsia"/>
          <w:sz w:val="18"/>
          <w:szCs w:val="18"/>
          <w:vertAlign w:val="superscript"/>
        </w:rPr>
        <w:t>[</w:t>
      </w:r>
      <w:r w:rsidR="00485B62">
        <w:rPr>
          <w:rFonts w:ascii="宋体" w:hAnsi="宋体"/>
          <w:sz w:val="18"/>
          <w:szCs w:val="18"/>
          <w:vertAlign w:val="superscript"/>
        </w:rPr>
        <w:t>4]</w:t>
      </w:r>
      <w:r w:rsidR="00485B62">
        <w:rPr>
          <w:rFonts w:ascii="宋体" w:hAnsi="宋体" w:hint="eastAsia"/>
          <w:sz w:val="18"/>
          <w:szCs w:val="18"/>
        </w:rPr>
        <w:t>)，压过金融业，拔得头筹。同时为了保证对薪酬的统计准确性，刨除了股票产生的收益，这个结果基本上反映了IT行业从业者的普通情况，不会被大的贫富差距拉高。并且，相比2</w:t>
      </w:r>
      <w:r w:rsidR="00485B62">
        <w:rPr>
          <w:rFonts w:ascii="宋体" w:hAnsi="宋体"/>
          <w:sz w:val="18"/>
          <w:szCs w:val="18"/>
        </w:rPr>
        <w:t>018</w:t>
      </w:r>
      <w:r w:rsidR="00485B62">
        <w:rPr>
          <w:rFonts w:ascii="宋体" w:hAnsi="宋体" w:hint="eastAsia"/>
          <w:sz w:val="18"/>
          <w:szCs w:val="18"/>
        </w:rPr>
        <w:t>年，依然保持了高的增速。</w:t>
      </w:r>
      <w:r w:rsidR="0096002F">
        <w:rPr>
          <w:rFonts w:ascii="宋体" w:hAnsi="宋体" w:hint="eastAsia"/>
          <w:sz w:val="18"/>
          <w:szCs w:val="18"/>
        </w:rPr>
        <w:t>上述统计结果统一反映了IT整体行业的火热情况，在平均薪酬的基础上我们将以</w:t>
      </w:r>
      <w:r w:rsidR="00F65FCE">
        <w:rPr>
          <w:rFonts w:ascii="宋体" w:hAnsi="宋体" w:hint="eastAsia"/>
          <w:sz w:val="18"/>
          <w:szCs w:val="18"/>
        </w:rPr>
        <w:t>更细致的视角进行系统的分析。</w:t>
      </w:r>
    </w:p>
    <w:p w14:paraId="384EEBBC" w14:textId="77777777" w:rsidR="00B44B32" w:rsidRPr="00522DB4" w:rsidRDefault="00B44B32" w:rsidP="00522DB4">
      <w:pPr>
        <w:pStyle w:val="a9"/>
        <w:spacing w:after="0" w:line="240" w:lineRule="atLeast"/>
        <w:jc w:val="center"/>
        <w:rPr>
          <w:rFonts w:hint="eastAsia"/>
          <w:color w:val="FF0000"/>
          <w:sz w:val="18"/>
          <w:szCs w:val="18"/>
        </w:rPr>
      </w:pPr>
      <w:r>
        <w:rPr>
          <w:rFonts w:ascii="宋体" w:hAnsi="宋体" w:hint="eastAsia"/>
          <w:sz w:val="15"/>
          <w:szCs w:val="15"/>
        </w:rPr>
        <w:t xml:space="preserve">表1   </w:t>
      </w:r>
      <w:r w:rsidR="00522DB4" w:rsidRPr="00522DB4">
        <w:rPr>
          <w:rFonts w:ascii="宋体" w:hAnsi="宋体" w:hint="eastAsia"/>
          <w:sz w:val="15"/>
          <w:szCs w:val="15"/>
        </w:rPr>
        <w:t>2019年城镇非私营单位分行业就业人员年平均工资</w:t>
      </w:r>
    </w:p>
    <w:tbl>
      <w:tblPr>
        <w:tblW w:w="0" w:type="auto"/>
        <w:jc w:val="center"/>
        <w:tblInd w:w="0" w:type="dxa"/>
        <w:tblLayout w:type="fixed"/>
        <w:tblLook w:val="0000" w:firstRow="0" w:lastRow="0" w:firstColumn="0" w:lastColumn="0" w:noHBand="0" w:noVBand="0"/>
      </w:tblPr>
      <w:tblGrid>
        <w:gridCol w:w="1518"/>
        <w:gridCol w:w="850"/>
        <w:gridCol w:w="787"/>
        <w:gridCol w:w="860"/>
      </w:tblGrid>
      <w:tr w:rsidR="00B44B32" w14:paraId="0154D024" w14:textId="77777777" w:rsidTr="00485B62">
        <w:trPr>
          <w:jc w:val="center"/>
        </w:trPr>
        <w:tc>
          <w:tcPr>
            <w:tcW w:w="1518" w:type="dxa"/>
            <w:tcBorders>
              <w:top w:val="single" w:sz="4" w:space="0" w:color="auto"/>
              <w:bottom w:val="single" w:sz="4" w:space="0" w:color="auto"/>
            </w:tcBorders>
            <w:vAlign w:val="center"/>
          </w:tcPr>
          <w:p w14:paraId="46B65A59" w14:textId="77777777" w:rsidR="00B44B32" w:rsidRDefault="00522DB4">
            <w:pPr>
              <w:widowControl w:val="0"/>
              <w:overflowPunct w:val="0"/>
              <w:jc w:val="center"/>
              <w:rPr>
                <w:rFonts w:ascii="Times New Roman" w:eastAsia="仿宋" w:hAnsi="Times New Roman" w:hint="eastAsia"/>
                <w:kern w:val="2"/>
                <w:sz w:val="15"/>
                <w:szCs w:val="15"/>
              </w:rPr>
            </w:pPr>
            <w:r>
              <w:rPr>
                <w:rFonts w:ascii="Times New Roman" w:eastAsia="仿宋" w:hAnsi="Times New Roman" w:hint="eastAsia"/>
                <w:sz w:val="15"/>
                <w:szCs w:val="15"/>
              </w:rPr>
              <w:t>行业</w:t>
            </w:r>
          </w:p>
        </w:tc>
        <w:tc>
          <w:tcPr>
            <w:tcW w:w="850" w:type="dxa"/>
            <w:tcBorders>
              <w:top w:val="single" w:sz="4" w:space="0" w:color="auto"/>
              <w:bottom w:val="single" w:sz="4" w:space="0" w:color="auto"/>
            </w:tcBorders>
            <w:vAlign w:val="center"/>
          </w:tcPr>
          <w:p w14:paraId="5CB4D402" w14:textId="77777777" w:rsidR="00B44B32" w:rsidRDefault="00522DB4">
            <w:pPr>
              <w:widowControl w:val="0"/>
              <w:overflowPunct w:val="0"/>
              <w:jc w:val="center"/>
              <w:rPr>
                <w:rFonts w:ascii="Times New Roman" w:eastAsia="仿宋" w:hAnsi="Times New Roman"/>
                <w:kern w:val="2"/>
                <w:sz w:val="15"/>
                <w:szCs w:val="15"/>
              </w:rPr>
            </w:pPr>
            <w:r>
              <w:rPr>
                <w:rFonts w:ascii="Times New Roman" w:eastAsia="仿宋" w:hAnsi="Times New Roman"/>
                <w:sz w:val="15"/>
                <w:szCs w:val="15"/>
              </w:rPr>
              <w:t>2019</w:t>
            </w:r>
            <w:r>
              <w:rPr>
                <w:rFonts w:ascii="Times New Roman" w:eastAsia="仿宋" w:hAnsi="Times New Roman" w:hint="eastAsia"/>
                <w:sz w:val="15"/>
                <w:szCs w:val="15"/>
              </w:rPr>
              <w:t>年</w:t>
            </w:r>
            <w:r>
              <w:rPr>
                <w:rFonts w:ascii="Times New Roman" w:eastAsia="仿宋" w:hAnsi="Times New Roman" w:hint="eastAsia"/>
                <w:sz w:val="15"/>
                <w:szCs w:val="15"/>
              </w:rPr>
              <w:t>/</w:t>
            </w:r>
            <w:r>
              <w:rPr>
                <w:rFonts w:ascii="Times New Roman" w:eastAsia="仿宋" w:hAnsi="Times New Roman" w:hint="eastAsia"/>
                <w:sz w:val="15"/>
                <w:szCs w:val="15"/>
              </w:rPr>
              <w:t>元</w:t>
            </w:r>
          </w:p>
        </w:tc>
        <w:tc>
          <w:tcPr>
            <w:tcW w:w="787" w:type="dxa"/>
            <w:tcBorders>
              <w:top w:val="single" w:sz="4" w:space="0" w:color="auto"/>
              <w:bottom w:val="single" w:sz="4" w:space="0" w:color="auto"/>
            </w:tcBorders>
            <w:vAlign w:val="center"/>
          </w:tcPr>
          <w:p w14:paraId="20363C1A" w14:textId="77777777" w:rsidR="00B44B32" w:rsidRDefault="00522DB4">
            <w:pPr>
              <w:widowControl w:val="0"/>
              <w:overflowPunct w:val="0"/>
              <w:jc w:val="center"/>
              <w:rPr>
                <w:rFonts w:ascii="Times New Roman" w:eastAsia="仿宋" w:hAnsi="Times New Roman"/>
                <w:kern w:val="2"/>
                <w:sz w:val="15"/>
                <w:szCs w:val="15"/>
              </w:rPr>
            </w:pPr>
            <w:r>
              <w:rPr>
                <w:rFonts w:ascii="Times New Roman" w:eastAsia="仿宋" w:hAnsi="仿宋"/>
                <w:sz w:val="15"/>
                <w:szCs w:val="15"/>
              </w:rPr>
              <w:t>2018</w:t>
            </w:r>
            <w:r>
              <w:rPr>
                <w:rFonts w:ascii="Times New Roman" w:eastAsia="仿宋" w:hAnsi="仿宋" w:hint="eastAsia"/>
                <w:sz w:val="15"/>
                <w:szCs w:val="15"/>
              </w:rPr>
              <w:t>年</w:t>
            </w:r>
            <w:r w:rsidR="00B44B32">
              <w:rPr>
                <w:rFonts w:ascii="Times New Roman" w:eastAsia="仿宋" w:hAnsi="仿宋" w:hint="eastAsia"/>
                <w:sz w:val="15"/>
                <w:szCs w:val="15"/>
              </w:rPr>
              <w:t xml:space="preserve"> </w:t>
            </w:r>
            <w:r w:rsidR="00B44B32">
              <w:rPr>
                <w:rFonts w:ascii="Times New Roman" w:eastAsia="仿宋" w:hAnsi="Times New Roman"/>
                <w:sz w:val="15"/>
                <w:szCs w:val="15"/>
              </w:rPr>
              <w:t>/</w:t>
            </w:r>
            <w:r>
              <w:rPr>
                <w:rFonts w:ascii="Times New Roman" w:eastAsia="仿宋" w:hAnsi="Times New Roman" w:hint="eastAsia"/>
                <w:sz w:val="15"/>
                <w:szCs w:val="15"/>
              </w:rPr>
              <w:t>元</w:t>
            </w:r>
          </w:p>
        </w:tc>
        <w:tc>
          <w:tcPr>
            <w:tcW w:w="860" w:type="dxa"/>
            <w:tcBorders>
              <w:top w:val="single" w:sz="4" w:space="0" w:color="auto"/>
              <w:bottom w:val="single" w:sz="4" w:space="0" w:color="auto"/>
            </w:tcBorders>
            <w:vAlign w:val="center"/>
          </w:tcPr>
          <w:p w14:paraId="5BAC7016" w14:textId="77777777" w:rsidR="00B44B32" w:rsidRDefault="00522DB4">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增长速度</w:t>
            </w:r>
            <w:r>
              <w:rPr>
                <w:rFonts w:ascii="Times New Roman" w:eastAsia="仿宋" w:hAnsi="Times New Roman" w:hint="eastAsia"/>
                <w:sz w:val="15"/>
                <w:szCs w:val="15"/>
              </w:rPr>
              <w:t>/</w:t>
            </w:r>
            <w:r>
              <w:rPr>
                <w:rFonts w:ascii="Times New Roman" w:eastAsia="仿宋" w:hAnsi="Times New Roman"/>
                <w:sz w:val="15"/>
                <w:szCs w:val="15"/>
              </w:rPr>
              <w:t>%</w:t>
            </w:r>
          </w:p>
        </w:tc>
      </w:tr>
      <w:tr w:rsidR="00485B62" w14:paraId="72926875" w14:textId="77777777" w:rsidTr="00485B62">
        <w:trPr>
          <w:jc w:val="center"/>
        </w:trPr>
        <w:tc>
          <w:tcPr>
            <w:tcW w:w="1518" w:type="dxa"/>
            <w:vAlign w:val="center"/>
          </w:tcPr>
          <w:p w14:paraId="2DC1A7E2" w14:textId="77777777" w:rsidR="00485B62" w:rsidRPr="00C0190D" w:rsidRDefault="00485B62" w:rsidP="00485B62">
            <w:pPr>
              <w:widowControl w:val="0"/>
              <w:overflowPunct w:val="0"/>
              <w:jc w:val="center"/>
              <w:rPr>
                <w:rFonts w:ascii="Times New Roman" w:eastAsia="仿宋" w:hAnsi="Times New Roman" w:hint="eastAsia"/>
                <w:sz w:val="15"/>
                <w:szCs w:val="15"/>
              </w:rPr>
            </w:pPr>
            <w:r w:rsidRPr="00C0190D">
              <w:rPr>
                <w:rFonts w:ascii="Times New Roman" w:eastAsia="仿宋" w:hAnsi="Times New Roman" w:hint="eastAsia"/>
                <w:sz w:val="15"/>
                <w:szCs w:val="15"/>
              </w:rPr>
              <w:t>农、林、牧、渔业</w:t>
            </w:r>
          </w:p>
        </w:tc>
        <w:tc>
          <w:tcPr>
            <w:tcW w:w="850" w:type="dxa"/>
            <w:vAlign w:val="center"/>
          </w:tcPr>
          <w:p w14:paraId="7952426B" w14:textId="77777777" w:rsidR="00485B62" w:rsidRDefault="00485B62" w:rsidP="00485B62">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3</w:t>
            </w:r>
            <w:r>
              <w:rPr>
                <w:rFonts w:ascii="Times New Roman" w:eastAsia="仿宋" w:hAnsi="Times New Roman"/>
                <w:sz w:val="15"/>
                <w:szCs w:val="15"/>
              </w:rPr>
              <w:t>9340</w:t>
            </w:r>
          </w:p>
        </w:tc>
        <w:tc>
          <w:tcPr>
            <w:tcW w:w="787" w:type="dxa"/>
            <w:vAlign w:val="center"/>
          </w:tcPr>
          <w:p w14:paraId="63CB0CDA" w14:textId="77777777" w:rsidR="00485B62" w:rsidRDefault="00485B62" w:rsidP="00485B62">
            <w:pPr>
              <w:widowControl w:val="0"/>
              <w:overflowPunct w:val="0"/>
              <w:jc w:val="center"/>
              <w:rPr>
                <w:rFonts w:ascii="Times New Roman" w:eastAsia="仿宋" w:hAnsi="仿宋" w:hint="eastAsia"/>
                <w:sz w:val="15"/>
                <w:szCs w:val="15"/>
              </w:rPr>
            </w:pPr>
            <w:r>
              <w:rPr>
                <w:rFonts w:ascii="Times New Roman" w:eastAsia="仿宋" w:hAnsi="仿宋" w:hint="eastAsia"/>
                <w:sz w:val="15"/>
                <w:szCs w:val="15"/>
              </w:rPr>
              <w:t>3</w:t>
            </w:r>
            <w:r>
              <w:rPr>
                <w:rFonts w:ascii="Times New Roman" w:eastAsia="仿宋" w:hAnsi="仿宋"/>
                <w:sz w:val="15"/>
                <w:szCs w:val="15"/>
              </w:rPr>
              <w:t>6466</w:t>
            </w:r>
          </w:p>
        </w:tc>
        <w:tc>
          <w:tcPr>
            <w:tcW w:w="860" w:type="dxa"/>
            <w:vAlign w:val="center"/>
          </w:tcPr>
          <w:p w14:paraId="7FB8E0BB" w14:textId="77777777" w:rsidR="00485B62" w:rsidRDefault="00485B62" w:rsidP="00485B62">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7</w:t>
            </w:r>
            <w:r>
              <w:rPr>
                <w:rFonts w:ascii="Times New Roman" w:eastAsia="仿宋" w:hAnsi="Times New Roman"/>
                <w:sz w:val="15"/>
                <w:szCs w:val="15"/>
              </w:rPr>
              <w:t>.9</w:t>
            </w:r>
          </w:p>
        </w:tc>
      </w:tr>
      <w:tr w:rsidR="00485B62" w:rsidRPr="00485B62" w14:paraId="03E6BA58" w14:textId="77777777" w:rsidTr="00485B62">
        <w:trPr>
          <w:jc w:val="center"/>
        </w:trPr>
        <w:tc>
          <w:tcPr>
            <w:tcW w:w="1518" w:type="dxa"/>
            <w:shd w:val="clear" w:color="auto" w:fill="FFFFFF"/>
            <w:vAlign w:val="center"/>
          </w:tcPr>
          <w:p w14:paraId="75BE3A86" w14:textId="77777777" w:rsidR="00485B62" w:rsidRPr="00485B62" w:rsidRDefault="00485B62" w:rsidP="00485B62">
            <w:pPr>
              <w:widowControl w:val="0"/>
              <w:overflowPunct w:val="0"/>
              <w:jc w:val="center"/>
              <w:rPr>
                <w:rFonts w:ascii="Times New Roman" w:eastAsia="仿宋" w:hAnsi="Times New Roman"/>
                <w:sz w:val="15"/>
                <w:szCs w:val="15"/>
              </w:rPr>
            </w:pPr>
            <w:r w:rsidRPr="00485B62">
              <w:rPr>
                <w:rFonts w:ascii="Times New Roman" w:eastAsia="仿宋" w:hAnsi="Times New Roman" w:hint="eastAsia"/>
                <w:sz w:val="15"/>
                <w:szCs w:val="15"/>
              </w:rPr>
              <w:t>采矿业</w:t>
            </w:r>
          </w:p>
        </w:tc>
        <w:tc>
          <w:tcPr>
            <w:tcW w:w="850" w:type="dxa"/>
            <w:shd w:val="clear" w:color="auto" w:fill="FFFFFF"/>
            <w:vAlign w:val="center"/>
          </w:tcPr>
          <w:p w14:paraId="1DD827C9"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91068</w:t>
            </w:r>
          </w:p>
        </w:tc>
        <w:tc>
          <w:tcPr>
            <w:tcW w:w="787" w:type="dxa"/>
            <w:shd w:val="clear" w:color="auto" w:fill="FFFFFF"/>
            <w:vAlign w:val="center"/>
          </w:tcPr>
          <w:p w14:paraId="087AFC4D"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81429</w:t>
            </w:r>
          </w:p>
        </w:tc>
        <w:tc>
          <w:tcPr>
            <w:tcW w:w="860" w:type="dxa"/>
            <w:shd w:val="clear" w:color="auto" w:fill="FFFFFF"/>
            <w:vAlign w:val="center"/>
          </w:tcPr>
          <w:p w14:paraId="712DC4E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11.8</w:t>
            </w:r>
          </w:p>
        </w:tc>
      </w:tr>
      <w:tr w:rsidR="00485B62" w:rsidRPr="00485B62" w14:paraId="6C6A125E" w14:textId="77777777" w:rsidTr="00485B62">
        <w:trPr>
          <w:jc w:val="center"/>
        </w:trPr>
        <w:tc>
          <w:tcPr>
            <w:tcW w:w="1518" w:type="dxa"/>
            <w:shd w:val="clear" w:color="auto" w:fill="FFFFFF"/>
            <w:vAlign w:val="center"/>
          </w:tcPr>
          <w:p w14:paraId="458763E9"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制造业</w:t>
            </w:r>
          </w:p>
        </w:tc>
        <w:tc>
          <w:tcPr>
            <w:tcW w:w="850" w:type="dxa"/>
            <w:shd w:val="clear" w:color="auto" w:fill="FFFFFF"/>
            <w:vAlign w:val="center"/>
          </w:tcPr>
          <w:p w14:paraId="7610C65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78147</w:t>
            </w:r>
          </w:p>
        </w:tc>
        <w:tc>
          <w:tcPr>
            <w:tcW w:w="787" w:type="dxa"/>
            <w:shd w:val="clear" w:color="auto" w:fill="FFFFFF"/>
            <w:vAlign w:val="center"/>
          </w:tcPr>
          <w:p w14:paraId="7C9622F7"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72088</w:t>
            </w:r>
          </w:p>
        </w:tc>
        <w:tc>
          <w:tcPr>
            <w:tcW w:w="860" w:type="dxa"/>
            <w:shd w:val="clear" w:color="auto" w:fill="FFFFFF"/>
            <w:vAlign w:val="center"/>
          </w:tcPr>
          <w:p w14:paraId="26C84775"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8.4</w:t>
            </w:r>
          </w:p>
        </w:tc>
      </w:tr>
      <w:tr w:rsidR="00485B62" w:rsidRPr="00485B62" w14:paraId="158F1990" w14:textId="77777777" w:rsidTr="00485B62">
        <w:trPr>
          <w:jc w:val="center"/>
        </w:trPr>
        <w:tc>
          <w:tcPr>
            <w:tcW w:w="1518" w:type="dxa"/>
            <w:shd w:val="clear" w:color="auto" w:fill="FFFFFF"/>
            <w:vAlign w:val="center"/>
          </w:tcPr>
          <w:p w14:paraId="3C4F8933" w14:textId="77777777" w:rsidR="00485B62" w:rsidRPr="00485B62" w:rsidRDefault="00485B62" w:rsidP="00485B62">
            <w:pPr>
              <w:widowControl w:val="0"/>
              <w:overflowPunct w:val="0"/>
              <w:jc w:val="center"/>
              <w:rPr>
                <w:rFonts w:ascii="Times New Roman" w:eastAsia="仿宋" w:hAnsi="Times New Roman"/>
                <w:sz w:val="15"/>
                <w:szCs w:val="15"/>
              </w:rPr>
            </w:pPr>
            <w:r w:rsidRPr="00485B62">
              <w:rPr>
                <w:rFonts w:ascii="Times New Roman" w:eastAsia="仿宋" w:hAnsi="Times New Roman" w:hint="eastAsia"/>
                <w:sz w:val="15"/>
                <w:szCs w:val="15"/>
              </w:rPr>
              <w:t>电力、热力、燃气及水生产和供应业</w:t>
            </w:r>
          </w:p>
        </w:tc>
        <w:tc>
          <w:tcPr>
            <w:tcW w:w="850" w:type="dxa"/>
            <w:shd w:val="clear" w:color="auto" w:fill="FFFFFF"/>
            <w:vAlign w:val="center"/>
          </w:tcPr>
          <w:p w14:paraId="524F367A"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107733</w:t>
            </w:r>
          </w:p>
        </w:tc>
        <w:tc>
          <w:tcPr>
            <w:tcW w:w="787" w:type="dxa"/>
            <w:shd w:val="clear" w:color="auto" w:fill="FFFFFF"/>
            <w:vAlign w:val="center"/>
          </w:tcPr>
          <w:p w14:paraId="43E9D510"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100162</w:t>
            </w:r>
          </w:p>
        </w:tc>
        <w:tc>
          <w:tcPr>
            <w:tcW w:w="860" w:type="dxa"/>
            <w:shd w:val="clear" w:color="auto" w:fill="FFFFFF"/>
            <w:vAlign w:val="center"/>
          </w:tcPr>
          <w:p w14:paraId="7C9FB27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7.6</w:t>
            </w:r>
          </w:p>
        </w:tc>
      </w:tr>
      <w:tr w:rsidR="00485B62" w:rsidRPr="00485B62" w14:paraId="01FF0D52" w14:textId="77777777" w:rsidTr="00485B62">
        <w:trPr>
          <w:jc w:val="center"/>
        </w:trPr>
        <w:tc>
          <w:tcPr>
            <w:tcW w:w="1518" w:type="dxa"/>
            <w:shd w:val="clear" w:color="auto" w:fill="FFFFFF"/>
            <w:vAlign w:val="center"/>
          </w:tcPr>
          <w:p w14:paraId="2DD46CF9"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建筑业</w:t>
            </w:r>
          </w:p>
        </w:tc>
        <w:tc>
          <w:tcPr>
            <w:tcW w:w="850" w:type="dxa"/>
            <w:shd w:val="clear" w:color="auto" w:fill="FFFFFF"/>
            <w:vAlign w:val="center"/>
          </w:tcPr>
          <w:p w14:paraId="4965671F"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65580</w:t>
            </w:r>
          </w:p>
        </w:tc>
        <w:tc>
          <w:tcPr>
            <w:tcW w:w="787" w:type="dxa"/>
            <w:shd w:val="clear" w:color="auto" w:fill="FFFFFF"/>
            <w:vAlign w:val="center"/>
          </w:tcPr>
          <w:p w14:paraId="5231E1DC"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60501</w:t>
            </w:r>
          </w:p>
        </w:tc>
        <w:tc>
          <w:tcPr>
            <w:tcW w:w="860" w:type="dxa"/>
            <w:shd w:val="clear" w:color="auto" w:fill="FFFFFF"/>
            <w:vAlign w:val="center"/>
          </w:tcPr>
          <w:p w14:paraId="5EB28757"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8.4</w:t>
            </w:r>
          </w:p>
        </w:tc>
      </w:tr>
      <w:tr w:rsidR="00485B62" w:rsidRPr="00485B62" w14:paraId="33FB166F" w14:textId="77777777" w:rsidTr="00485B62">
        <w:trPr>
          <w:jc w:val="center"/>
        </w:trPr>
        <w:tc>
          <w:tcPr>
            <w:tcW w:w="1518" w:type="dxa"/>
            <w:shd w:val="clear" w:color="auto" w:fill="FFFFFF"/>
            <w:vAlign w:val="center"/>
          </w:tcPr>
          <w:p w14:paraId="30AEA7CE"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批发和零售业</w:t>
            </w:r>
          </w:p>
        </w:tc>
        <w:tc>
          <w:tcPr>
            <w:tcW w:w="850" w:type="dxa"/>
            <w:shd w:val="clear" w:color="auto" w:fill="FFFFFF"/>
            <w:vAlign w:val="center"/>
          </w:tcPr>
          <w:p w14:paraId="37685957"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89047</w:t>
            </w:r>
          </w:p>
        </w:tc>
        <w:tc>
          <w:tcPr>
            <w:tcW w:w="787" w:type="dxa"/>
            <w:shd w:val="clear" w:color="auto" w:fill="FFFFFF"/>
            <w:vAlign w:val="center"/>
          </w:tcPr>
          <w:p w14:paraId="39381E5F"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80551</w:t>
            </w:r>
          </w:p>
        </w:tc>
        <w:tc>
          <w:tcPr>
            <w:tcW w:w="860" w:type="dxa"/>
            <w:shd w:val="clear" w:color="auto" w:fill="FFFFFF"/>
            <w:vAlign w:val="center"/>
          </w:tcPr>
          <w:p w14:paraId="38F1EC1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10.5</w:t>
            </w:r>
          </w:p>
        </w:tc>
      </w:tr>
      <w:tr w:rsidR="00485B62" w:rsidRPr="00485B62" w14:paraId="56A8EB84" w14:textId="77777777" w:rsidTr="00485B62">
        <w:trPr>
          <w:jc w:val="center"/>
        </w:trPr>
        <w:tc>
          <w:tcPr>
            <w:tcW w:w="1518" w:type="dxa"/>
            <w:shd w:val="clear" w:color="auto" w:fill="FFFFFF"/>
            <w:vAlign w:val="center"/>
          </w:tcPr>
          <w:p w14:paraId="42985F44"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交通运输、仓储和邮政业</w:t>
            </w:r>
          </w:p>
        </w:tc>
        <w:tc>
          <w:tcPr>
            <w:tcW w:w="850" w:type="dxa"/>
            <w:shd w:val="clear" w:color="auto" w:fill="FFFFFF"/>
            <w:vAlign w:val="center"/>
          </w:tcPr>
          <w:p w14:paraId="6A8B7D5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97050</w:t>
            </w:r>
          </w:p>
        </w:tc>
        <w:tc>
          <w:tcPr>
            <w:tcW w:w="787" w:type="dxa"/>
            <w:shd w:val="clear" w:color="auto" w:fill="FFFFFF"/>
            <w:vAlign w:val="center"/>
          </w:tcPr>
          <w:p w14:paraId="0454FB1B"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88508</w:t>
            </w:r>
          </w:p>
        </w:tc>
        <w:tc>
          <w:tcPr>
            <w:tcW w:w="860" w:type="dxa"/>
            <w:shd w:val="clear" w:color="auto" w:fill="FFFFFF"/>
            <w:vAlign w:val="center"/>
          </w:tcPr>
          <w:p w14:paraId="4B31F5A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9.7</w:t>
            </w:r>
          </w:p>
        </w:tc>
      </w:tr>
      <w:tr w:rsidR="00485B62" w:rsidRPr="00485B62" w14:paraId="2B2D2C83" w14:textId="77777777" w:rsidTr="00485B62">
        <w:trPr>
          <w:jc w:val="center"/>
        </w:trPr>
        <w:tc>
          <w:tcPr>
            <w:tcW w:w="1518" w:type="dxa"/>
            <w:shd w:val="clear" w:color="auto" w:fill="FFFFFF"/>
            <w:vAlign w:val="center"/>
          </w:tcPr>
          <w:p w14:paraId="2960127A"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住宿和餐饮业</w:t>
            </w:r>
          </w:p>
        </w:tc>
        <w:tc>
          <w:tcPr>
            <w:tcW w:w="850" w:type="dxa"/>
            <w:shd w:val="clear" w:color="auto" w:fill="FFFFFF"/>
            <w:vAlign w:val="center"/>
          </w:tcPr>
          <w:p w14:paraId="65B19EE5"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50346</w:t>
            </w:r>
          </w:p>
        </w:tc>
        <w:tc>
          <w:tcPr>
            <w:tcW w:w="787" w:type="dxa"/>
            <w:shd w:val="clear" w:color="auto" w:fill="FFFFFF"/>
            <w:vAlign w:val="center"/>
          </w:tcPr>
          <w:p w14:paraId="6A29A974"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48260</w:t>
            </w:r>
          </w:p>
        </w:tc>
        <w:tc>
          <w:tcPr>
            <w:tcW w:w="860" w:type="dxa"/>
            <w:shd w:val="clear" w:color="auto" w:fill="FFFFFF"/>
            <w:vAlign w:val="center"/>
          </w:tcPr>
          <w:p w14:paraId="5B56C76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4.3</w:t>
            </w:r>
          </w:p>
        </w:tc>
      </w:tr>
      <w:tr w:rsidR="00485B62" w:rsidRPr="00485B62" w14:paraId="335729E3" w14:textId="77777777" w:rsidTr="00485B62">
        <w:trPr>
          <w:jc w:val="center"/>
        </w:trPr>
        <w:tc>
          <w:tcPr>
            <w:tcW w:w="1518" w:type="dxa"/>
            <w:shd w:val="clear" w:color="auto" w:fill="FFFFFF"/>
            <w:vAlign w:val="center"/>
          </w:tcPr>
          <w:p w14:paraId="7F1172D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信息传输、软件和信息技术服务业</w:t>
            </w:r>
          </w:p>
        </w:tc>
        <w:tc>
          <w:tcPr>
            <w:tcW w:w="850" w:type="dxa"/>
            <w:shd w:val="clear" w:color="auto" w:fill="FFFFFF"/>
            <w:vAlign w:val="center"/>
          </w:tcPr>
          <w:p w14:paraId="5B703085"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161352</w:t>
            </w:r>
          </w:p>
        </w:tc>
        <w:tc>
          <w:tcPr>
            <w:tcW w:w="787" w:type="dxa"/>
            <w:shd w:val="clear" w:color="auto" w:fill="FFFFFF"/>
            <w:vAlign w:val="center"/>
          </w:tcPr>
          <w:p w14:paraId="7A024CFB"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147678</w:t>
            </w:r>
          </w:p>
        </w:tc>
        <w:tc>
          <w:tcPr>
            <w:tcW w:w="860" w:type="dxa"/>
            <w:shd w:val="clear" w:color="auto" w:fill="FFFFFF"/>
            <w:vAlign w:val="center"/>
          </w:tcPr>
          <w:p w14:paraId="4550444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9.3</w:t>
            </w:r>
          </w:p>
        </w:tc>
      </w:tr>
      <w:tr w:rsidR="00485B62" w:rsidRPr="00485B62" w14:paraId="0A78E950" w14:textId="77777777" w:rsidTr="00485B62">
        <w:trPr>
          <w:jc w:val="center"/>
        </w:trPr>
        <w:tc>
          <w:tcPr>
            <w:tcW w:w="1518" w:type="dxa"/>
            <w:shd w:val="clear" w:color="auto" w:fill="FFFFFF"/>
            <w:vAlign w:val="center"/>
          </w:tcPr>
          <w:p w14:paraId="31EEACC0" w14:textId="77777777" w:rsidR="00485B62" w:rsidRPr="00485B62" w:rsidRDefault="00485B62" w:rsidP="00485B62">
            <w:pPr>
              <w:widowControl w:val="0"/>
              <w:overflowPunct w:val="0"/>
              <w:jc w:val="center"/>
              <w:rPr>
                <w:rFonts w:ascii="Times New Roman" w:eastAsia="仿宋" w:hAnsi="Times New Roman"/>
                <w:sz w:val="15"/>
                <w:szCs w:val="15"/>
              </w:rPr>
            </w:pPr>
            <w:r w:rsidRPr="00485B62">
              <w:rPr>
                <w:rFonts w:ascii="Times New Roman" w:eastAsia="仿宋" w:hAnsi="Times New Roman" w:hint="eastAsia"/>
                <w:sz w:val="15"/>
                <w:szCs w:val="15"/>
              </w:rPr>
              <w:t>金融业</w:t>
            </w:r>
          </w:p>
        </w:tc>
        <w:tc>
          <w:tcPr>
            <w:tcW w:w="850" w:type="dxa"/>
            <w:shd w:val="clear" w:color="auto" w:fill="FFFFFF"/>
            <w:vAlign w:val="center"/>
          </w:tcPr>
          <w:p w14:paraId="2C661FF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131405</w:t>
            </w:r>
          </w:p>
        </w:tc>
        <w:tc>
          <w:tcPr>
            <w:tcW w:w="787" w:type="dxa"/>
            <w:shd w:val="clear" w:color="auto" w:fill="FFFFFF"/>
            <w:vAlign w:val="center"/>
          </w:tcPr>
          <w:p w14:paraId="64E3FA06"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129837</w:t>
            </w:r>
          </w:p>
        </w:tc>
        <w:tc>
          <w:tcPr>
            <w:tcW w:w="860" w:type="dxa"/>
            <w:shd w:val="clear" w:color="auto" w:fill="FFFFFF"/>
            <w:vAlign w:val="center"/>
          </w:tcPr>
          <w:p w14:paraId="18FBAF1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1.2</w:t>
            </w:r>
          </w:p>
        </w:tc>
      </w:tr>
      <w:tr w:rsidR="00485B62" w:rsidRPr="00485B62" w14:paraId="67177688" w14:textId="77777777" w:rsidTr="00485B62">
        <w:trPr>
          <w:jc w:val="center"/>
        </w:trPr>
        <w:tc>
          <w:tcPr>
            <w:tcW w:w="1518" w:type="dxa"/>
            <w:shd w:val="clear" w:color="auto" w:fill="FFFFFF"/>
            <w:vAlign w:val="center"/>
          </w:tcPr>
          <w:p w14:paraId="5B9B616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房地产业</w:t>
            </w:r>
          </w:p>
        </w:tc>
        <w:tc>
          <w:tcPr>
            <w:tcW w:w="850" w:type="dxa"/>
            <w:shd w:val="clear" w:color="auto" w:fill="FFFFFF"/>
            <w:vAlign w:val="center"/>
          </w:tcPr>
          <w:p w14:paraId="72F38C5E"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80157</w:t>
            </w:r>
          </w:p>
        </w:tc>
        <w:tc>
          <w:tcPr>
            <w:tcW w:w="787" w:type="dxa"/>
            <w:shd w:val="clear" w:color="auto" w:fill="FFFFFF"/>
            <w:vAlign w:val="center"/>
          </w:tcPr>
          <w:p w14:paraId="045CF2F4"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75281</w:t>
            </w:r>
          </w:p>
        </w:tc>
        <w:tc>
          <w:tcPr>
            <w:tcW w:w="860" w:type="dxa"/>
            <w:shd w:val="clear" w:color="auto" w:fill="FFFFFF"/>
            <w:vAlign w:val="center"/>
          </w:tcPr>
          <w:p w14:paraId="7CE13767"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6.5</w:t>
            </w:r>
          </w:p>
        </w:tc>
      </w:tr>
      <w:tr w:rsidR="00485B62" w:rsidRPr="00485B62" w14:paraId="5C2DAB11" w14:textId="77777777" w:rsidTr="00485B62">
        <w:trPr>
          <w:jc w:val="center"/>
        </w:trPr>
        <w:tc>
          <w:tcPr>
            <w:tcW w:w="1518" w:type="dxa"/>
            <w:shd w:val="clear" w:color="auto" w:fill="FFFFFF"/>
            <w:vAlign w:val="center"/>
          </w:tcPr>
          <w:p w14:paraId="0A2B3306"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租赁和商务服务业</w:t>
            </w:r>
          </w:p>
        </w:tc>
        <w:tc>
          <w:tcPr>
            <w:tcW w:w="850" w:type="dxa"/>
            <w:shd w:val="clear" w:color="auto" w:fill="FFFFFF"/>
            <w:vAlign w:val="center"/>
          </w:tcPr>
          <w:p w14:paraId="36512B12"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88190</w:t>
            </w:r>
          </w:p>
        </w:tc>
        <w:tc>
          <w:tcPr>
            <w:tcW w:w="787" w:type="dxa"/>
            <w:shd w:val="clear" w:color="auto" w:fill="FFFFFF"/>
            <w:vAlign w:val="center"/>
          </w:tcPr>
          <w:p w14:paraId="62EE2CBA"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85147</w:t>
            </w:r>
          </w:p>
        </w:tc>
        <w:tc>
          <w:tcPr>
            <w:tcW w:w="860" w:type="dxa"/>
            <w:shd w:val="clear" w:color="auto" w:fill="FFFFFF"/>
            <w:vAlign w:val="center"/>
          </w:tcPr>
          <w:p w14:paraId="6636B795"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3.6</w:t>
            </w:r>
          </w:p>
        </w:tc>
      </w:tr>
      <w:tr w:rsidR="00485B62" w:rsidRPr="00485B62" w14:paraId="7776D3FA" w14:textId="77777777" w:rsidTr="00485B62">
        <w:trPr>
          <w:jc w:val="center"/>
        </w:trPr>
        <w:tc>
          <w:tcPr>
            <w:tcW w:w="1518" w:type="dxa"/>
            <w:shd w:val="clear" w:color="auto" w:fill="FFFFFF"/>
            <w:vAlign w:val="center"/>
          </w:tcPr>
          <w:p w14:paraId="5F088025"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科学研究和技术服务业</w:t>
            </w:r>
          </w:p>
        </w:tc>
        <w:tc>
          <w:tcPr>
            <w:tcW w:w="850" w:type="dxa"/>
            <w:shd w:val="clear" w:color="auto" w:fill="FFFFFF"/>
            <w:vAlign w:val="center"/>
          </w:tcPr>
          <w:p w14:paraId="6428E487"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133459</w:t>
            </w:r>
          </w:p>
        </w:tc>
        <w:tc>
          <w:tcPr>
            <w:tcW w:w="787" w:type="dxa"/>
            <w:shd w:val="clear" w:color="auto" w:fill="FFFFFF"/>
            <w:vAlign w:val="center"/>
          </w:tcPr>
          <w:p w14:paraId="0FD40E20"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123343</w:t>
            </w:r>
          </w:p>
        </w:tc>
        <w:tc>
          <w:tcPr>
            <w:tcW w:w="860" w:type="dxa"/>
            <w:shd w:val="clear" w:color="auto" w:fill="FFFFFF"/>
            <w:vAlign w:val="center"/>
          </w:tcPr>
          <w:p w14:paraId="552E977F"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8.2</w:t>
            </w:r>
          </w:p>
        </w:tc>
      </w:tr>
      <w:tr w:rsidR="00485B62" w:rsidRPr="00485B62" w14:paraId="6AEB0CED" w14:textId="77777777" w:rsidTr="00485B62">
        <w:trPr>
          <w:jc w:val="center"/>
        </w:trPr>
        <w:tc>
          <w:tcPr>
            <w:tcW w:w="1518" w:type="dxa"/>
            <w:shd w:val="clear" w:color="auto" w:fill="FFFFFF"/>
            <w:vAlign w:val="center"/>
          </w:tcPr>
          <w:p w14:paraId="24AF0CC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水利、环境和公共设施管理业</w:t>
            </w:r>
          </w:p>
        </w:tc>
        <w:tc>
          <w:tcPr>
            <w:tcW w:w="850" w:type="dxa"/>
            <w:shd w:val="clear" w:color="auto" w:fill="FFFFFF"/>
            <w:vAlign w:val="center"/>
          </w:tcPr>
          <w:p w14:paraId="6A8A7BA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61158</w:t>
            </w:r>
          </w:p>
        </w:tc>
        <w:tc>
          <w:tcPr>
            <w:tcW w:w="787" w:type="dxa"/>
            <w:shd w:val="clear" w:color="auto" w:fill="FFFFFF"/>
            <w:vAlign w:val="center"/>
          </w:tcPr>
          <w:p w14:paraId="5DB74A9A"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56670</w:t>
            </w:r>
          </w:p>
        </w:tc>
        <w:tc>
          <w:tcPr>
            <w:tcW w:w="860" w:type="dxa"/>
            <w:shd w:val="clear" w:color="auto" w:fill="FFFFFF"/>
            <w:vAlign w:val="center"/>
          </w:tcPr>
          <w:p w14:paraId="5BB5DCF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7.9</w:t>
            </w:r>
          </w:p>
        </w:tc>
      </w:tr>
      <w:tr w:rsidR="00485B62" w:rsidRPr="00485B62" w14:paraId="1A650E44" w14:textId="77777777" w:rsidTr="00485B62">
        <w:trPr>
          <w:jc w:val="center"/>
        </w:trPr>
        <w:tc>
          <w:tcPr>
            <w:tcW w:w="1518" w:type="dxa"/>
            <w:shd w:val="clear" w:color="auto" w:fill="FFFFFF"/>
            <w:vAlign w:val="center"/>
          </w:tcPr>
          <w:p w14:paraId="565BE372"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居民服务、修理和其他服务业</w:t>
            </w:r>
          </w:p>
        </w:tc>
        <w:tc>
          <w:tcPr>
            <w:tcW w:w="850" w:type="dxa"/>
            <w:shd w:val="clear" w:color="auto" w:fill="FFFFFF"/>
            <w:vAlign w:val="center"/>
          </w:tcPr>
          <w:p w14:paraId="1E31764A"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60232</w:t>
            </w:r>
          </w:p>
        </w:tc>
        <w:tc>
          <w:tcPr>
            <w:tcW w:w="787" w:type="dxa"/>
            <w:shd w:val="clear" w:color="auto" w:fill="FFFFFF"/>
            <w:vAlign w:val="center"/>
          </w:tcPr>
          <w:p w14:paraId="6A93C19B"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55343</w:t>
            </w:r>
          </w:p>
        </w:tc>
        <w:tc>
          <w:tcPr>
            <w:tcW w:w="860" w:type="dxa"/>
            <w:shd w:val="clear" w:color="auto" w:fill="FFFFFF"/>
            <w:vAlign w:val="center"/>
          </w:tcPr>
          <w:p w14:paraId="41775783"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8.8</w:t>
            </w:r>
          </w:p>
        </w:tc>
      </w:tr>
      <w:tr w:rsidR="00485B62" w:rsidRPr="00485B62" w14:paraId="62A40409" w14:textId="77777777" w:rsidTr="00485B62">
        <w:trPr>
          <w:jc w:val="center"/>
        </w:trPr>
        <w:tc>
          <w:tcPr>
            <w:tcW w:w="1518" w:type="dxa"/>
            <w:shd w:val="clear" w:color="auto" w:fill="FFFFFF"/>
            <w:vAlign w:val="center"/>
          </w:tcPr>
          <w:p w14:paraId="31E0F9BB"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教育</w:t>
            </w:r>
          </w:p>
        </w:tc>
        <w:tc>
          <w:tcPr>
            <w:tcW w:w="850" w:type="dxa"/>
            <w:shd w:val="clear" w:color="auto" w:fill="FFFFFF"/>
            <w:vAlign w:val="center"/>
          </w:tcPr>
          <w:p w14:paraId="1ED94929"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97681</w:t>
            </w:r>
          </w:p>
        </w:tc>
        <w:tc>
          <w:tcPr>
            <w:tcW w:w="787" w:type="dxa"/>
            <w:shd w:val="clear" w:color="auto" w:fill="FFFFFF"/>
            <w:vAlign w:val="center"/>
          </w:tcPr>
          <w:p w14:paraId="10D875A6"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92383</w:t>
            </w:r>
          </w:p>
        </w:tc>
        <w:tc>
          <w:tcPr>
            <w:tcW w:w="860" w:type="dxa"/>
            <w:shd w:val="clear" w:color="auto" w:fill="FFFFFF"/>
            <w:vAlign w:val="center"/>
          </w:tcPr>
          <w:p w14:paraId="5B262D4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5.7</w:t>
            </w:r>
          </w:p>
        </w:tc>
      </w:tr>
      <w:tr w:rsidR="00485B62" w:rsidRPr="00485B62" w14:paraId="66D70248" w14:textId="77777777" w:rsidTr="00485B62">
        <w:trPr>
          <w:jc w:val="center"/>
        </w:trPr>
        <w:tc>
          <w:tcPr>
            <w:tcW w:w="1518" w:type="dxa"/>
            <w:shd w:val="clear" w:color="auto" w:fill="FFFFFF"/>
            <w:vAlign w:val="center"/>
          </w:tcPr>
          <w:p w14:paraId="493BC827" w14:textId="77777777" w:rsidR="00485B62" w:rsidRPr="00485B62" w:rsidRDefault="00485B62" w:rsidP="00485B62">
            <w:pPr>
              <w:widowControl w:val="0"/>
              <w:overflowPunct w:val="0"/>
              <w:jc w:val="center"/>
              <w:rPr>
                <w:rFonts w:ascii="Times New Roman" w:eastAsia="仿宋" w:hAnsi="Times New Roman"/>
                <w:sz w:val="15"/>
                <w:szCs w:val="15"/>
              </w:rPr>
            </w:pPr>
            <w:r w:rsidRPr="00485B62">
              <w:rPr>
                <w:rFonts w:ascii="Times New Roman" w:eastAsia="仿宋" w:hAnsi="Times New Roman" w:hint="eastAsia"/>
                <w:sz w:val="15"/>
                <w:szCs w:val="15"/>
              </w:rPr>
              <w:t>卫生和社会工作</w:t>
            </w:r>
          </w:p>
        </w:tc>
        <w:tc>
          <w:tcPr>
            <w:tcW w:w="850" w:type="dxa"/>
            <w:shd w:val="clear" w:color="auto" w:fill="FFFFFF"/>
            <w:vAlign w:val="center"/>
          </w:tcPr>
          <w:p w14:paraId="157A55D0"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108903</w:t>
            </w:r>
          </w:p>
        </w:tc>
        <w:tc>
          <w:tcPr>
            <w:tcW w:w="787" w:type="dxa"/>
            <w:shd w:val="clear" w:color="auto" w:fill="FFFFFF"/>
            <w:vAlign w:val="center"/>
          </w:tcPr>
          <w:p w14:paraId="113AD7A5"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98118</w:t>
            </w:r>
          </w:p>
        </w:tc>
        <w:tc>
          <w:tcPr>
            <w:tcW w:w="860" w:type="dxa"/>
            <w:shd w:val="clear" w:color="auto" w:fill="FFFFFF"/>
            <w:vAlign w:val="center"/>
          </w:tcPr>
          <w:p w14:paraId="196F8892"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11.0</w:t>
            </w:r>
          </w:p>
        </w:tc>
      </w:tr>
      <w:tr w:rsidR="00485B62" w:rsidRPr="00485B62" w14:paraId="6051AADF" w14:textId="77777777" w:rsidTr="00485B62">
        <w:trPr>
          <w:jc w:val="center"/>
        </w:trPr>
        <w:tc>
          <w:tcPr>
            <w:tcW w:w="1518" w:type="dxa"/>
            <w:shd w:val="clear" w:color="auto" w:fill="FFFFFF"/>
            <w:vAlign w:val="center"/>
          </w:tcPr>
          <w:p w14:paraId="617F7BAA"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文化、体育和娱乐业</w:t>
            </w:r>
          </w:p>
        </w:tc>
        <w:tc>
          <w:tcPr>
            <w:tcW w:w="850" w:type="dxa"/>
            <w:shd w:val="clear" w:color="auto" w:fill="FFFFFF"/>
            <w:vAlign w:val="center"/>
          </w:tcPr>
          <w:p w14:paraId="72B81E18"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107708</w:t>
            </w:r>
          </w:p>
        </w:tc>
        <w:tc>
          <w:tcPr>
            <w:tcW w:w="787" w:type="dxa"/>
            <w:shd w:val="clear" w:color="auto" w:fill="FFFFFF"/>
            <w:vAlign w:val="center"/>
          </w:tcPr>
          <w:p w14:paraId="1C6769CB" w14:textId="77777777" w:rsidR="00485B62" w:rsidRPr="00485B62" w:rsidRDefault="00485B62" w:rsidP="00485B62">
            <w:pPr>
              <w:widowControl w:val="0"/>
              <w:overflowPunct w:val="0"/>
              <w:jc w:val="center"/>
              <w:rPr>
                <w:rFonts w:ascii="Times New Roman" w:eastAsia="仿宋" w:hAnsi="仿宋" w:hint="eastAsia"/>
                <w:sz w:val="15"/>
                <w:szCs w:val="15"/>
              </w:rPr>
            </w:pPr>
            <w:r w:rsidRPr="00485B62">
              <w:rPr>
                <w:rFonts w:ascii="Times New Roman" w:eastAsia="仿宋" w:hAnsi="仿宋"/>
                <w:sz w:val="15"/>
                <w:szCs w:val="15"/>
              </w:rPr>
              <w:t>98621</w:t>
            </w:r>
          </w:p>
        </w:tc>
        <w:tc>
          <w:tcPr>
            <w:tcW w:w="860" w:type="dxa"/>
            <w:shd w:val="clear" w:color="auto" w:fill="FFFFFF"/>
            <w:vAlign w:val="center"/>
          </w:tcPr>
          <w:p w14:paraId="465259F3"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9.2</w:t>
            </w:r>
          </w:p>
        </w:tc>
      </w:tr>
      <w:tr w:rsidR="00485B62" w14:paraId="2C68AE9B" w14:textId="77777777" w:rsidTr="00485B62">
        <w:trPr>
          <w:jc w:val="center"/>
        </w:trPr>
        <w:tc>
          <w:tcPr>
            <w:tcW w:w="1518" w:type="dxa"/>
            <w:tcBorders>
              <w:bottom w:val="single" w:sz="4" w:space="0" w:color="auto"/>
            </w:tcBorders>
            <w:vAlign w:val="center"/>
          </w:tcPr>
          <w:p w14:paraId="381526EC" w14:textId="77777777" w:rsidR="00485B62" w:rsidRPr="00C0190D"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hint="eastAsia"/>
                <w:sz w:val="15"/>
                <w:szCs w:val="15"/>
              </w:rPr>
              <w:t>公共管理、社会保障和社会组织</w:t>
            </w:r>
          </w:p>
        </w:tc>
        <w:tc>
          <w:tcPr>
            <w:tcW w:w="850" w:type="dxa"/>
            <w:tcBorders>
              <w:bottom w:val="single" w:sz="4" w:space="0" w:color="auto"/>
            </w:tcBorders>
            <w:vAlign w:val="center"/>
          </w:tcPr>
          <w:p w14:paraId="1E82F385" w14:textId="77777777" w:rsid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94369</w:t>
            </w:r>
          </w:p>
        </w:tc>
        <w:tc>
          <w:tcPr>
            <w:tcW w:w="787" w:type="dxa"/>
            <w:tcBorders>
              <w:bottom w:val="single" w:sz="4" w:space="0" w:color="auto"/>
            </w:tcBorders>
            <w:vAlign w:val="center"/>
          </w:tcPr>
          <w:p w14:paraId="20C4E93E" w14:textId="77777777" w:rsidR="00485B62" w:rsidRP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87932</w:t>
            </w:r>
          </w:p>
        </w:tc>
        <w:tc>
          <w:tcPr>
            <w:tcW w:w="860" w:type="dxa"/>
            <w:tcBorders>
              <w:bottom w:val="single" w:sz="4" w:space="0" w:color="auto"/>
            </w:tcBorders>
            <w:vAlign w:val="center"/>
          </w:tcPr>
          <w:p w14:paraId="3D34C4A4" w14:textId="77777777" w:rsidR="00485B62" w:rsidRDefault="00485B62" w:rsidP="00485B62">
            <w:pPr>
              <w:widowControl w:val="0"/>
              <w:overflowPunct w:val="0"/>
              <w:jc w:val="center"/>
              <w:rPr>
                <w:rFonts w:ascii="Times New Roman" w:eastAsia="仿宋" w:hAnsi="Times New Roman" w:hint="eastAsia"/>
                <w:sz w:val="15"/>
                <w:szCs w:val="15"/>
              </w:rPr>
            </w:pPr>
            <w:r w:rsidRPr="00485B62">
              <w:rPr>
                <w:rFonts w:ascii="Times New Roman" w:eastAsia="仿宋" w:hAnsi="Times New Roman"/>
                <w:sz w:val="15"/>
                <w:szCs w:val="15"/>
              </w:rPr>
              <w:t>7.3</w:t>
            </w:r>
          </w:p>
        </w:tc>
      </w:tr>
    </w:tbl>
    <w:p w14:paraId="46FF40C8" w14:textId="77777777" w:rsidR="00196464" w:rsidRPr="00196464" w:rsidRDefault="00F65FCE" w:rsidP="00196464">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分类分析</w:t>
      </w:r>
    </w:p>
    <w:p w14:paraId="496515A4" w14:textId="77777777" w:rsidR="00196464" w:rsidRPr="00196464" w:rsidRDefault="00196464" w:rsidP="00196464">
      <w:pPr>
        <w:pStyle w:val="a9"/>
        <w:spacing w:after="0"/>
        <w:ind w:firstLineChars="200" w:firstLine="360"/>
        <w:rPr>
          <w:rFonts w:ascii="宋体" w:hAnsi="宋体" w:hint="eastAsia"/>
          <w:sz w:val="18"/>
          <w:szCs w:val="18"/>
        </w:rPr>
      </w:pPr>
      <w:r w:rsidRPr="00196464">
        <w:rPr>
          <w:rFonts w:ascii="宋体" w:hAnsi="宋体" w:hint="eastAsia"/>
          <w:sz w:val="18"/>
          <w:szCs w:val="18"/>
        </w:rPr>
        <w:t>首先我们将不同的IT公司根据融资阶段进行分类，我们通过数据的统计发现，初始起步期的在天使融资的公司的平均招聘薪酬为9063元，处于最低的底层。</w:t>
      </w:r>
    </w:p>
    <w:p w14:paraId="45FC1E60" w14:textId="77777777" w:rsidR="00196464" w:rsidRPr="00196464" w:rsidRDefault="00196464" w:rsidP="00196464">
      <w:pPr>
        <w:pStyle w:val="a9"/>
        <w:spacing w:after="0"/>
        <w:ind w:firstLineChars="200" w:firstLine="360"/>
        <w:rPr>
          <w:rFonts w:ascii="宋体" w:hAnsi="宋体" w:hint="eastAsia"/>
          <w:sz w:val="18"/>
          <w:szCs w:val="18"/>
        </w:rPr>
      </w:pPr>
      <w:r w:rsidRPr="00196464">
        <w:rPr>
          <w:rFonts w:ascii="宋体" w:hAnsi="宋体" w:hint="eastAsia"/>
          <w:sz w:val="18"/>
          <w:szCs w:val="18"/>
        </w:rPr>
        <w:t>从趋势来看，融资阶段越靠后的企业，所提供的招聘薪资</w:t>
      </w:r>
      <w:r w:rsidRPr="00196464">
        <w:rPr>
          <w:rFonts w:ascii="宋体" w:hAnsi="宋体" w:hint="eastAsia"/>
          <w:sz w:val="18"/>
          <w:szCs w:val="18"/>
        </w:rPr>
        <w:t>越高，D轮（商业模式成熟、拥有大量用户、在行业内有主导或领导地位，为上市</w:t>
      </w:r>
      <w:proofErr w:type="gramStart"/>
      <w:r w:rsidRPr="00196464">
        <w:rPr>
          <w:rFonts w:ascii="宋体" w:hAnsi="宋体" w:hint="eastAsia"/>
          <w:sz w:val="18"/>
          <w:szCs w:val="18"/>
        </w:rPr>
        <w:t>作准备</w:t>
      </w:r>
      <w:proofErr w:type="gramEnd"/>
      <w:r w:rsidR="00582BBB">
        <w:rPr>
          <w:rFonts w:ascii="宋体" w:hAnsi="宋体" w:hint="eastAsia"/>
          <w:sz w:val="18"/>
          <w:szCs w:val="18"/>
        </w:rPr>
        <w:t>的企业</w:t>
      </w:r>
      <w:r w:rsidRPr="00196464">
        <w:rPr>
          <w:rFonts w:ascii="宋体" w:hAnsi="宋体" w:hint="eastAsia"/>
          <w:sz w:val="18"/>
          <w:szCs w:val="18"/>
        </w:rPr>
        <w:t>）后（包括上市企业）平均薪资达到13901元，BAT，滴滴，美团，字节跳动等顶尖大厂，可以给予的薪资甚至达到初创公司的两倍之多。</w:t>
      </w:r>
    </w:p>
    <w:p w14:paraId="742634FE" w14:textId="77777777" w:rsidR="00196464" w:rsidRPr="00196464" w:rsidRDefault="00196464" w:rsidP="00196464">
      <w:pPr>
        <w:pStyle w:val="a9"/>
        <w:spacing w:after="0"/>
        <w:ind w:firstLineChars="200" w:firstLine="360"/>
        <w:rPr>
          <w:rFonts w:ascii="宋体" w:hAnsi="宋体" w:hint="eastAsia"/>
          <w:sz w:val="18"/>
          <w:szCs w:val="18"/>
        </w:rPr>
      </w:pPr>
      <w:r w:rsidRPr="00196464">
        <w:rPr>
          <w:rFonts w:ascii="宋体" w:hAnsi="宋体" w:hint="eastAsia"/>
          <w:sz w:val="18"/>
          <w:szCs w:val="18"/>
        </w:rPr>
        <w:t>在薪资的增长幅度的角度来说，新兴技术岗位的幅度处于前列，图像算法，推荐算法，深度学习岗位薪资增幅均在15%以上，大数据类岗位仅次于人工智能。在发展过程中，通用类岗位程序员由于就业人数不断上升，人才缺口大幅度被填补，招聘薪酬不增反降，过去几年占据主导的PHP，Net，IOS等职位招聘薪酬出现2%-3%的回调。</w:t>
      </w:r>
    </w:p>
    <w:p w14:paraId="78CBF898" w14:textId="77777777" w:rsidR="00196464" w:rsidRPr="00196464" w:rsidRDefault="00196464" w:rsidP="00196464">
      <w:pPr>
        <w:pStyle w:val="a9"/>
        <w:spacing w:after="0"/>
        <w:ind w:firstLineChars="200" w:firstLine="360"/>
        <w:rPr>
          <w:rFonts w:ascii="宋体" w:hAnsi="宋体" w:hint="eastAsia"/>
          <w:sz w:val="18"/>
          <w:szCs w:val="18"/>
        </w:rPr>
      </w:pPr>
      <w:r w:rsidRPr="00196464">
        <w:rPr>
          <w:rFonts w:ascii="宋体" w:hAnsi="宋体" w:hint="eastAsia"/>
          <w:sz w:val="18"/>
          <w:szCs w:val="18"/>
        </w:rPr>
        <w:t>从就业区域来体现，北京凭借区域优势和互联网创业中心的地位，平均月薪远超其他城市，2017年达到1.33万元，独自占据第一梯队，上海，深圳，杭州的平均薪资均高于一万元位列第二梯队。</w:t>
      </w:r>
    </w:p>
    <w:p w14:paraId="440CD707" w14:textId="77777777" w:rsidR="00196464" w:rsidRPr="00196464" w:rsidRDefault="00196464" w:rsidP="00196464">
      <w:pPr>
        <w:pStyle w:val="a9"/>
        <w:spacing w:after="0"/>
        <w:ind w:firstLineChars="200" w:firstLine="360"/>
        <w:rPr>
          <w:rFonts w:ascii="宋体" w:hAnsi="宋体" w:hint="eastAsia"/>
          <w:sz w:val="18"/>
          <w:szCs w:val="18"/>
        </w:rPr>
      </w:pPr>
      <w:r w:rsidRPr="00196464">
        <w:rPr>
          <w:rFonts w:ascii="宋体" w:hAnsi="宋体" w:hint="eastAsia"/>
          <w:sz w:val="18"/>
          <w:szCs w:val="18"/>
        </w:rPr>
        <w:t>剩余的城市组成第三梯队，于前面相比，第三梯队间的薪酬差距明显缩小，70%以上地区整体招聘月薪在7000-8000元之间</w:t>
      </w:r>
      <w:r w:rsidR="00A82847">
        <w:rPr>
          <w:rFonts w:ascii="宋体" w:hAnsi="宋体" w:hint="eastAsia"/>
          <w:sz w:val="18"/>
          <w:szCs w:val="18"/>
          <w:vertAlign w:val="superscript"/>
        </w:rPr>
        <w:t>[</w:t>
      </w:r>
      <w:r w:rsidR="00A82847">
        <w:rPr>
          <w:rFonts w:ascii="宋体" w:hAnsi="宋体"/>
          <w:sz w:val="18"/>
          <w:szCs w:val="18"/>
          <w:vertAlign w:val="superscript"/>
        </w:rPr>
        <w:t>6]</w:t>
      </w:r>
      <w:r w:rsidRPr="00196464">
        <w:rPr>
          <w:rFonts w:ascii="宋体" w:hAnsi="宋体" w:hint="eastAsia"/>
          <w:sz w:val="18"/>
          <w:szCs w:val="18"/>
        </w:rPr>
        <w:t>。</w:t>
      </w:r>
    </w:p>
    <w:p w14:paraId="3BA21277" w14:textId="77777777" w:rsidR="00196464" w:rsidRDefault="00196464" w:rsidP="00196464">
      <w:pPr>
        <w:pStyle w:val="a9"/>
        <w:spacing w:after="0"/>
        <w:ind w:firstLineChars="200" w:firstLine="360"/>
        <w:rPr>
          <w:rFonts w:ascii="宋体" w:hAnsi="宋体"/>
          <w:sz w:val="18"/>
          <w:szCs w:val="18"/>
        </w:rPr>
      </w:pPr>
      <w:r w:rsidRPr="00196464">
        <w:rPr>
          <w:rFonts w:ascii="宋体" w:hAnsi="宋体" w:hint="eastAsia"/>
          <w:sz w:val="18"/>
          <w:szCs w:val="18"/>
        </w:rPr>
        <w:t>由于新</w:t>
      </w:r>
      <w:r>
        <w:rPr>
          <w:rFonts w:ascii="宋体" w:hAnsi="宋体" w:hint="eastAsia"/>
          <w:sz w:val="18"/>
          <w:szCs w:val="18"/>
        </w:rPr>
        <w:t>兴技术岗位需求普遍集中在北上杭深，一二梯队招聘薪酬增幅明显超过第三梯队，北京以4</w:t>
      </w:r>
      <w:r>
        <w:rPr>
          <w:rFonts w:ascii="宋体" w:hAnsi="宋体"/>
          <w:sz w:val="18"/>
          <w:szCs w:val="18"/>
        </w:rPr>
        <w:t>.8%</w:t>
      </w:r>
      <w:r>
        <w:rPr>
          <w:rFonts w:ascii="宋体" w:hAnsi="宋体" w:hint="eastAsia"/>
          <w:sz w:val="18"/>
          <w:szCs w:val="18"/>
        </w:rPr>
        <w:t>的平均增幅领跑全国</w:t>
      </w:r>
      <w:r w:rsidR="00A82847">
        <w:rPr>
          <w:rFonts w:ascii="宋体" w:hAnsi="宋体" w:hint="eastAsia"/>
          <w:sz w:val="18"/>
          <w:szCs w:val="18"/>
          <w:vertAlign w:val="superscript"/>
        </w:rPr>
        <w:t>[</w:t>
      </w:r>
      <w:r w:rsidR="00A82847">
        <w:rPr>
          <w:rFonts w:ascii="宋体" w:hAnsi="宋体"/>
          <w:sz w:val="18"/>
          <w:szCs w:val="18"/>
          <w:vertAlign w:val="superscript"/>
        </w:rPr>
        <w:t>6]</w:t>
      </w:r>
      <w:r>
        <w:rPr>
          <w:rFonts w:ascii="宋体" w:hAnsi="宋体" w:hint="eastAsia"/>
          <w:sz w:val="18"/>
          <w:szCs w:val="18"/>
        </w:rPr>
        <w:t>。</w:t>
      </w:r>
    </w:p>
    <w:p w14:paraId="53AB40C9" w14:textId="77777777" w:rsidR="00395AA1" w:rsidRPr="00F65FCE" w:rsidRDefault="00395AA1" w:rsidP="00395AA1">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原因分析</w:t>
      </w:r>
    </w:p>
    <w:p w14:paraId="6BE14BE3" w14:textId="77777777" w:rsidR="00230459" w:rsidRDefault="00230459" w:rsidP="00230459">
      <w:pPr>
        <w:pStyle w:val="a9"/>
        <w:spacing w:after="0"/>
        <w:ind w:firstLineChars="200" w:firstLine="360"/>
        <w:rPr>
          <w:rFonts w:ascii="宋体" w:hAnsi="宋体" w:hint="eastAsia"/>
          <w:sz w:val="18"/>
          <w:szCs w:val="18"/>
        </w:rPr>
      </w:pPr>
      <w:r>
        <w:rPr>
          <w:rFonts w:ascii="宋体" w:hAnsi="宋体" w:hint="eastAsia"/>
          <w:sz w:val="18"/>
          <w:szCs w:val="18"/>
        </w:rPr>
        <w:t>最主要的薪资结构来说，以代表性的网络游戏行业为例，薪资组成为：1</w:t>
      </w:r>
      <w:r>
        <w:rPr>
          <w:rFonts w:ascii="宋体" w:hAnsi="宋体"/>
          <w:sz w:val="18"/>
          <w:szCs w:val="18"/>
        </w:rPr>
        <w:t>3</w:t>
      </w:r>
      <w:r>
        <w:rPr>
          <w:rFonts w:ascii="宋体" w:hAnsi="宋体" w:hint="eastAsia"/>
          <w:sz w:val="18"/>
          <w:szCs w:val="18"/>
        </w:rPr>
        <w:t>月薪+项目奖金+绩效奖金。</w:t>
      </w:r>
      <w:r>
        <w:rPr>
          <w:rFonts w:ascii="宋体" w:hAnsi="宋体"/>
          <w:sz w:val="18"/>
          <w:szCs w:val="18"/>
        </w:rPr>
        <w:t>1</w:t>
      </w:r>
      <w:r>
        <w:rPr>
          <w:rFonts w:ascii="宋体" w:hAnsi="宋体" w:hint="eastAsia"/>
          <w:sz w:val="18"/>
          <w:szCs w:val="18"/>
        </w:rPr>
        <w:t>）互联网的快速发展以及行业环境和公司内部环境的不断变化的发展，使得互联网越来越受资本市场的青睐。</w:t>
      </w:r>
      <w:r>
        <w:rPr>
          <w:rFonts w:ascii="宋体" w:hAnsi="宋体"/>
          <w:sz w:val="18"/>
          <w:szCs w:val="18"/>
        </w:rPr>
        <w:t>2</w:t>
      </w:r>
      <w:r>
        <w:rPr>
          <w:rFonts w:ascii="宋体" w:hAnsi="宋体" w:hint="eastAsia"/>
          <w:sz w:val="18"/>
          <w:szCs w:val="18"/>
        </w:rPr>
        <w:t>）不断带来的新的挑战和机遇使得企业为了适应不同发展阶段的人才需求，人才渴求空前上涨。3）互联网行业作为新兴产业引入的灵活的福利措施</w:t>
      </w:r>
      <w:r w:rsidR="000371F5">
        <w:rPr>
          <w:rFonts w:ascii="宋体" w:hAnsi="宋体" w:hint="eastAsia"/>
          <w:sz w:val="18"/>
          <w:szCs w:val="18"/>
        </w:rPr>
        <w:t>，和弹性的薪酬体系也一定程度上不断吸引人才加入这个行业4）很多企业都加入到抢人大战中，同时为了应付人才的高流动性也一定程度上加剧了薪酬的增加。</w:t>
      </w:r>
    </w:p>
    <w:p w14:paraId="3D2940BF" w14:textId="77777777" w:rsidR="00582BBB" w:rsidRPr="00F65FCE" w:rsidRDefault="00582BBB" w:rsidP="00582BBB">
      <w:pPr>
        <w:pStyle w:val="ad"/>
        <w:numPr>
          <w:ilvl w:val="0"/>
          <w:numId w:val="1"/>
        </w:numPr>
      </w:pPr>
      <w:r>
        <w:rPr>
          <w:rFonts w:ascii="黑体" w:eastAsia="黑体" w:hAnsi="黑体" w:hint="eastAsia"/>
          <w:szCs w:val="21"/>
        </w:rPr>
        <w:t>结论</w:t>
      </w:r>
    </w:p>
    <w:p w14:paraId="72A5ADD5" w14:textId="77777777" w:rsidR="00582BBB" w:rsidRPr="000371F5" w:rsidRDefault="00582BBB" w:rsidP="00196464">
      <w:pPr>
        <w:pStyle w:val="a9"/>
        <w:spacing w:after="0"/>
        <w:ind w:firstLineChars="200" w:firstLine="360"/>
        <w:rPr>
          <w:rFonts w:ascii="宋体" w:hAnsi="宋体" w:hint="eastAsia"/>
          <w:sz w:val="18"/>
          <w:szCs w:val="18"/>
        </w:rPr>
      </w:pPr>
      <w:r>
        <w:rPr>
          <w:rFonts w:ascii="宋体" w:hAnsi="宋体" w:hint="eastAsia"/>
          <w:sz w:val="18"/>
          <w:szCs w:val="18"/>
        </w:rPr>
        <w:t>通过数据信息来看，公司，地域，技术岗位都对于程序员的薪资有影响</w:t>
      </w:r>
      <w:r w:rsidR="00395AA1">
        <w:rPr>
          <w:rFonts w:ascii="宋体" w:hAnsi="宋体" w:hint="eastAsia"/>
          <w:sz w:val="18"/>
          <w:szCs w:val="18"/>
        </w:rPr>
        <w:t>，但是</w:t>
      </w:r>
      <w:r w:rsidR="000371F5">
        <w:rPr>
          <w:rFonts w:ascii="宋体" w:hAnsi="宋体" w:hint="eastAsia"/>
          <w:sz w:val="18"/>
          <w:szCs w:val="18"/>
        </w:rPr>
        <w:t>现在处于新兴行</w:t>
      </w:r>
      <w:proofErr w:type="gramStart"/>
      <w:r w:rsidR="000371F5">
        <w:rPr>
          <w:rFonts w:ascii="宋体" w:hAnsi="宋体" w:hint="eastAsia"/>
          <w:sz w:val="18"/>
          <w:szCs w:val="18"/>
        </w:rPr>
        <w:t>也反展的</w:t>
      </w:r>
      <w:proofErr w:type="gramEnd"/>
      <w:r w:rsidR="000371F5" w:rsidRPr="000371F5">
        <w:rPr>
          <w:rFonts w:ascii="宋体" w:hAnsi="宋体" w:hint="eastAsia"/>
          <w:sz w:val="18"/>
          <w:szCs w:val="18"/>
        </w:rPr>
        <w:t>传统工业技术断裂开启的“机会窗口”</w:t>
      </w:r>
      <w:r w:rsidR="000371F5">
        <w:rPr>
          <w:rFonts w:ascii="宋体" w:hAnsi="宋体" w:hint="eastAsia"/>
          <w:sz w:val="18"/>
          <w:szCs w:val="18"/>
          <w:vertAlign w:val="superscript"/>
        </w:rPr>
        <w:t>[</w:t>
      </w:r>
      <w:r w:rsidR="000371F5">
        <w:rPr>
          <w:rFonts w:ascii="宋体" w:hAnsi="宋体"/>
          <w:sz w:val="18"/>
          <w:szCs w:val="18"/>
          <w:vertAlign w:val="superscript"/>
        </w:rPr>
        <w:t>3]</w:t>
      </w:r>
      <w:r w:rsidR="000371F5" w:rsidRPr="000371F5">
        <w:rPr>
          <w:rFonts w:ascii="宋体" w:hAnsi="宋体" w:hint="eastAsia"/>
          <w:sz w:val="18"/>
          <w:szCs w:val="18"/>
        </w:rPr>
        <w:t>，</w:t>
      </w:r>
      <w:r w:rsidR="000371F5">
        <w:rPr>
          <w:rFonts w:ascii="宋体" w:hAnsi="宋体" w:hint="eastAsia"/>
          <w:sz w:val="18"/>
          <w:szCs w:val="18"/>
        </w:rPr>
        <w:t>先野蛮生长，再大浪淘沙，不过是再正常不过的发展规律。所以首要还是要提高自己的技术实力，用技术去争取薪资才是正确的道路。</w:t>
      </w:r>
    </w:p>
    <w:p w14:paraId="590ACB66" w14:textId="77777777" w:rsidR="00B44B32" w:rsidRDefault="00B44B32">
      <w:pPr>
        <w:pStyle w:val="Textof"/>
        <w:ind w:leftChars="34" w:left="333" w:firstLineChars="0"/>
        <w:jc w:val="left"/>
        <w:rPr>
          <w:rFonts w:hAnsi="宋体"/>
          <w:b/>
          <w:sz w:val="18"/>
          <w:szCs w:val="18"/>
        </w:rPr>
      </w:pPr>
      <w:r>
        <w:rPr>
          <w:rFonts w:hAnsi="宋体" w:hint="eastAsia"/>
          <w:b/>
          <w:sz w:val="18"/>
          <w:szCs w:val="18"/>
        </w:rPr>
        <w:t>参考文献</w:t>
      </w:r>
    </w:p>
    <w:p w14:paraId="0E29EE2F" w14:textId="77777777" w:rsidR="00C65A6B" w:rsidRDefault="00C65A6B">
      <w:pPr>
        <w:jc w:val="both"/>
        <w:rPr>
          <w:rFonts w:ascii="宋体" w:eastAsia="宋体" w:hAnsi="宋体"/>
          <w:sz w:val="18"/>
          <w:szCs w:val="18"/>
        </w:rPr>
      </w:pPr>
      <w:r w:rsidRPr="00C65A6B">
        <w:rPr>
          <w:rFonts w:ascii="宋体" w:eastAsia="宋体" w:hAnsi="宋体" w:hint="eastAsia"/>
          <w:sz w:val="18"/>
          <w:szCs w:val="18"/>
        </w:rPr>
        <w:t>[1]秦静, 张倩囡. 浅析互联网员工工资高的原因[J]. 大江周刊:论坛, 2012, 000(008):99-99.</w:t>
      </w:r>
    </w:p>
    <w:p w14:paraId="79A34AA7" w14:textId="77777777" w:rsidR="00EF4D30" w:rsidRDefault="00EF4D30">
      <w:pPr>
        <w:jc w:val="both"/>
        <w:rPr>
          <w:rFonts w:ascii="宋体" w:eastAsia="宋体" w:hAnsi="宋体"/>
          <w:sz w:val="18"/>
          <w:szCs w:val="18"/>
        </w:rPr>
      </w:pPr>
      <w:r w:rsidRPr="00EF4D30">
        <w:rPr>
          <w:rFonts w:ascii="宋体" w:eastAsia="宋体" w:hAnsi="宋体" w:hint="eastAsia"/>
          <w:sz w:val="18"/>
          <w:szCs w:val="18"/>
        </w:rPr>
        <w:t>[</w:t>
      </w:r>
      <w:r>
        <w:rPr>
          <w:rFonts w:ascii="宋体" w:eastAsia="宋体" w:hAnsi="宋体"/>
          <w:sz w:val="18"/>
          <w:szCs w:val="18"/>
        </w:rPr>
        <w:t>2</w:t>
      </w:r>
      <w:r w:rsidRPr="00EF4D30">
        <w:rPr>
          <w:rFonts w:ascii="宋体" w:eastAsia="宋体" w:hAnsi="宋体" w:hint="eastAsia"/>
          <w:sz w:val="18"/>
          <w:szCs w:val="18"/>
        </w:rPr>
        <w:t>]吴文娟. 美国硅谷发展情况及对我国IT产业发展的经验研究[J]. IT经理世界, 2019, 022(010):122-124.</w:t>
      </w:r>
    </w:p>
    <w:p w14:paraId="0873D0BF" w14:textId="77777777" w:rsidR="00885CE7" w:rsidRDefault="00885CE7">
      <w:pPr>
        <w:jc w:val="both"/>
        <w:rPr>
          <w:rFonts w:ascii="宋体" w:eastAsia="宋体" w:hAnsi="宋体"/>
          <w:sz w:val="18"/>
          <w:szCs w:val="18"/>
        </w:rPr>
      </w:pPr>
      <w:r w:rsidRPr="00885CE7">
        <w:rPr>
          <w:rFonts w:ascii="宋体" w:eastAsia="宋体" w:hAnsi="宋体" w:hint="eastAsia"/>
          <w:sz w:val="18"/>
          <w:szCs w:val="18"/>
        </w:rPr>
        <w:lastRenderedPageBreak/>
        <w:t>[</w:t>
      </w:r>
      <w:r>
        <w:rPr>
          <w:rFonts w:ascii="宋体" w:eastAsia="宋体" w:hAnsi="宋体"/>
          <w:sz w:val="18"/>
          <w:szCs w:val="18"/>
        </w:rPr>
        <w:t>3</w:t>
      </w:r>
      <w:r w:rsidRPr="00885CE7">
        <w:rPr>
          <w:rFonts w:ascii="宋体" w:eastAsia="宋体" w:hAnsi="宋体" w:hint="eastAsia"/>
          <w:sz w:val="18"/>
          <w:szCs w:val="18"/>
        </w:rPr>
        <w:t>]高峰, 唐家龙. 新兴产业发展规律及启示[J]. 科技进步与对策, 2011(01):56-58.</w:t>
      </w:r>
    </w:p>
    <w:p w14:paraId="5E1BEE66" w14:textId="77777777" w:rsidR="00330B23" w:rsidRPr="00582BBB" w:rsidRDefault="00330B23" w:rsidP="00330B23">
      <w:pPr>
        <w:jc w:val="both"/>
        <w:rPr>
          <w:rFonts w:ascii="Times New Roman" w:eastAsia="宋体" w:hAnsi="Times New Roman"/>
          <w:color w:val="FF0000"/>
          <w:sz w:val="18"/>
          <w:szCs w:val="18"/>
          <w:bdr w:val="single" w:sz="4" w:space="0" w:color="auto"/>
        </w:rPr>
      </w:pPr>
      <w:r w:rsidRPr="00582BBB">
        <w:rPr>
          <w:rFonts w:ascii="宋体" w:eastAsia="宋体" w:hAnsi="宋体" w:hint="eastAsia"/>
          <w:sz w:val="18"/>
          <w:szCs w:val="18"/>
        </w:rPr>
        <w:t>[4] 2019年城镇非私营单位就业人员年平均工资90501元</w:t>
      </w:r>
      <w:r w:rsidRPr="00582BBB">
        <w:rPr>
          <w:rFonts w:ascii="宋体" w:eastAsia="宋体" w:hAnsi="宋体"/>
          <w:sz w:val="18"/>
          <w:szCs w:val="18"/>
        </w:rPr>
        <w:t xml:space="preserve"> 2020</w:t>
      </w:r>
      <w:r w:rsidRPr="00582BBB">
        <w:rPr>
          <w:rFonts w:ascii="宋体" w:eastAsia="宋体" w:hAnsi="宋体" w:hint="eastAsia"/>
          <w:sz w:val="18"/>
          <w:szCs w:val="18"/>
        </w:rPr>
        <w:t>：国家统计局</w:t>
      </w:r>
      <w:r w:rsidRPr="00582BBB">
        <w:rPr>
          <w:rFonts w:ascii="宋体" w:eastAsia="宋体" w:hAnsi="宋体"/>
          <w:sz w:val="18"/>
          <w:szCs w:val="18"/>
        </w:rPr>
        <w:t>[EB/OL].(2014-12-30) [2020-0</w:t>
      </w:r>
      <w:r w:rsidR="00522DB4" w:rsidRPr="00582BBB">
        <w:rPr>
          <w:rFonts w:ascii="宋体" w:eastAsia="宋体" w:hAnsi="宋体"/>
          <w:sz w:val="18"/>
          <w:szCs w:val="18"/>
        </w:rPr>
        <w:t>5</w:t>
      </w:r>
      <w:r w:rsidRPr="00582BBB">
        <w:rPr>
          <w:rFonts w:ascii="宋体" w:eastAsia="宋体" w:hAnsi="宋体"/>
          <w:sz w:val="18"/>
          <w:szCs w:val="18"/>
        </w:rPr>
        <w:t>-</w:t>
      </w:r>
      <w:r w:rsidR="00522DB4" w:rsidRPr="00582BBB">
        <w:rPr>
          <w:rFonts w:ascii="宋体" w:eastAsia="宋体" w:hAnsi="宋体"/>
          <w:sz w:val="18"/>
          <w:szCs w:val="18"/>
        </w:rPr>
        <w:t>15</w:t>
      </w:r>
      <w:r w:rsidRPr="00582BBB">
        <w:rPr>
          <w:rFonts w:ascii="宋体" w:eastAsia="宋体" w:hAnsi="宋体"/>
          <w:sz w:val="18"/>
          <w:szCs w:val="18"/>
        </w:rPr>
        <w:t>].</w:t>
      </w:r>
      <w:r w:rsidR="00522DB4" w:rsidRPr="00582BBB">
        <w:rPr>
          <w:rFonts w:ascii="宋体" w:eastAsia="宋体" w:hAnsi="宋体"/>
          <w:sz w:val="18"/>
          <w:szCs w:val="18"/>
        </w:rPr>
        <w:t xml:space="preserve"> http://www.stats.gov.cn/tjsj/zxfb/202005/t20200515_1745764.html</w:t>
      </w:r>
      <w:r w:rsidRPr="00582BBB">
        <w:rPr>
          <w:rFonts w:ascii="宋体" w:eastAsia="宋体" w:hAnsi="宋体" w:hint="eastAsia"/>
          <w:sz w:val="18"/>
          <w:szCs w:val="18"/>
        </w:rPr>
        <w:t xml:space="preserve">. </w:t>
      </w:r>
      <w:r w:rsidRPr="00582BBB">
        <w:rPr>
          <w:rFonts w:ascii="Times New Roman" w:eastAsia="宋体" w:hAnsi="Times New Roman" w:hint="eastAsia"/>
          <w:sz w:val="18"/>
          <w:szCs w:val="18"/>
        </w:rPr>
        <w:t xml:space="preserve">  </w:t>
      </w:r>
    </w:p>
    <w:p w14:paraId="7095B60A" w14:textId="77777777" w:rsidR="00330B23" w:rsidRDefault="00582BBB">
      <w:pPr>
        <w:jc w:val="both"/>
        <w:rPr>
          <w:rFonts w:ascii="宋体" w:eastAsia="宋体" w:hAnsi="宋体"/>
          <w:sz w:val="18"/>
          <w:szCs w:val="18"/>
        </w:rPr>
      </w:pPr>
      <w:r w:rsidRPr="00582BBB">
        <w:rPr>
          <w:rFonts w:ascii="宋体" w:eastAsia="宋体" w:hAnsi="宋体" w:hint="eastAsia"/>
          <w:sz w:val="18"/>
          <w:szCs w:val="18"/>
        </w:rPr>
        <w:t>[</w:t>
      </w:r>
      <w:r>
        <w:rPr>
          <w:rFonts w:ascii="宋体" w:eastAsia="宋体" w:hAnsi="宋体"/>
          <w:sz w:val="18"/>
          <w:szCs w:val="18"/>
        </w:rPr>
        <w:t>5</w:t>
      </w:r>
      <w:r w:rsidRPr="00582BBB">
        <w:rPr>
          <w:rFonts w:ascii="宋体" w:eastAsia="宋体" w:hAnsi="宋体" w:hint="eastAsia"/>
          <w:sz w:val="18"/>
          <w:szCs w:val="18"/>
        </w:rPr>
        <w:t>]周路平. 2017互联网工资大起底[J]. 财经天下, 2018.</w:t>
      </w:r>
    </w:p>
    <w:p w14:paraId="3A75888E" w14:textId="77777777" w:rsidR="00B44B32" w:rsidRPr="00522B36" w:rsidRDefault="00522B36">
      <w:pPr>
        <w:rPr>
          <w:rFonts w:ascii="宋体" w:eastAsia="宋体" w:hAnsi="宋体"/>
          <w:sz w:val="18"/>
          <w:szCs w:val="18"/>
        </w:rPr>
      </w:pPr>
      <w:r w:rsidRPr="00522B36">
        <w:rPr>
          <w:rFonts w:ascii="宋体" w:eastAsia="宋体" w:hAnsi="宋体" w:hint="eastAsia"/>
          <w:sz w:val="18"/>
          <w:szCs w:val="18"/>
        </w:rPr>
        <w:t>[</w:t>
      </w:r>
      <w:r>
        <w:rPr>
          <w:rFonts w:ascii="宋体" w:eastAsia="宋体" w:hAnsi="宋体"/>
          <w:sz w:val="18"/>
          <w:szCs w:val="18"/>
        </w:rPr>
        <w:t>6</w:t>
      </w:r>
      <w:r w:rsidRPr="00522B36">
        <w:rPr>
          <w:rFonts w:ascii="宋体" w:eastAsia="宋体" w:hAnsi="宋体" w:hint="eastAsia"/>
          <w:sz w:val="18"/>
          <w:szCs w:val="18"/>
        </w:rPr>
        <w:t>]安辰. 2017年互联网人平均月薪达1.06万元[J]. 计算机与网络, 2018, 44(002):14-15.</w:t>
      </w:r>
    </w:p>
    <w:sectPr w:rsidR="00B44B32" w:rsidRPr="00522B36" w:rsidSect="009F784C">
      <w:headerReference w:type="even" r:id="rId14"/>
      <w:type w:val="continuous"/>
      <w:pgSz w:w="11906" w:h="16838"/>
      <w:pgMar w:top="720" w:right="720" w:bottom="720" w:left="720" w:header="708" w:footer="708" w:gutter="0"/>
      <w:cols w:num="2" w:space="566"/>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0DE1" w14:textId="77777777" w:rsidR="00417F25" w:rsidRDefault="00417F25">
      <w:pPr>
        <w:spacing w:after="0"/>
      </w:pPr>
      <w:r>
        <w:separator/>
      </w:r>
    </w:p>
  </w:endnote>
  <w:endnote w:type="continuationSeparator" w:id="0">
    <w:p w14:paraId="1D28ABA4" w14:textId="77777777" w:rsidR="00417F25" w:rsidRDefault="00417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BF" w:usb1="2ACF7CFB" w:usb2="00000016" w:usb3="00000000" w:csb0="0004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9280D" w14:textId="77777777" w:rsidR="00B44B32" w:rsidRDefault="00B44B32">
    <w:pPr>
      <w:pStyle w:val="af"/>
    </w:pPr>
    <w:r>
      <w:rPr>
        <w:lang w:val="zh-CN"/>
      </w:rPr>
      <w:t>[</w:t>
    </w:r>
    <w:r>
      <w:rPr>
        <w:lang w:val="zh-CN"/>
      </w:rPr>
      <w:t>键入文字</w:t>
    </w:r>
    <w:r>
      <w:rPr>
        <w:lang w:val="zh-CN"/>
      </w:rPr>
      <w:t>]</w:t>
    </w:r>
  </w:p>
  <w:p w14:paraId="63D269FD" w14:textId="77777777" w:rsidR="00B44B32" w:rsidRDefault="00B44B32">
    <w:pPr>
      <w:pStyle w:val="af"/>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94EE" w14:textId="74CD55A3" w:rsidR="00B44B32" w:rsidRDefault="00B44B32">
    <w:pPr>
      <w:pStyle w:val="af"/>
      <w:spacing w:after="0"/>
      <w:rPr>
        <w:rFonts w:ascii="宋体" w:eastAsia="宋体" w:hAnsi="宋体"/>
        <w:sz w:val="15"/>
        <w:szCs w:val="15"/>
      </w:rPr>
    </w:pPr>
    <w:r>
      <w:rPr>
        <w:rFonts w:ascii="宋体" w:eastAsia="宋体" w:hAnsi="宋体" w:hint="eastAsia"/>
        <w:sz w:val="15"/>
        <w:szCs w:val="15"/>
      </w:rPr>
      <w:t xml:space="preserve">         </w:t>
    </w:r>
  </w:p>
  <w:p w14:paraId="48773964" w14:textId="77777777" w:rsidR="00B44B32" w:rsidRDefault="00B44B32">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00C36" w14:textId="77777777" w:rsidR="00417F25" w:rsidRDefault="00417F25">
      <w:pPr>
        <w:spacing w:after="0"/>
      </w:pPr>
      <w:r>
        <w:separator/>
      </w:r>
    </w:p>
  </w:footnote>
  <w:footnote w:type="continuationSeparator" w:id="0">
    <w:p w14:paraId="4B096C32" w14:textId="77777777" w:rsidR="00417F25" w:rsidRDefault="00417F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84F3" w14:textId="1037BDF8" w:rsidR="00B44B32" w:rsidRDefault="00B44B32">
    <w:pPr>
      <w:pStyle w:val="af1"/>
      <w:spacing w:after="0"/>
      <w:jc w:val="left"/>
      <w:rPr>
        <w:rFonts w:ascii="宋体" w:eastAsia="宋体" w:hAnsi="宋体"/>
        <w:sz w:val="15"/>
        <w:szCs w:val="15"/>
      </w:rPr>
    </w:pPr>
    <w:r>
      <w:rPr>
        <w:rFonts w:ascii="宋体" w:eastAsia="宋体" w:hAnsi="宋体" w:hint="eastAsia"/>
        <w:sz w:val="15"/>
        <w:szCs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1664C" w14:textId="401819B9" w:rsidR="00B44B32" w:rsidRDefault="00B44B32">
    <w:pPr>
      <w:pStyle w:val="af1"/>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DA18" w14:textId="457F9BD9" w:rsidR="00B44B32" w:rsidRDefault="00B44B32">
    <w:pPr>
      <w:pStyle w:val="af1"/>
      <w:jc w:val="left"/>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NotTrackMoves/>
  <w:defaultTabStop w:val="720"/>
  <w:evenAndOddHeaders/>
  <w:drawingGridHorizontalSpacing w:val="110"/>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1287E"/>
    <w:rsid w:val="000371F5"/>
    <w:rsid w:val="00046BD9"/>
    <w:rsid w:val="00047B4A"/>
    <w:rsid w:val="00065F87"/>
    <w:rsid w:val="0007521F"/>
    <w:rsid w:val="000A59B1"/>
    <w:rsid w:val="000B3F2A"/>
    <w:rsid w:val="000D28FE"/>
    <w:rsid w:val="000D3421"/>
    <w:rsid w:val="001127F6"/>
    <w:rsid w:val="001201EC"/>
    <w:rsid w:val="00133034"/>
    <w:rsid w:val="001378DD"/>
    <w:rsid w:val="00144784"/>
    <w:rsid w:val="00145238"/>
    <w:rsid w:val="00146AB7"/>
    <w:rsid w:val="001611D8"/>
    <w:rsid w:val="00170945"/>
    <w:rsid w:val="00175F84"/>
    <w:rsid w:val="001819DE"/>
    <w:rsid w:val="00196464"/>
    <w:rsid w:val="00196857"/>
    <w:rsid w:val="001B7B77"/>
    <w:rsid w:val="001F117C"/>
    <w:rsid w:val="001F14BC"/>
    <w:rsid w:val="001F5C3E"/>
    <w:rsid w:val="0022631A"/>
    <w:rsid w:val="00230459"/>
    <w:rsid w:val="002440C9"/>
    <w:rsid w:val="00262119"/>
    <w:rsid w:val="00295131"/>
    <w:rsid w:val="002A0C9F"/>
    <w:rsid w:val="002C012B"/>
    <w:rsid w:val="002D1CAD"/>
    <w:rsid w:val="002D23E0"/>
    <w:rsid w:val="002E64DA"/>
    <w:rsid w:val="002E69E9"/>
    <w:rsid w:val="00314D29"/>
    <w:rsid w:val="00323B43"/>
    <w:rsid w:val="0032683F"/>
    <w:rsid w:val="00330B23"/>
    <w:rsid w:val="0035118C"/>
    <w:rsid w:val="00353E80"/>
    <w:rsid w:val="00355DB1"/>
    <w:rsid w:val="00356246"/>
    <w:rsid w:val="00356B35"/>
    <w:rsid w:val="003629F0"/>
    <w:rsid w:val="00365B46"/>
    <w:rsid w:val="00395AA1"/>
    <w:rsid w:val="00396BDA"/>
    <w:rsid w:val="003A1A54"/>
    <w:rsid w:val="003B2C4E"/>
    <w:rsid w:val="003C0375"/>
    <w:rsid w:val="003D37D8"/>
    <w:rsid w:val="003E3D6E"/>
    <w:rsid w:val="003E56A3"/>
    <w:rsid w:val="003E5DEA"/>
    <w:rsid w:val="00417F25"/>
    <w:rsid w:val="004218D3"/>
    <w:rsid w:val="00423B48"/>
    <w:rsid w:val="004244DF"/>
    <w:rsid w:val="00426133"/>
    <w:rsid w:val="0043152A"/>
    <w:rsid w:val="004358AB"/>
    <w:rsid w:val="00455E4A"/>
    <w:rsid w:val="00471492"/>
    <w:rsid w:val="00485B62"/>
    <w:rsid w:val="00487D6A"/>
    <w:rsid w:val="00495773"/>
    <w:rsid w:val="004A1432"/>
    <w:rsid w:val="004A70F7"/>
    <w:rsid w:val="004B077A"/>
    <w:rsid w:val="004B276E"/>
    <w:rsid w:val="004C3DF4"/>
    <w:rsid w:val="004D192B"/>
    <w:rsid w:val="004F0AF9"/>
    <w:rsid w:val="005035CF"/>
    <w:rsid w:val="00517707"/>
    <w:rsid w:val="0052123D"/>
    <w:rsid w:val="00522B36"/>
    <w:rsid w:val="00522DB4"/>
    <w:rsid w:val="005255E5"/>
    <w:rsid w:val="005268B4"/>
    <w:rsid w:val="00571502"/>
    <w:rsid w:val="00582BBB"/>
    <w:rsid w:val="00582F88"/>
    <w:rsid w:val="005A5532"/>
    <w:rsid w:val="005A7831"/>
    <w:rsid w:val="005B0ECC"/>
    <w:rsid w:val="005B2AB9"/>
    <w:rsid w:val="005E7636"/>
    <w:rsid w:val="005F123B"/>
    <w:rsid w:val="005F3802"/>
    <w:rsid w:val="006214DE"/>
    <w:rsid w:val="00622DEE"/>
    <w:rsid w:val="00626B21"/>
    <w:rsid w:val="006502CA"/>
    <w:rsid w:val="00693E85"/>
    <w:rsid w:val="0069403C"/>
    <w:rsid w:val="00697CD8"/>
    <w:rsid w:val="00697E45"/>
    <w:rsid w:val="006A1ECD"/>
    <w:rsid w:val="006A5F12"/>
    <w:rsid w:val="006B0AFA"/>
    <w:rsid w:val="006B4FAE"/>
    <w:rsid w:val="006D01C9"/>
    <w:rsid w:val="00704E20"/>
    <w:rsid w:val="007141A9"/>
    <w:rsid w:val="00715BDA"/>
    <w:rsid w:val="00731C07"/>
    <w:rsid w:val="00741402"/>
    <w:rsid w:val="0074413B"/>
    <w:rsid w:val="00745A61"/>
    <w:rsid w:val="00746742"/>
    <w:rsid w:val="00746FC4"/>
    <w:rsid w:val="0075297D"/>
    <w:rsid w:val="00755B1D"/>
    <w:rsid w:val="00765FFB"/>
    <w:rsid w:val="00785F05"/>
    <w:rsid w:val="0078600A"/>
    <w:rsid w:val="007B19A1"/>
    <w:rsid w:val="007B462D"/>
    <w:rsid w:val="007C7ABE"/>
    <w:rsid w:val="007C7DE2"/>
    <w:rsid w:val="007F3263"/>
    <w:rsid w:val="007F6C9F"/>
    <w:rsid w:val="008070D9"/>
    <w:rsid w:val="00810BB4"/>
    <w:rsid w:val="00846B1B"/>
    <w:rsid w:val="008573D5"/>
    <w:rsid w:val="00860195"/>
    <w:rsid w:val="00880E4F"/>
    <w:rsid w:val="00885CE7"/>
    <w:rsid w:val="008A3CA0"/>
    <w:rsid w:val="008B2DBD"/>
    <w:rsid w:val="008B7726"/>
    <w:rsid w:val="008B776A"/>
    <w:rsid w:val="008D396D"/>
    <w:rsid w:val="008F2195"/>
    <w:rsid w:val="008F42D8"/>
    <w:rsid w:val="00935DB1"/>
    <w:rsid w:val="00951CF0"/>
    <w:rsid w:val="009569A3"/>
    <w:rsid w:val="0096002F"/>
    <w:rsid w:val="009655B0"/>
    <w:rsid w:val="009710C4"/>
    <w:rsid w:val="00991066"/>
    <w:rsid w:val="009A0899"/>
    <w:rsid w:val="009A4F8D"/>
    <w:rsid w:val="009E53D7"/>
    <w:rsid w:val="009F784C"/>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2847"/>
    <w:rsid w:val="00A85C65"/>
    <w:rsid w:val="00A86094"/>
    <w:rsid w:val="00AA0B0C"/>
    <w:rsid w:val="00AA4B32"/>
    <w:rsid w:val="00AB33FD"/>
    <w:rsid w:val="00AB5AFA"/>
    <w:rsid w:val="00AC4A0C"/>
    <w:rsid w:val="00AD3015"/>
    <w:rsid w:val="00AD78C1"/>
    <w:rsid w:val="00AE7645"/>
    <w:rsid w:val="00AF5C53"/>
    <w:rsid w:val="00B0015C"/>
    <w:rsid w:val="00B10DB9"/>
    <w:rsid w:val="00B110E3"/>
    <w:rsid w:val="00B33B87"/>
    <w:rsid w:val="00B37295"/>
    <w:rsid w:val="00B44B32"/>
    <w:rsid w:val="00B5088D"/>
    <w:rsid w:val="00B509A4"/>
    <w:rsid w:val="00B5710A"/>
    <w:rsid w:val="00B61CDB"/>
    <w:rsid w:val="00B643C2"/>
    <w:rsid w:val="00B72428"/>
    <w:rsid w:val="00B77B69"/>
    <w:rsid w:val="00B81724"/>
    <w:rsid w:val="00B85C37"/>
    <w:rsid w:val="00BB777A"/>
    <w:rsid w:val="00BC13D7"/>
    <w:rsid w:val="00BC5279"/>
    <w:rsid w:val="00BF1FE2"/>
    <w:rsid w:val="00C0190D"/>
    <w:rsid w:val="00C13FD2"/>
    <w:rsid w:val="00C51650"/>
    <w:rsid w:val="00C524FD"/>
    <w:rsid w:val="00C61EA8"/>
    <w:rsid w:val="00C65A6B"/>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EF4D30"/>
    <w:rsid w:val="00F34918"/>
    <w:rsid w:val="00F60B7E"/>
    <w:rsid w:val="00F65FCE"/>
    <w:rsid w:val="00F746D8"/>
    <w:rsid w:val="00F81581"/>
    <w:rsid w:val="00F837DC"/>
    <w:rsid w:val="00F9124B"/>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59732D"/>
  <w15:chartTrackingRefBased/>
  <w15:docId w15:val="{6F3B51A1-D10B-4AF4-9C2E-F3FB281F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paragraph" w:styleId="af3">
    <w:name w:val="footnote text"/>
    <w:basedOn w:val="a"/>
    <w:link w:val="af4"/>
    <w:uiPriority w:val="99"/>
    <w:semiHidden/>
    <w:unhideWhenUsed/>
    <w:rsid w:val="00AE7645"/>
    <w:rPr>
      <w:sz w:val="18"/>
      <w:szCs w:val="18"/>
    </w:rPr>
  </w:style>
  <w:style w:type="character" w:customStyle="1" w:styleId="af4">
    <w:name w:val="脚注文本 字符"/>
    <w:link w:val="af3"/>
    <w:uiPriority w:val="99"/>
    <w:semiHidden/>
    <w:rsid w:val="00AE7645"/>
    <w:rPr>
      <w:rFonts w:ascii="Tahoma" w:eastAsia="微软雅黑" w:hAnsi="Tahoma"/>
      <w:sz w:val="18"/>
      <w:szCs w:val="18"/>
    </w:rPr>
  </w:style>
  <w:style w:type="character" w:styleId="af5">
    <w:name w:val="footnote reference"/>
    <w:uiPriority w:val="99"/>
    <w:semiHidden/>
    <w:unhideWhenUsed/>
    <w:rsid w:val="00AE76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294">
      <w:bodyDiv w:val="1"/>
      <w:marLeft w:val="0"/>
      <w:marRight w:val="0"/>
      <w:marTop w:val="0"/>
      <w:marBottom w:val="0"/>
      <w:divBdr>
        <w:top w:val="none" w:sz="0" w:space="0" w:color="auto"/>
        <w:left w:val="none" w:sz="0" w:space="0" w:color="auto"/>
        <w:bottom w:val="none" w:sz="0" w:space="0" w:color="auto"/>
        <w:right w:val="none" w:sz="0" w:space="0" w:color="auto"/>
      </w:divBdr>
    </w:div>
    <w:div w:id="30425100">
      <w:bodyDiv w:val="1"/>
      <w:marLeft w:val="0"/>
      <w:marRight w:val="0"/>
      <w:marTop w:val="0"/>
      <w:marBottom w:val="0"/>
      <w:divBdr>
        <w:top w:val="none" w:sz="0" w:space="0" w:color="auto"/>
        <w:left w:val="none" w:sz="0" w:space="0" w:color="auto"/>
        <w:bottom w:val="none" w:sz="0" w:space="0" w:color="auto"/>
        <w:right w:val="none" w:sz="0" w:space="0" w:color="auto"/>
      </w:divBdr>
    </w:div>
    <w:div w:id="118494544">
      <w:bodyDiv w:val="1"/>
      <w:marLeft w:val="0"/>
      <w:marRight w:val="0"/>
      <w:marTop w:val="0"/>
      <w:marBottom w:val="0"/>
      <w:divBdr>
        <w:top w:val="none" w:sz="0" w:space="0" w:color="auto"/>
        <w:left w:val="none" w:sz="0" w:space="0" w:color="auto"/>
        <w:bottom w:val="none" w:sz="0" w:space="0" w:color="auto"/>
        <w:right w:val="none" w:sz="0" w:space="0" w:color="auto"/>
      </w:divBdr>
    </w:div>
    <w:div w:id="304504030">
      <w:bodyDiv w:val="1"/>
      <w:marLeft w:val="0"/>
      <w:marRight w:val="0"/>
      <w:marTop w:val="0"/>
      <w:marBottom w:val="0"/>
      <w:divBdr>
        <w:top w:val="none" w:sz="0" w:space="0" w:color="auto"/>
        <w:left w:val="none" w:sz="0" w:space="0" w:color="auto"/>
        <w:bottom w:val="none" w:sz="0" w:space="0" w:color="auto"/>
        <w:right w:val="none" w:sz="0" w:space="0" w:color="auto"/>
      </w:divBdr>
    </w:div>
    <w:div w:id="397486376">
      <w:bodyDiv w:val="1"/>
      <w:marLeft w:val="0"/>
      <w:marRight w:val="0"/>
      <w:marTop w:val="0"/>
      <w:marBottom w:val="0"/>
      <w:divBdr>
        <w:top w:val="none" w:sz="0" w:space="0" w:color="auto"/>
        <w:left w:val="none" w:sz="0" w:space="0" w:color="auto"/>
        <w:bottom w:val="none" w:sz="0" w:space="0" w:color="auto"/>
        <w:right w:val="none" w:sz="0" w:space="0" w:color="auto"/>
      </w:divBdr>
    </w:div>
    <w:div w:id="432749157">
      <w:bodyDiv w:val="1"/>
      <w:marLeft w:val="0"/>
      <w:marRight w:val="0"/>
      <w:marTop w:val="0"/>
      <w:marBottom w:val="0"/>
      <w:divBdr>
        <w:top w:val="none" w:sz="0" w:space="0" w:color="auto"/>
        <w:left w:val="none" w:sz="0" w:space="0" w:color="auto"/>
        <w:bottom w:val="none" w:sz="0" w:space="0" w:color="auto"/>
        <w:right w:val="none" w:sz="0" w:space="0" w:color="auto"/>
      </w:divBdr>
    </w:div>
    <w:div w:id="442773441">
      <w:bodyDiv w:val="1"/>
      <w:marLeft w:val="0"/>
      <w:marRight w:val="0"/>
      <w:marTop w:val="0"/>
      <w:marBottom w:val="0"/>
      <w:divBdr>
        <w:top w:val="none" w:sz="0" w:space="0" w:color="auto"/>
        <w:left w:val="none" w:sz="0" w:space="0" w:color="auto"/>
        <w:bottom w:val="none" w:sz="0" w:space="0" w:color="auto"/>
        <w:right w:val="none" w:sz="0" w:space="0" w:color="auto"/>
      </w:divBdr>
    </w:div>
    <w:div w:id="455638588">
      <w:bodyDiv w:val="1"/>
      <w:marLeft w:val="0"/>
      <w:marRight w:val="0"/>
      <w:marTop w:val="0"/>
      <w:marBottom w:val="0"/>
      <w:divBdr>
        <w:top w:val="none" w:sz="0" w:space="0" w:color="auto"/>
        <w:left w:val="none" w:sz="0" w:space="0" w:color="auto"/>
        <w:bottom w:val="none" w:sz="0" w:space="0" w:color="auto"/>
        <w:right w:val="none" w:sz="0" w:space="0" w:color="auto"/>
      </w:divBdr>
    </w:div>
    <w:div w:id="547374972">
      <w:bodyDiv w:val="1"/>
      <w:marLeft w:val="0"/>
      <w:marRight w:val="0"/>
      <w:marTop w:val="0"/>
      <w:marBottom w:val="0"/>
      <w:divBdr>
        <w:top w:val="none" w:sz="0" w:space="0" w:color="auto"/>
        <w:left w:val="none" w:sz="0" w:space="0" w:color="auto"/>
        <w:bottom w:val="none" w:sz="0" w:space="0" w:color="auto"/>
        <w:right w:val="none" w:sz="0" w:space="0" w:color="auto"/>
      </w:divBdr>
    </w:div>
    <w:div w:id="736587787">
      <w:bodyDiv w:val="1"/>
      <w:marLeft w:val="0"/>
      <w:marRight w:val="0"/>
      <w:marTop w:val="0"/>
      <w:marBottom w:val="0"/>
      <w:divBdr>
        <w:top w:val="none" w:sz="0" w:space="0" w:color="auto"/>
        <w:left w:val="none" w:sz="0" w:space="0" w:color="auto"/>
        <w:bottom w:val="none" w:sz="0" w:space="0" w:color="auto"/>
        <w:right w:val="none" w:sz="0" w:space="0" w:color="auto"/>
      </w:divBdr>
    </w:div>
    <w:div w:id="836309081">
      <w:bodyDiv w:val="1"/>
      <w:marLeft w:val="0"/>
      <w:marRight w:val="0"/>
      <w:marTop w:val="0"/>
      <w:marBottom w:val="0"/>
      <w:divBdr>
        <w:top w:val="none" w:sz="0" w:space="0" w:color="auto"/>
        <w:left w:val="none" w:sz="0" w:space="0" w:color="auto"/>
        <w:bottom w:val="none" w:sz="0" w:space="0" w:color="auto"/>
        <w:right w:val="none" w:sz="0" w:space="0" w:color="auto"/>
      </w:divBdr>
    </w:div>
    <w:div w:id="961231000">
      <w:bodyDiv w:val="1"/>
      <w:marLeft w:val="0"/>
      <w:marRight w:val="0"/>
      <w:marTop w:val="0"/>
      <w:marBottom w:val="0"/>
      <w:divBdr>
        <w:top w:val="none" w:sz="0" w:space="0" w:color="auto"/>
        <w:left w:val="none" w:sz="0" w:space="0" w:color="auto"/>
        <w:bottom w:val="none" w:sz="0" w:space="0" w:color="auto"/>
        <w:right w:val="none" w:sz="0" w:space="0" w:color="auto"/>
      </w:divBdr>
    </w:div>
    <w:div w:id="965113762">
      <w:bodyDiv w:val="1"/>
      <w:marLeft w:val="0"/>
      <w:marRight w:val="0"/>
      <w:marTop w:val="0"/>
      <w:marBottom w:val="0"/>
      <w:divBdr>
        <w:top w:val="none" w:sz="0" w:space="0" w:color="auto"/>
        <w:left w:val="none" w:sz="0" w:space="0" w:color="auto"/>
        <w:bottom w:val="none" w:sz="0" w:space="0" w:color="auto"/>
        <w:right w:val="none" w:sz="0" w:space="0" w:color="auto"/>
      </w:divBdr>
    </w:div>
    <w:div w:id="982586103">
      <w:bodyDiv w:val="1"/>
      <w:marLeft w:val="0"/>
      <w:marRight w:val="0"/>
      <w:marTop w:val="0"/>
      <w:marBottom w:val="0"/>
      <w:divBdr>
        <w:top w:val="none" w:sz="0" w:space="0" w:color="auto"/>
        <w:left w:val="none" w:sz="0" w:space="0" w:color="auto"/>
        <w:bottom w:val="none" w:sz="0" w:space="0" w:color="auto"/>
        <w:right w:val="none" w:sz="0" w:space="0" w:color="auto"/>
      </w:divBdr>
    </w:div>
    <w:div w:id="1065638401">
      <w:bodyDiv w:val="1"/>
      <w:marLeft w:val="0"/>
      <w:marRight w:val="0"/>
      <w:marTop w:val="0"/>
      <w:marBottom w:val="0"/>
      <w:divBdr>
        <w:top w:val="none" w:sz="0" w:space="0" w:color="auto"/>
        <w:left w:val="none" w:sz="0" w:space="0" w:color="auto"/>
        <w:bottom w:val="none" w:sz="0" w:space="0" w:color="auto"/>
        <w:right w:val="none" w:sz="0" w:space="0" w:color="auto"/>
      </w:divBdr>
    </w:div>
    <w:div w:id="1141074111">
      <w:bodyDiv w:val="1"/>
      <w:marLeft w:val="0"/>
      <w:marRight w:val="0"/>
      <w:marTop w:val="0"/>
      <w:marBottom w:val="0"/>
      <w:divBdr>
        <w:top w:val="none" w:sz="0" w:space="0" w:color="auto"/>
        <w:left w:val="none" w:sz="0" w:space="0" w:color="auto"/>
        <w:bottom w:val="none" w:sz="0" w:space="0" w:color="auto"/>
        <w:right w:val="none" w:sz="0" w:space="0" w:color="auto"/>
      </w:divBdr>
    </w:div>
    <w:div w:id="1154447172">
      <w:bodyDiv w:val="1"/>
      <w:marLeft w:val="0"/>
      <w:marRight w:val="0"/>
      <w:marTop w:val="0"/>
      <w:marBottom w:val="0"/>
      <w:divBdr>
        <w:top w:val="none" w:sz="0" w:space="0" w:color="auto"/>
        <w:left w:val="none" w:sz="0" w:space="0" w:color="auto"/>
        <w:bottom w:val="none" w:sz="0" w:space="0" w:color="auto"/>
        <w:right w:val="none" w:sz="0" w:space="0" w:color="auto"/>
      </w:divBdr>
    </w:div>
    <w:div w:id="1260721164">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65585929">
      <w:bodyDiv w:val="1"/>
      <w:marLeft w:val="0"/>
      <w:marRight w:val="0"/>
      <w:marTop w:val="0"/>
      <w:marBottom w:val="0"/>
      <w:divBdr>
        <w:top w:val="none" w:sz="0" w:space="0" w:color="auto"/>
        <w:left w:val="none" w:sz="0" w:space="0" w:color="auto"/>
        <w:bottom w:val="none" w:sz="0" w:space="0" w:color="auto"/>
        <w:right w:val="none" w:sz="0" w:space="0" w:color="auto"/>
      </w:divBdr>
    </w:div>
    <w:div w:id="1793473489">
      <w:bodyDiv w:val="1"/>
      <w:marLeft w:val="0"/>
      <w:marRight w:val="0"/>
      <w:marTop w:val="0"/>
      <w:marBottom w:val="0"/>
      <w:divBdr>
        <w:top w:val="none" w:sz="0" w:space="0" w:color="auto"/>
        <w:left w:val="none" w:sz="0" w:space="0" w:color="auto"/>
        <w:bottom w:val="none" w:sz="0" w:space="0" w:color="auto"/>
        <w:right w:val="none" w:sz="0" w:space="0" w:color="auto"/>
      </w:divBdr>
    </w:div>
    <w:div w:id="1798834478">
      <w:bodyDiv w:val="1"/>
      <w:marLeft w:val="0"/>
      <w:marRight w:val="0"/>
      <w:marTop w:val="0"/>
      <w:marBottom w:val="0"/>
      <w:divBdr>
        <w:top w:val="none" w:sz="0" w:space="0" w:color="auto"/>
        <w:left w:val="none" w:sz="0" w:space="0" w:color="auto"/>
        <w:bottom w:val="none" w:sz="0" w:space="0" w:color="auto"/>
        <w:right w:val="none" w:sz="0" w:space="0" w:color="auto"/>
      </w:divBdr>
    </w:div>
    <w:div w:id="1868827938">
      <w:bodyDiv w:val="1"/>
      <w:marLeft w:val="0"/>
      <w:marRight w:val="0"/>
      <w:marTop w:val="0"/>
      <w:marBottom w:val="0"/>
      <w:divBdr>
        <w:top w:val="none" w:sz="0" w:space="0" w:color="auto"/>
        <w:left w:val="none" w:sz="0" w:space="0" w:color="auto"/>
        <w:bottom w:val="none" w:sz="0" w:space="0" w:color="auto"/>
        <w:right w:val="none" w:sz="0" w:space="0" w:color="auto"/>
      </w:divBdr>
    </w:div>
    <w:div w:id="1910728588">
      <w:bodyDiv w:val="1"/>
      <w:marLeft w:val="0"/>
      <w:marRight w:val="0"/>
      <w:marTop w:val="0"/>
      <w:marBottom w:val="0"/>
      <w:divBdr>
        <w:top w:val="none" w:sz="0" w:space="0" w:color="auto"/>
        <w:left w:val="none" w:sz="0" w:space="0" w:color="auto"/>
        <w:bottom w:val="none" w:sz="0" w:space="0" w:color="auto"/>
        <w:right w:val="none" w:sz="0" w:space="0" w:color="auto"/>
      </w:divBdr>
    </w:div>
    <w:div w:id="2010521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stats.gov.cn/tjsj/zxfb/202005/W020200515557126039141_r75.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5FD0-B7C4-4980-87BC-476636E7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2926</Characters>
  <Application>Microsoft Office Word</Application>
  <DocSecurity>0</DocSecurity>
  <Lines>24</Lines>
  <Paragraphs>6</Paragraphs>
  <ScaleCrop>false</ScaleCrop>
  <Company>Microsoft</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卢 睿博</cp:lastModifiedBy>
  <cp:revision>2</cp:revision>
  <cp:lastPrinted>2021-04-08T03:14:00Z</cp:lastPrinted>
  <dcterms:created xsi:type="dcterms:W3CDTF">2021-04-08T03:14:00Z</dcterms:created>
  <dcterms:modified xsi:type="dcterms:W3CDTF">2021-04-08T03:14:00Z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