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50E" w:rsidRDefault="00865391" w:rsidP="00B442D4">
      <w:pPr>
        <w:rPr>
          <w:rFonts w:ascii="黑体" w:eastAsia="黑体" w:hAnsi="黑体"/>
          <w:sz w:val="32"/>
          <w:szCs w:val="32"/>
        </w:rPr>
      </w:pPr>
      <w:r>
        <w:rPr>
          <w:rFonts w:ascii="黑体" w:eastAsia="黑体" w:hAnsi="黑体" w:hint="eastAsia"/>
          <w:sz w:val="32"/>
          <w:szCs w:val="32"/>
        </w:rPr>
        <w:t>对IT行业</w:t>
      </w:r>
      <w:r w:rsidR="00A9217B">
        <w:rPr>
          <w:rFonts w:ascii="黑体" w:eastAsia="黑体" w:hAnsi="黑体" w:hint="eastAsia"/>
          <w:sz w:val="32"/>
          <w:szCs w:val="32"/>
        </w:rPr>
        <w:t>不同岗位</w:t>
      </w:r>
      <w:r>
        <w:rPr>
          <w:rFonts w:ascii="黑体" w:eastAsia="黑体" w:hAnsi="黑体" w:hint="eastAsia"/>
          <w:sz w:val="32"/>
          <w:szCs w:val="32"/>
        </w:rPr>
        <w:t>薪酬变化的</w:t>
      </w:r>
      <w:r w:rsidR="008F3474">
        <w:rPr>
          <w:rFonts w:ascii="黑体" w:eastAsia="黑体" w:hAnsi="黑体" w:hint="eastAsia"/>
          <w:sz w:val="32"/>
          <w:szCs w:val="32"/>
        </w:rPr>
        <w:t>分析</w:t>
      </w:r>
    </w:p>
    <w:p w:rsidR="008F3474" w:rsidRDefault="008F3474">
      <w:pPr>
        <w:rPr>
          <w:rFonts w:ascii="Songti SC" w:eastAsia="Songti SC" w:hAnsi="Songti SC"/>
          <w:b/>
          <w:szCs w:val="21"/>
        </w:rPr>
      </w:pPr>
      <w:r w:rsidRPr="008F3474">
        <w:rPr>
          <w:rFonts w:ascii="Songti SC" w:eastAsia="Songti SC" w:hAnsi="Songti SC" w:hint="eastAsia"/>
          <w:b/>
          <w:szCs w:val="21"/>
        </w:rPr>
        <w:t>叶亦滨</w:t>
      </w:r>
    </w:p>
    <w:p w:rsidR="008F3474" w:rsidRDefault="008F3474">
      <w:pPr>
        <w:rPr>
          <w:rFonts w:ascii="FangSong" w:eastAsia="Songti SC" w:hAnsi="FangSong"/>
          <w:sz w:val="18"/>
          <w:szCs w:val="18"/>
        </w:rPr>
      </w:pPr>
      <w:r w:rsidRPr="008F3474">
        <w:rPr>
          <w:rFonts w:ascii="FangSong" w:eastAsia="Songti SC" w:hAnsi="FangSong" w:hint="eastAsia"/>
          <w:sz w:val="18"/>
          <w:szCs w:val="18"/>
        </w:rPr>
        <w:t>大连理工大学软件学院</w:t>
      </w:r>
      <w:r>
        <w:rPr>
          <w:rFonts w:ascii="FangSong" w:eastAsia="Songti SC" w:hAnsi="FangSong" w:hint="eastAsia"/>
          <w:sz w:val="18"/>
          <w:szCs w:val="18"/>
        </w:rPr>
        <w:t xml:space="preserve"> </w:t>
      </w:r>
      <w:r>
        <w:rPr>
          <w:rFonts w:ascii="FangSong" w:eastAsia="Songti SC" w:hAnsi="FangSong" w:hint="eastAsia"/>
          <w:sz w:val="18"/>
          <w:szCs w:val="18"/>
        </w:rPr>
        <w:t>辽宁省大连市</w:t>
      </w:r>
      <w:r>
        <w:rPr>
          <w:rFonts w:ascii="FangSong" w:eastAsia="Songti SC" w:hAnsi="FangSong" w:hint="eastAsia"/>
          <w:sz w:val="18"/>
          <w:szCs w:val="18"/>
        </w:rPr>
        <w:t>1</w:t>
      </w:r>
      <w:r>
        <w:rPr>
          <w:rFonts w:ascii="FangSong" w:eastAsia="Songti SC" w:hAnsi="FangSong"/>
          <w:sz w:val="18"/>
          <w:szCs w:val="18"/>
        </w:rPr>
        <w:t>16000</w:t>
      </w:r>
      <w:r w:rsidR="00C5143B">
        <w:rPr>
          <w:rFonts w:ascii="FangSong" w:eastAsia="Songti SC" w:hAnsi="FangSong"/>
          <w:sz w:val="18"/>
          <w:szCs w:val="18"/>
        </w:rPr>
        <w:t xml:space="preserve"> </w:t>
      </w:r>
      <w:hyperlink r:id="rId5" w:history="1">
        <w:r w:rsidR="009D1D40" w:rsidRPr="00745C02">
          <w:rPr>
            <w:rStyle w:val="a6"/>
            <w:rFonts w:ascii="FangSong" w:eastAsia="Songti SC" w:hAnsi="FangSong"/>
            <w:sz w:val="18"/>
            <w:szCs w:val="18"/>
          </w:rPr>
          <w:t>736187199@</w:t>
        </w:r>
        <w:r w:rsidR="009D1D40" w:rsidRPr="00745C02">
          <w:rPr>
            <w:rStyle w:val="a6"/>
            <w:rFonts w:ascii="FangSong" w:eastAsia="Songti SC" w:hAnsi="FangSong" w:hint="eastAsia"/>
            <w:sz w:val="18"/>
            <w:szCs w:val="18"/>
          </w:rPr>
          <w:t>qq</w:t>
        </w:r>
        <w:r w:rsidR="009D1D40" w:rsidRPr="00745C02">
          <w:rPr>
            <w:rStyle w:val="a6"/>
            <w:rFonts w:ascii="FangSong" w:eastAsia="Songti SC" w:hAnsi="FangSong"/>
            <w:sz w:val="18"/>
            <w:szCs w:val="18"/>
          </w:rPr>
          <w:t>.com</w:t>
        </w:r>
      </w:hyperlink>
    </w:p>
    <w:p w:rsidR="009D1D40" w:rsidRPr="009D1D40" w:rsidRDefault="009D1D40">
      <w:pPr>
        <w:rPr>
          <w:rFonts w:ascii="FangSong" w:eastAsia="Songti SC" w:hAnsi="FangSong" w:hint="eastAsia"/>
          <w:color w:val="FF0000"/>
          <w:sz w:val="18"/>
          <w:szCs w:val="18"/>
        </w:rPr>
      </w:pPr>
      <w:r w:rsidRPr="009D1D40">
        <w:rPr>
          <w:rFonts w:ascii="FangSong" w:eastAsia="Songti SC" w:hAnsi="FangSong" w:hint="eastAsia"/>
          <w:color w:val="FF0000"/>
          <w:sz w:val="18"/>
          <w:szCs w:val="18"/>
        </w:rPr>
        <w:t>我已与</w:t>
      </w:r>
      <w:r w:rsidRPr="009D1D40">
        <w:rPr>
          <w:rFonts w:ascii="FangSong" w:eastAsia="Songti SC" w:hAnsi="FangSong" w:hint="eastAsia"/>
          <w:color w:val="FF0000"/>
          <w:sz w:val="18"/>
          <w:szCs w:val="18"/>
        </w:rPr>
        <w:t>ppt</w:t>
      </w:r>
      <w:r w:rsidRPr="009D1D40">
        <w:rPr>
          <w:rFonts w:ascii="FangSong" w:eastAsia="Songti SC" w:hAnsi="FangSong" w:hint="eastAsia"/>
          <w:color w:val="FF0000"/>
          <w:sz w:val="18"/>
          <w:szCs w:val="18"/>
        </w:rPr>
        <w:t>第四页做了比较，格式已确认。</w:t>
      </w:r>
    </w:p>
    <w:p w:rsidR="008F3474" w:rsidRDefault="008F3474">
      <w:pPr>
        <w:rPr>
          <w:rFonts w:ascii="FangSong" w:eastAsia="Songti SC" w:hAnsi="FangSong" w:hint="eastAsia"/>
          <w:b/>
          <w:sz w:val="18"/>
          <w:szCs w:val="18"/>
        </w:rPr>
      </w:pPr>
      <w:r w:rsidRPr="008F3474">
        <w:rPr>
          <w:rFonts w:ascii="FangSong" w:eastAsia="Songti SC" w:hAnsi="FangSong" w:hint="eastAsia"/>
          <w:b/>
          <w:sz w:val="18"/>
          <w:szCs w:val="18"/>
        </w:rPr>
        <w:t>摘</w:t>
      </w:r>
      <w:r w:rsidRPr="008F3474">
        <w:rPr>
          <w:rFonts w:ascii="FangSong" w:eastAsia="Songti SC" w:hAnsi="FangSong" w:hint="eastAsia"/>
          <w:b/>
          <w:sz w:val="18"/>
          <w:szCs w:val="18"/>
        </w:rPr>
        <w:t xml:space="preserve"> </w:t>
      </w:r>
      <w:r w:rsidRPr="008F3474">
        <w:rPr>
          <w:rFonts w:ascii="FangSong" w:eastAsia="Songti SC" w:hAnsi="FangSong" w:hint="eastAsia"/>
          <w:b/>
          <w:sz w:val="18"/>
          <w:szCs w:val="18"/>
        </w:rPr>
        <w:t>要</w:t>
      </w:r>
      <w:bookmarkStart w:id="0" w:name="_GoBack"/>
      <w:bookmarkEnd w:id="0"/>
    </w:p>
    <w:p w:rsidR="00C5143B" w:rsidRPr="00C5143B" w:rsidRDefault="00C5143B">
      <w:pPr>
        <w:rPr>
          <w:rFonts w:ascii="Songti SC" w:eastAsia="Songti SC" w:hAnsi="Songti SC"/>
          <w:b/>
          <w:sz w:val="18"/>
          <w:szCs w:val="18"/>
        </w:rPr>
      </w:pPr>
      <w:r>
        <w:rPr>
          <w:rFonts w:ascii="Songti SC" w:eastAsia="Songti SC" w:hAnsi="Songti SC" w:hint="eastAsia"/>
          <w:b/>
          <w:sz w:val="18"/>
          <w:szCs w:val="18"/>
        </w:rPr>
        <w:t>随着社会的发展，IT技术早在2</w:t>
      </w:r>
      <w:r>
        <w:rPr>
          <w:rFonts w:ascii="Songti SC" w:eastAsia="Songti SC" w:hAnsi="Songti SC"/>
          <w:b/>
          <w:sz w:val="18"/>
          <w:szCs w:val="18"/>
        </w:rPr>
        <w:t>1</w:t>
      </w:r>
      <w:r>
        <w:rPr>
          <w:rFonts w:ascii="Songti SC" w:eastAsia="Songti SC" w:hAnsi="Songti SC" w:hint="eastAsia"/>
          <w:b/>
          <w:sz w:val="18"/>
          <w:szCs w:val="18"/>
        </w:rPr>
        <w:t>世纪初就成为了社会的主流发展领域，这一领域的多元性吸引着越来越多的年轻人投入IT事业中</w:t>
      </w:r>
      <w:r w:rsidR="00A66E81">
        <w:rPr>
          <w:rFonts w:ascii="Songti SC" w:eastAsia="Songti SC" w:hAnsi="Songti SC" w:hint="eastAsia"/>
          <w:b/>
          <w:sz w:val="18"/>
          <w:szCs w:val="18"/>
        </w:rPr>
        <w:t>。IT领域的薪资变化更是成为人们关注的焦点，在这一领域中，不同的岗位的薪资变化也是不容忽视的。本文通过分析过去的不同岗位的薪资差距，列举并完善针对不同岗位的薪资设计原则，讨论并分析不同岗位薪资设计问题和差距产生问题。</w:t>
      </w:r>
      <w:r w:rsidR="00AF56CD">
        <w:rPr>
          <w:rFonts w:ascii="Songti SC" w:eastAsia="Songti SC" w:hAnsi="Songti SC" w:hint="eastAsia"/>
          <w:b/>
          <w:sz w:val="18"/>
          <w:szCs w:val="18"/>
        </w:rPr>
        <w:t>最后分析得出完善4条基本薪酬设计原则的适合IT行业的薪酬设计理念，并分析了不同岗位薪酬变化差距的原因及趋势。本文旨在为读者提供基于薪酬的岗位选择方向和为读者的研究提供薪酬设计的基础。</w:t>
      </w:r>
    </w:p>
    <w:p w:rsidR="008F3474" w:rsidRDefault="008F3474">
      <w:pPr>
        <w:rPr>
          <w:rFonts w:ascii="FangSong" w:eastAsia="Songti SC" w:hAnsi="FangSong" w:hint="eastAsia"/>
          <w:b/>
          <w:sz w:val="18"/>
          <w:szCs w:val="18"/>
        </w:rPr>
      </w:pPr>
      <w:r>
        <w:rPr>
          <w:rFonts w:ascii="FangSong" w:eastAsia="Songti SC" w:hAnsi="FangSong" w:hint="eastAsia"/>
          <w:b/>
          <w:sz w:val="18"/>
          <w:szCs w:val="18"/>
        </w:rPr>
        <w:t>关键词：</w:t>
      </w:r>
      <w:r>
        <w:rPr>
          <w:rFonts w:ascii="FangSong" w:eastAsia="Songti SC" w:hAnsi="FangSong" w:hint="eastAsia"/>
          <w:b/>
          <w:sz w:val="18"/>
          <w:szCs w:val="18"/>
        </w:rPr>
        <w:t>IT</w:t>
      </w:r>
      <w:r>
        <w:rPr>
          <w:rFonts w:ascii="FangSong" w:eastAsia="Songti SC" w:hAnsi="FangSong" w:hint="eastAsia"/>
          <w:b/>
          <w:sz w:val="18"/>
          <w:szCs w:val="18"/>
        </w:rPr>
        <w:t>企业；薪酬变化</w:t>
      </w:r>
    </w:p>
    <w:p w:rsidR="00B442D4" w:rsidRDefault="00B442D4">
      <w:pPr>
        <w:rPr>
          <w:rFonts w:ascii="黑体" w:eastAsia="黑体" w:hAnsi="黑体"/>
          <w:szCs w:val="21"/>
        </w:rPr>
      </w:pPr>
    </w:p>
    <w:p w:rsidR="00A9217B" w:rsidRDefault="00A9217B">
      <w:pPr>
        <w:rPr>
          <w:rFonts w:ascii="黑体" w:eastAsia="黑体" w:hAnsi="黑体"/>
          <w:szCs w:val="21"/>
        </w:rPr>
        <w:sectPr w:rsidR="00A9217B" w:rsidSect="00B442D4">
          <w:type w:val="continuous"/>
          <w:pgSz w:w="11900" w:h="16840"/>
          <w:pgMar w:top="1440" w:right="1800" w:bottom="1440" w:left="1800" w:header="851" w:footer="992" w:gutter="0"/>
          <w:cols w:space="425"/>
          <w:docGrid w:type="lines" w:linePitch="312"/>
        </w:sectPr>
      </w:pPr>
    </w:p>
    <w:p w:rsidR="008F3474" w:rsidRDefault="008F3474">
      <w:pPr>
        <w:rPr>
          <w:rFonts w:ascii="黑体" w:eastAsia="黑体" w:hAnsi="黑体"/>
          <w:szCs w:val="21"/>
        </w:rPr>
      </w:pPr>
      <w:r>
        <w:rPr>
          <w:rFonts w:ascii="黑体" w:eastAsia="黑体" w:hAnsi="黑体" w:hint="eastAsia"/>
          <w:szCs w:val="21"/>
        </w:rPr>
        <w:t>1</w:t>
      </w:r>
      <w:r w:rsidR="00B442D4">
        <w:rPr>
          <w:rFonts w:ascii="黑体" w:eastAsia="黑体" w:hAnsi="黑体"/>
          <w:szCs w:val="21"/>
        </w:rPr>
        <w:t xml:space="preserve"> </w:t>
      </w:r>
      <w:r w:rsidR="00B442D4">
        <w:rPr>
          <w:rFonts w:ascii="黑体" w:eastAsia="黑体" w:hAnsi="黑体" w:hint="eastAsia"/>
          <w:szCs w:val="21"/>
        </w:rPr>
        <w:t>引言</w:t>
      </w:r>
    </w:p>
    <w:p w:rsidR="006C3184" w:rsidRDefault="00B442D4" w:rsidP="004A6801">
      <w:pPr>
        <w:ind w:firstLineChars="200" w:firstLine="360"/>
        <w:rPr>
          <w:rFonts w:ascii="Songti SC" w:eastAsia="Songti SC" w:hAnsi="Songti SC"/>
          <w:sz w:val="18"/>
          <w:szCs w:val="18"/>
        </w:rPr>
      </w:pPr>
      <w:r>
        <w:rPr>
          <w:rFonts w:ascii="Songti SC" w:eastAsia="Songti SC" w:hAnsi="Songti SC" w:hint="eastAsia"/>
          <w:sz w:val="18"/>
          <w:szCs w:val="18"/>
        </w:rPr>
        <w:t>如今IT行业已成为最火爆的行业之一，该行业的挑战性</w:t>
      </w:r>
      <w:r w:rsidR="00A9217B">
        <w:rPr>
          <w:rFonts w:ascii="Songti SC" w:eastAsia="Songti SC" w:hAnsi="Songti SC" w:hint="eastAsia"/>
          <w:sz w:val="18"/>
          <w:szCs w:val="18"/>
        </w:rPr>
        <w:t>、多元性、开阔的上升空间和相比于其他行业较高的薪资使得其成为大多数应届生的首选目标</w:t>
      </w:r>
      <w:r w:rsidR="006C3184">
        <w:rPr>
          <w:rFonts w:ascii="Songti SC" w:eastAsia="Songti SC" w:hAnsi="Songti SC" w:hint="eastAsia"/>
          <w:sz w:val="18"/>
          <w:szCs w:val="18"/>
        </w:rPr>
        <w:t>。</w:t>
      </w:r>
      <w:r w:rsidR="004A6801">
        <w:rPr>
          <w:rFonts w:ascii="Songti SC" w:eastAsia="Songti SC" w:hAnsi="Songti SC" w:hint="eastAsia"/>
          <w:sz w:val="18"/>
          <w:szCs w:val="18"/>
        </w:rPr>
        <w:t>即便是为了高薪酬而进军IT行业，我们也要明白不同的岗位，薪酬也是有所区别的。</w:t>
      </w:r>
    </w:p>
    <w:p w:rsidR="004A6801" w:rsidRPr="004A6801" w:rsidRDefault="004A6801" w:rsidP="004A6801">
      <w:pPr>
        <w:rPr>
          <w:rFonts w:ascii="黑体" w:eastAsia="黑体" w:hAnsi="黑体"/>
          <w:szCs w:val="21"/>
        </w:rPr>
      </w:pPr>
      <w:r>
        <w:rPr>
          <w:rFonts w:ascii="黑体" w:eastAsia="黑体" w:hAnsi="黑体" w:hint="eastAsia"/>
          <w:szCs w:val="21"/>
        </w:rPr>
        <w:t>2</w:t>
      </w:r>
      <w:r>
        <w:rPr>
          <w:rFonts w:ascii="黑体" w:eastAsia="黑体" w:hAnsi="黑体"/>
          <w:szCs w:val="21"/>
        </w:rPr>
        <w:t xml:space="preserve"> </w:t>
      </w:r>
      <w:r>
        <w:rPr>
          <w:rFonts w:ascii="黑体" w:eastAsia="黑体" w:hAnsi="黑体" w:hint="eastAsia"/>
          <w:szCs w:val="21"/>
        </w:rPr>
        <w:t>薪酬分析</w:t>
      </w:r>
    </w:p>
    <w:p w:rsidR="00A9217B" w:rsidRDefault="006C3184">
      <w:pPr>
        <w:rPr>
          <w:rFonts w:ascii="Songti SC" w:eastAsia="Songti SC" w:hAnsi="Songti SC"/>
          <w:sz w:val="18"/>
          <w:szCs w:val="18"/>
        </w:rPr>
      </w:pPr>
      <w:r>
        <w:rPr>
          <w:rFonts w:ascii="Songti SC" w:eastAsia="Songti SC" w:hAnsi="Songti SC" w:hint="eastAsia"/>
          <w:noProof/>
          <w:sz w:val="18"/>
          <w:szCs w:val="18"/>
        </w:rPr>
        <w:drawing>
          <wp:inline distT="0" distB="0" distL="0" distR="0">
            <wp:extent cx="2499995" cy="1612265"/>
            <wp:effectExtent l="0" t="0" r="19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661bd78a4bbe2fcb3bfc1df57be8b3.jpeg"/>
                    <pic:cNvPicPr/>
                  </pic:nvPicPr>
                  <pic:blipFill>
                    <a:blip r:embed="rId6">
                      <a:extLst>
                        <a:ext uri="{28A0092B-C50C-407E-A947-70E740481C1C}">
                          <a14:useLocalDpi xmlns:a14="http://schemas.microsoft.com/office/drawing/2010/main" val="0"/>
                        </a:ext>
                      </a:extLst>
                    </a:blip>
                    <a:stretch>
                      <a:fillRect/>
                    </a:stretch>
                  </pic:blipFill>
                  <pic:spPr>
                    <a:xfrm>
                      <a:off x="0" y="0"/>
                      <a:ext cx="2499995" cy="1612265"/>
                    </a:xfrm>
                    <a:prstGeom prst="rect">
                      <a:avLst/>
                    </a:prstGeom>
                  </pic:spPr>
                </pic:pic>
              </a:graphicData>
            </a:graphic>
          </wp:inline>
        </w:drawing>
      </w:r>
    </w:p>
    <w:p w:rsidR="006C3184" w:rsidRDefault="006C3184" w:rsidP="006C3184">
      <w:pPr>
        <w:jc w:val="center"/>
        <w:rPr>
          <w:rFonts w:ascii="Songti SC" w:eastAsia="Songti SC" w:hAnsi="Songti SC"/>
          <w:sz w:val="18"/>
          <w:szCs w:val="18"/>
        </w:rPr>
      </w:pPr>
      <w:r>
        <w:rPr>
          <w:rFonts w:ascii="Songti SC" w:eastAsia="Songti SC" w:hAnsi="Songti SC" w:hint="eastAsia"/>
          <w:sz w:val="18"/>
          <w:szCs w:val="18"/>
        </w:rPr>
        <w:t>图1</w:t>
      </w:r>
      <w:r>
        <w:rPr>
          <w:rFonts w:ascii="Songti SC" w:eastAsia="Songti SC" w:hAnsi="Songti SC"/>
          <w:sz w:val="18"/>
          <w:szCs w:val="18"/>
        </w:rPr>
        <w:t xml:space="preserve"> 2003</w:t>
      </w:r>
      <w:r>
        <w:rPr>
          <w:rFonts w:ascii="Songti SC" w:eastAsia="Songti SC" w:hAnsi="Songti SC" w:hint="eastAsia"/>
          <w:sz w:val="18"/>
          <w:szCs w:val="18"/>
        </w:rPr>
        <w:t>年-</w:t>
      </w:r>
      <w:r>
        <w:rPr>
          <w:rFonts w:ascii="Songti SC" w:eastAsia="Songti SC" w:hAnsi="Songti SC"/>
          <w:sz w:val="18"/>
          <w:szCs w:val="18"/>
        </w:rPr>
        <w:t>2015</w:t>
      </w:r>
      <w:r>
        <w:rPr>
          <w:rFonts w:ascii="Songti SC" w:eastAsia="Songti SC" w:hAnsi="Songti SC" w:hint="eastAsia"/>
          <w:sz w:val="18"/>
          <w:szCs w:val="18"/>
        </w:rPr>
        <w:t>年IT行业工资变化</w:t>
      </w:r>
    </w:p>
    <w:p w:rsidR="004A6801" w:rsidRDefault="006C3184" w:rsidP="004A6801">
      <w:pPr>
        <w:ind w:firstLineChars="200" w:firstLine="360"/>
        <w:rPr>
          <w:rFonts w:ascii="Songti SC" w:eastAsia="Songti SC" w:hAnsi="Songti SC"/>
          <w:sz w:val="18"/>
          <w:szCs w:val="18"/>
        </w:rPr>
      </w:pPr>
      <w:r>
        <w:rPr>
          <w:rFonts w:ascii="Songti SC" w:eastAsia="Songti SC" w:hAnsi="Songti SC" w:hint="eastAsia"/>
          <w:sz w:val="18"/>
          <w:szCs w:val="18"/>
        </w:rPr>
        <w:t>从</w:t>
      </w:r>
      <w:r>
        <w:rPr>
          <w:rFonts w:ascii="Songti SC" w:eastAsia="Songti SC" w:hAnsi="Songti SC"/>
          <w:sz w:val="18"/>
          <w:szCs w:val="18"/>
        </w:rPr>
        <w:t>2003</w:t>
      </w:r>
      <w:r>
        <w:rPr>
          <w:rFonts w:ascii="Songti SC" w:eastAsia="Songti SC" w:hAnsi="Songti SC" w:hint="eastAsia"/>
          <w:sz w:val="18"/>
          <w:szCs w:val="18"/>
        </w:rPr>
        <w:t>年起，IT行业的平均工资是直线上升状态（见图1），工资同比也从未跌过负值，由此可见，早在十几年前，IT行业就已经被需要并且</w:t>
      </w:r>
      <w:r w:rsidR="004A6801">
        <w:rPr>
          <w:rFonts w:ascii="Songti SC" w:eastAsia="Songti SC" w:hAnsi="Songti SC" w:hint="eastAsia"/>
          <w:sz w:val="18"/>
          <w:szCs w:val="18"/>
        </w:rPr>
        <w:t>成为了社会发展的主流领域。然而，IT行业的平均工资</w:t>
      </w:r>
      <w:r w:rsidR="004A6801">
        <w:rPr>
          <w:rFonts w:ascii="Songti SC" w:eastAsia="Songti SC" w:hAnsi="Songti SC" w:hint="eastAsia"/>
          <w:sz w:val="18"/>
          <w:szCs w:val="18"/>
        </w:rPr>
        <w:lastRenderedPageBreak/>
        <w:t>虽是不断上升的，但是IT行业中不同的岗位，薪酬也是有所不同的。</w:t>
      </w:r>
    </w:p>
    <w:p w:rsidR="004A6801" w:rsidRDefault="004A6801" w:rsidP="004A6801">
      <w:pPr>
        <w:jc w:val="center"/>
        <w:rPr>
          <w:rFonts w:ascii="Songti SC" w:eastAsia="Songti SC" w:hAnsi="Songti SC"/>
          <w:sz w:val="18"/>
          <w:szCs w:val="18"/>
        </w:rPr>
      </w:pPr>
      <w:r>
        <w:rPr>
          <w:rFonts w:ascii="Songti SC" w:eastAsia="Songti SC" w:hAnsi="Songti SC" w:hint="eastAsia"/>
          <w:noProof/>
          <w:sz w:val="18"/>
          <w:szCs w:val="18"/>
        </w:rPr>
        <w:drawing>
          <wp:inline distT="0" distB="0" distL="0" distR="0">
            <wp:extent cx="2499995" cy="1979295"/>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8f54682e06bad867b6e96d0347a8651.jpeg"/>
                    <pic:cNvPicPr/>
                  </pic:nvPicPr>
                  <pic:blipFill>
                    <a:blip r:embed="rId7">
                      <a:extLst>
                        <a:ext uri="{28A0092B-C50C-407E-A947-70E740481C1C}">
                          <a14:useLocalDpi xmlns:a14="http://schemas.microsoft.com/office/drawing/2010/main" val="0"/>
                        </a:ext>
                      </a:extLst>
                    </a:blip>
                    <a:stretch>
                      <a:fillRect/>
                    </a:stretch>
                  </pic:blipFill>
                  <pic:spPr>
                    <a:xfrm>
                      <a:off x="0" y="0"/>
                      <a:ext cx="2499995" cy="1979295"/>
                    </a:xfrm>
                    <a:prstGeom prst="rect">
                      <a:avLst/>
                    </a:prstGeom>
                  </pic:spPr>
                </pic:pic>
              </a:graphicData>
            </a:graphic>
          </wp:inline>
        </w:drawing>
      </w:r>
    </w:p>
    <w:p w:rsidR="004A6801" w:rsidRDefault="004A6801" w:rsidP="004A6801">
      <w:pPr>
        <w:jc w:val="center"/>
        <w:rPr>
          <w:rFonts w:ascii="Songti SC" w:eastAsia="Songti SC" w:hAnsi="Songti SC"/>
          <w:sz w:val="18"/>
          <w:szCs w:val="18"/>
        </w:rPr>
      </w:pPr>
      <w:r>
        <w:rPr>
          <w:rFonts w:ascii="Songti SC" w:eastAsia="Songti SC" w:hAnsi="Songti SC" w:hint="eastAsia"/>
          <w:sz w:val="18"/>
          <w:szCs w:val="18"/>
        </w:rPr>
        <w:t>图2</w:t>
      </w:r>
      <w:r>
        <w:rPr>
          <w:rFonts w:ascii="Songti SC" w:eastAsia="Songti SC" w:hAnsi="Songti SC"/>
          <w:sz w:val="18"/>
          <w:szCs w:val="18"/>
        </w:rPr>
        <w:t xml:space="preserve">  </w:t>
      </w:r>
      <w:r>
        <w:rPr>
          <w:rFonts w:ascii="Songti SC" w:eastAsia="Songti SC" w:hAnsi="Songti SC" w:hint="eastAsia"/>
          <w:sz w:val="18"/>
          <w:szCs w:val="18"/>
        </w:rPr>
        <w:t>IT行业不同岗位薪酬对比</w:t>
      </w:r>
    </w:p>
    <w:p w:rsidR="0078459C" w:rsidRDefault="004A6801" w:rsidP="00576FCD">
      <w:pPr>
        <w:ind w:firstLineChars="200" w:firstLine="360"/>
        <w:rPr>
          <w:rFonts w:ascii="Songti SC" w:eastAsia="Songti SC" w:hAnsi="Songti SC"/>
          <w:sz w:val="18"/>
          <w:szCs w:val="18"/>
        </w:rPr>
      </w:pPr>
      <w:r>
        <w:rPr>
          <w:rFonts w:ascii="Songti SC" w:eastAsia="Songti SC" w:hAnsi="Songti SC" w:hint="eastAsia"/>
          <w:sz w:val="18"/>
          <w:szCs w:val="18"/>
        </w:rPr>
        <w:t>我们发现，即便是同处于IT行业下的不同岗位，薪酬待遇还是有所不同（见图2）。我们发现信息安全的薪资最高而网络招聘的薪资相对来说较低。</w:t>
      </w:r>
      <w:r w:rsidR="00576FCD">
        <w:rPr>
          <w:rFonts w:ascii="Songti SC" w:eastAsia="Songti SC" w:hAnsi="Songti SC" w:hint="eastAsia"/>
          <w:sz w:val="18"/>
          <w:szCs w:val="18"/>
        </w:rPr>
        <w:t>2</w:t>
      </w:r>
      <w:r w:rsidR="00576FCD">
        <w:rPr>
          <w:rFonts w:ascii="Songti SC" w:eastAsia="Songti SC" w:hAnsi="Songti SC"/>
          <w:sz w:val="18"/>
          <w:szCs w:val="18"/>
        </w:rPr>
        <w:t>020</w:t>
      </w:r>
      <w:r w:rsidR="00576FCD">
        <w:rPr>
          <w:rFonts w:ascii="Songti SC" w:eastAsia="Songti SC" w:hAnsi="Songti SC" w:hint="eastAsia"/>
          <w:sz w:val="18"/>
          <w:szCs w:val="18"/>
        </w:rPr>
        <w:t>年中，IT行业薪酬增长率最高的是技术部门为6</w:t>
      </w:r>
      <w:r w:rsidR="00576FCD">
        <w:rPr>
          <w:rFonts w:ascii="Songti SC" w:eastAsia="Songti SC" w:hAnsi="Songti SC"/>
          <w:sz w:val="18"/>
          <w:szCs w:val="18"/>
        </w:rPr>
        <w:t>.5%</w:t>
      </w:r>
      <w:r w:rsidR="00576FCD">
        <w:rPr>
          <w:rFonts w:ascii="Songti SC" w:eastAsia="Songti SC" w:hAnsi="Songti SC" w:hint="eastAsia"/>
          <w:sz w:val="18"/>
          <w:szCs w:val="18"/>
        </w:rPr>
        <w:t>，销售部门最低为1</w:t>
      </w:r>
      <w:r w:rsidR="00576FCD">
        <w:rPr>
          <w:rFonts w:ascii="Songti SC" w:eastAsia="Songti SC" w:hAnsi="Songti SC"/>
          <w:sz w:val="18"/>
          <w:szCs w:val="18"/>
        </w:rPr>
        <w:t>.7%</w:t>
      </w:r>
      <w:r w:rsidR="00576FCD">
        <w:rPr>
          <w:rFonts w:ascii="Songti SC" w:eastAsia="Songti SC" w:hAnsi="Songti SC"/>
          <w:sz w:val="18"/>
          <w:szCs w:val="18"/>
          <w:vertAlign w:val="superscript"/>
        </w:rPr>
        <w:t>[1]</w:t>
      </w:r>
      <w:r w:rsidR="00576FCD">
        <w:rPr>
          <w:rFonts w:ascii="Songti SC" w:eastAsia="Songti SC" w:hAnsi="Songti SC" w:hint="eastAsia"/>
          <w:sz w:val="18"/>
          <w:szCs w:val="18"/>
        </w:rPr>
        <w:t>。所以说，虽同为IT领域，不同的岗位薪酬的差别还是很大的，对于IT领域不同岗位的薪酬变化分析也是必不可少的。</w:t>
      </w:r>
    </w:p>
    <w:p w:rsidR="00576FCD" w:rsidRDefault="00576FCD" w:rsidP="00576FCD">
      <w:pPr>
        <w:rPr>
          <w:rFonts w:ascii="黑体" w:eastAsia="黑体" w:hAnsi="黑体"/>
          <w:szCs w:val="21"/>
        </w:rPr>
      </w:pPr>
      <w:r>
        <w:rPr>
          <w:rFonts w:ascii="黑体" w:eastAsia="黑体" w:hAnsi="黑体" w:hint="eastAsia"/>
          <w:szCs w:val="21"/>
        </w:rPr>
        <w:t>3</w:t>
      </w:r>
      <w:r>
        <w:rPr>
          <w:rFonts w:ascii="黑体" w:eastAsia="黑体" w:hAnsi="黑体"/>
          <w:szCs w:val="21"/>
        </w:rPr>
        <w:t>.</w:t>
      </w:r>
      <w:r>
        <w:rPr>
          <w:rFonts w:ascii="黑体" w:eastAsia="黑体" w:hAnsi="黑体" w:hint="eastAsia"/>
          <w:szCs w:val="21"/>
        </w:rPr>
        <w:t>IT企业薪资体系分析</w:t>
      </w:r>
    </w:p>
    <w:p w:rsidR="00576FCD" w:rsidRDefault="00E54296" w:rsidP="0082330E">
      <w:pPr>
        <w:ind w:firstLine="360"/>
        <w:rPr>
          <w:rFonts w:ascii="Songti SC" w:eastAsia="Songti SC" w:hAnsi="Songti SC"/>
          <w:sz w:val="18"/>
          <w:szCs w:val="18"/>
        </w:rPr>
      </w:pPr>
      <w:r w:rsidRPr="00E54296">
        <w:rPr>
          <w:rFonts w:ascii="Songti SC" w:eastAsia="Songti SC" w:hAnsi="Songti SC"/>
          <w:sz w:val="18"/>
          <w:szCs w:val="18"/>
        </w:rPr>
        <w:t>薪酬管理, 是指在一定的原则下对薪酬的构成、水平、档位、支付方式等进行设计安排, 以达到对内部具有公平性、对外部具有竞争性、对个体具有激励性的目的。薪酬管理是人力资源管理核心职能之一, 关系到企业的经营管理和长远发展。合理的</w:t>
      </w:r>
      <w:r w:rsidRPr="00E54296">
        <w:rPr>
          <w:rFonts w:ascii="Songti SC" w:eastAsia="Songti SC" w:hAnsi="Songti SC"/>
          <w:sz w:val="18"/>
          <w:szCs w:val="18"/>
        </w:rPr>
        <w:t>薪酬设计能够调动员工的积极性, 激发其才能的发挥, 使其对企业保持较高的忠诚度, 进而提供更多的劳动价值</w:t>
      </w:r>
      <w:r>
        <w:rPr>
          <w:rFonts w:ascii="Songti SC" w:eastAsia="Songti SC" w:hAnsi="Songti SC" w:hint="eastAsia"/>
          <w:sz w:val="18"/>
          <w:szCs w:val="18"/>
          <w:vertAlign w:val="superscript"/>
        </w:rPr>
        <w:t>[</w:t>
      </w:r>
      <w:r>
        <w:rPr>
          <w:rFonts w:ascii="Songti SC" w:eastAsia="Songti SC" w:hAnsi="Songti SC"/>
          <w:sz w:val="18"/>
          <w:szCs w:val="18"/>
          <w:vertAlign w:val="superscript"/>
        </w:rPr>
        <w:t>2]</w:t>
      </w:r>
      <w:r w:rsidRPr="00E54296">
        <w:rPr>
          <w:rFonts w:ascii="Songti SC" w:eastAsia="Songti SC" w:hAnsi="Songti SC"/>
          <w:sz w:val="18"/>
          <w:szCs w:val="18"/>
        </w:rPr>
        <w:t>。 IT企业的薪酬体系建立的目标是最大限度地调动员工的积极性 , 使员工在与企业发展目标一致的方向上充分发挥能力 , 创造最大价值</w:t>
      </w:r>
      <w:r>
        <w:rPr>
          <w:rFonts w:ascii="Songti SC" w:eastAsia="Songti SC" w:hAnsi="Songti SC"/>
          <w:sz w:val="18"/>
          <w:szCs w:val="18"/>
          <w:vertAlign w:val="superscript"/>
        </w:rPr>
        <w:t>[3]</w:t>
      </w:r>
      <w:r w:rsidRPr="00E54296">
        <w:rPr>
          <w:rFonts w:ascii="Songti SC" w:eastAsia="Songti SC" w:hAnsi="Songti SC"/>
          <w:sz w:val="18"/>
          <w:szCs w:val="18"/>
        </w:rPr>
        <w:t>。</w:t>
      </w:r>
      <w:r w:rsidR="0082330E">
        <w:rPr>
          <w:rFonts w:ascii="Songti SC" w:eastAsia="Songti SC" w:hAnsi="Songti SC" w:hint="eastAsia"/>
          <w:sz w:val="18"/>
          <w:szCs w:val="18"/>
        </w:rPr>
        <w:t>其中，不同岗位的薪酬如何进行分配、调节和设计，应该遵循如下的几个原则。</w:t>
      </w:r>
    </w:p>
    <w:p w:rsidR="002C19FC" w:rsidRPr="002C19FC" w:rsidRDefault="002C19FC" w:rsidP="002C19FC">
      <w:pPr>
        <w:rPr>
          <w:rFonts w:ascii="黑体" w:eastAsia="黑体" w:hAnsi="黑体"/>
          <w:sz w:val="18"/>
          <w:szCs w:val="18"/>
        </w:rPr>
      </w:pPr>
      <w:r w:rsidRPr="002C19FC">
        <w:rPr>
          <w:rFonts w:ascii="黑体" w:eastAsia="黑体" w:hAnsi="黑体"/>
          <w:sz w:val="18"/>
          <w:szCs w:val="18"/>
        </w:rPr>
        <w:t>3.1</w:t>
      </w:r>
      <w:r w:rsidR="0082330E" w:rsidRPr="002C19FC">
        <w:rPr>
          <w:rFonts w:ascii="黑体" w:eastAsia="黑体" w:hAnsi="黑体" w:hint="eastAsia"/>
          <w:sz w:val="18"/>
          <w:szCs w:val="18"/>
        </w:rPr>
        <w:t>公平性原则</w:t>
      </w:r>
    </w:p>
    <w:p w:rsidR="0082330E" w:rsidRDefault="002C19FC" w:rsidP="002C19FC">
      <w:pPr>
        <w:ind w:firstLineChars="200" w:firstLine="360"/>
        <w:rPr>
          <w:rFonts w:ascii="Songti SC" w:eastAsia="Songti SC" w:hAnsi="Songti SC"/>
          <w:sz w:val="18"/>
          <w:szCs w:val="18"/>
        </w:rPr>
      </w:pPr>
      <w:r>
        <w:rPr>
          <w:rFonts w:ascii="Songti SC" w:eastAsia="Songti SC" w:hAnsi="Songti SC" w:hint="eastAsia"/>
          <w:sz w:val="18"/>
          <w:szCs w:val="18"/>
        </w:rPr>
        <w:t>这一原则</w:t>
      </w:r>
      <w:r w:rsidR="0082330E" w:rsidRPr="002C19FC">
        <w:rPr>
          <w:rFonts w:ascii="Songti SC" w:eastAsia="Songti SC" w:hAnsi="Songti SC"/>
          <w:sz w:val="18"/>
          <w:szCs w:val="18"/>
        </w:rPr>
        <w:t>包括个人公平</w:t>
      </w:r>
      <w:r w:rsidR="0082330E" w:rsidRPr="002C19FC">
        <w:rPr>
          <w:rFonts w:ascii="Songti SC" w:eastAsia="Songti SC" w:hAnsi="Songti SC" w:hint="eastAsia"/>
          <w:sz w:val="18"/>
          <w:szCs w:val="18"/>
        </w:rPr>
        <w:t>、</w:t>
      </w:r>
      <w:r w:rsidR="0082330E" w:rsidRPr="002C19FC">
        <w:rPr>
          <w:rFonts w:ascii="Songti SC" w:eastAsia="Songti SC" w:hAnsi="Songti SC"/>
          <w:sz w:val="18"/>
          <w:szCs w:val="18"/>
        </w:rPr>
        <w:t>外部公平和内部公平</w:t>
      </w:r>
      <w:r w:rsidR="0082330E" w:rsidRPr="002C19FC">
        <w:rPr>
          <w:rFonts w:ascii="Songti SC" w:eastAsia="Songti SC" w:hAnsi="Songti SC" w:hint="eastAsia"/>
          <w:sz w:val="18"/>
          <w:szCs w:val="18"/>
        </w:rPr>
        <w:t>，</w:t>
      </w:r>
      <w:r w:rsidR="0082330E" w:rsidRPr="002C19FC">
        <w:rPr>
          <w:rFonts w:ascii="Songti SC" w:eastAsia="Songti SC" w:hAnsi="Songti SC"/>
          <w:sz w:val="18"/>
          <w:szCs w:val="18"/>
        </w:rPr>
        <w:t>即个人对自己预期的薪酬</w:t>
      </w:r>
      <w:r w:rsidR="0082330E" w:rsidRPr="002C19FC">
        <w:rPr>
          <w:rFonts w:ascii="Songti SC" w:eastAsia="Songti SC" w:hAnsi="Songti SC" w:hint="eastAsia"/>
          <w:sz w:val="18"/>
          <w:szCs w:val="18"/>
        </w:rPr>
        <w:t>，</w:t>
      </w:r>
      <w:r w:rsidR="0082330E" w:rsidRPr="002C19FC">
        <w:rPr>
          <w:rFonts w:ascii="Songti SC" w:eastAsia="Songti SC" w:hAnsi="Songti SC"/>
          <w:sz w:val="18"/>
          <w:szCs w:val="18"/>
        </w:rPr>
        <w:t>和同行业的比较以及公司内部其他员工的比较</w:t>
      </w:r>
      <w:r w:rsidR="0082330E" w:rsidRPr="002C19FC">
        <w:rPr>
          <w:rFonts w:ascii="Songti SC" w:eastAsia="Songti SC" w:hAnsi="Songti SC" w:hint="eastAsia"/>
          <w:sz w:val="18"/>
          <w:szCs w:val="18"/>
        </w:rPr>
        <w:t>。</w:t>
      </w:r>
      <w:r w:rsidR="0082330E" w:rsidRPr="002C19FC">
        <w:rPr>
          <w:rFonts w:ascii="Songti SC" w:eastAsia="Songti SC" w:hAnsi="Songti SC"/>
          <w:sz w:val="18"/>
          <w:szCs w:val="18"/>
        </w:rPr>
        <w:t>公平性是薪酬体系发挥作用的基础, 也是该体系产生激励作用的保障</w:t>
      </w:r>
      <w:r w:rsidR="0082330E" w:rsidRPr="002C19FC">
        <w:rPr>
          <w:rFonts w:ascii="Songti SC" w:eastAsia="Songti SC" w:hAnsi="Songti SC" w:hint="eastAsia"/>
          <w:sz w:val="18"/>
          <w:szCs w:val="18"/>
        </w:rPr>
        <w:t>。只有达到了这三种公平的要求，员工才会服从和信任这一薪酬分配制度，否则员工进行跳槽、辞职等对企业不利的活动概率会加大。</w:t>
      </w:r>
    </w:p>
    <w:p w:rsidR="002C19FC" w:rsidRDefault="002C19FC" w:rsidP="002C19FC">
      <w:pPr>
        <w:rPr>
          <w:rFonts w:ascii="黑体" w:eastAsia="黑体" w:hAnsi="黑体"/>
          <w:sz w:val="18"/>
          <w:szCs w:val="18"/>
        </w:rPr>
      </w:pPr>
      <w:r>
        <w:rPr>
          <w:rFonts w:ascii="黑体" w:eastAsia="黑体" w:hAnsi="黑体"/>
          <w:sz w:val="18"/>
          <w:szCs w:val="18"/>
        </w:rPr>
        <w:t>3.2</w:t>
      </w:r>
      <w:r w:rsidRPr="002C19FC">
        <w:rPr>
          <w:rFonts w:ascii="黑体" w:eastAsia="黑体" w:hAnsi="黑体"/>
          <w:sz w:val="18"/>
          <w:szCs w:val="18"/>
        </w:rPr>
        <w:t>.</w:t>
      </w:r>
      <w:r w:rsidRPr="002C19FC">
        <w:rPr>
          <w:rFonts w:ascii="黑体" w:eastAsia="黑体" w:hAnsi="黑体" w:hint="eastAsia"/>
          <w:sz w:val="18"/>
          <w:szCs w:val="18"/>
        </w:rPr>
        <w:t>激励性原则。</w:t>
      </w:r>
    </w:p>
    <w:p w:rsidR="002C19FC" w:rsidRDefault="002C19FC" w:rsidP="002C19FC">
      <w:pPr>
        <w:rPr>
          <w:rFonts w:ascii="Songti SC" w:eastAsia="Songti SC" w:hAnsi="Songti SC"/>
          <w:sz w:val="18"/>
          <w:szCs w:val="18"/>
        </w:rPr>
      </w:pPr>
      <w:r>
        <w:rPr>
          <w:rFonts w:ascii="Songti SC" w:eastAsia="Songti SC" w:hAnsi="Songti SC" w:hint="eastAsia"/>
          <w:sz w:val="18"/>
          <w:szCs w:val="18"/>
        </w:rPr>
        <w:t>这一原则包括个人激励和竞争激励。个人激励体现在对个体员工的超额完成工作指标和项目逾期实施特定的奖惩制度。不同岗位的员工要根据工作的难易程度适当进行修改。竞争激励是在每个岗位创造出一个竞争的环境，用来激发员工最大的潜能。</w:t>
      </w:r>
    </w:p>
    <w:p w:rsidR="002C19FC" w:rsidRDefault="002C19FC" w:rsidP="002C19FC">
      <w:pPr>
        <w:rPr>
          <w:rFonts w:ascii="黑体" w:eastAsia="黑体" w:hAnsi="黑体"/>
          <w:sz w:val="18"/>
          <w:szCs w:val="18"/>
        </w:rPr>
      </w:pPr>
      <w:r>
        <w:rPr>
          <w:rFonts w:ascii="黑体" w:eastAsia="黑体" w:hAnsi="黑体" w:hint="eastAsia"/>
          <w:sz w:val="18"/>
          <w:szCs w:val="18"/>
        </w:rPr>
        <w:t>3</w:t>
      </w:r>
      <w:r>
        <w:rPr>
          <w:rFonts w:ascii="黑体" w:eastAsia="黑体" w:hAnsi="黑体"/>
          <w:sz w:val="18"/>
          <w:szCs w:val="18"/>
        </w:rPr>
        <w:t>.3</w:t>
      </w:r>
      <w:r>
        <w:rPr>
          <w:rFonts w:ascii="黑体" w:eastAsia="黑体" w:hAnsi="黑体" w:hint="eastAsia"/>
          <w:sz w:val="18"/>
          <w:szCs w:val="18"/>
        </w:rPr>
        <w:t>可考量和成本可控原则</w:t>
      </w:r>
    </w:p>
    <w:p w:rsidR="002C19FC" w:rsidRDefault="002C19FC" w:rsidP="00C5143B">
      <w:pPr>
        <w:ind w:firstLineChars="200" w:firstLine="360"/>
        <w:rPr>
          <w:rFonts w:ascii="Songti SC" w:eastAsia="Songti SC" w:hAnsi="Songti SC"/>
          <w:sz w:val="18"/>
          <w:szCs w:val="18"/>
        </w:rPr>
      </w:pPr>
      <w:r>
        <w:rPr>
          <w:rFonts w:ascii="Songti SC" w:eastAsia="Songti SC" w:hAnsi="Songti SC" w:hint="eastAsia"/>
          <w:sz w:val="18"/>
          <w:szCs w:val="18"/>
        </w:rPr>
        <w:t>这一原则指的是针对不同的岗位，要有特定的具体的公式对薪酬进行计算，尽量减少模糊和人为</w:t>
      </w:r>
      <w:r>
        <w:rPr>
          <w:rFonts w:ascii="Songti SC" w:eastAsia="Songti SC" w:hAnsi="Songti SC" w:hint="eastAsia"/>
          <w:sz w:val="18"/>
          <w:szCs w:val="18"/>
        </w:rPr>
        <w:lastRenderedPageBreak/>
        <w:t>化的影响。薪酬的总体成本也要求可控，要满足公司财务规则和预算要求</w:t>
      </w:r>
      <w:r w:rsidR="00C5143B">
        <w:rPr>
          <w:rFonts w:ascii="Songti SC" w:eastAsia="Songti SC" w:hAnsi="Songti SC" w:hint="eastAsia"/>
          <w:sz w:val="18"/>
          <w:szCs w:val="18"/>
        </w:rPr>
        <w:t>。</w:t>
      </w:r>
    </w:p>
    <w:p w:rsidR="00C5143B" w:rsidRDefault="00C5143B" w:rsidP="002C19FC">
      <w:pPr>
        <w:rPr>
          <w:rFonts w:ascii="黑体" w:eastAsia="黑体" w:hAnsi="黑体"/>
          <w:sz w:val="18"/>
          <w:szCs w:val="18"/>
        </w:rPr>
      </w:pPr>
      <w:r>
        <w:rPr>
          <w:rFonts w:ascii="黑体" w:eastAsia="黑体" w:hAnsi="黑体" w:hint="eastAsia"/>
          <w:sz w:val="18"/>
          <w:szCs w:val="18"/>
        </w:rPr>
        <w:t>3</w:t>
      </w:r>
      <w:r>
        <w:rPr>
          <w:rFonts w:ascii="黑体" w:eastAsia="黑体" w:hAnsi="黑体"/>
          <w:sz w:val="18"/>
          <w:szCs w:val="18"/>
        </w:rPr>
        <w:t xml:space="preserve">.4 </w:t>
      </w:r>
      <w:r>
        <w:rPr>
          <w:rFonts w:ascii="黑体" w:eastAsia="黑体" w:hAnsi="黑体" w:hint="eastAsia"/>
          <w:sz w:val="18"/>
          <w:szCs w:val="18"/>
        </w:rPr>
        <w:t>一致性原则</w:t>
      </w:r>
    </w:p>
    <w:p w:rsidR="00C5143B" w:rsidRDefault="00C5143B" w:rsidP="00C5143B">
      <w:pPr>
        <w:ind w:firstLineChars="200" w:firstLine="360"/>
        <w:rPr>
          <w:rFonts w:ascii="Songti SC" w:eastAsia="Songti SC" w:hAnsi="Songti SC"/>
          <w:sz w:val="18"/>
          <w:szCs w:val="18"/>
        </w:rPr>
      </w:pPr>
      <w:r>
        <w:rPr>
          <w:rFonts w:ascii="Songti SC" w:eastAsia="Songti SC" w:hAnsi="Songti SC" w:hint="eastAsia"/>
          <w:sz w:val="18"/>
          <w:szCs w:val="18"/>
        </w:rPr>
        <w:t>对于不同岗位，薪酬对员工的激励方向要与公司的发展目标一致，要通过对不同岗位的薪酬的调节作用使人力资源向公司重点发展和投入的方向倾斜。</w:t>
      </w:r>
    </w:p>
    <w:p w:rsidR="00C5143B" w:rsidRDefault="00AF56CD" w:rsidP="002C19FC">
      <w:pPr>
        <w:rPr>
          <w:rFonts w:ascii="黑体" w:eastAsia="黑体" w:hAnsi="黑体"/>
          <w:szCs w:val="21"/>
        </w:rPr>
      </w:pPr>
      <w:r>
        <w:rPr>
          <w:rFonts w:ascii="黑体" w:eastAsia="黑体" w:hAnsi="黑体" w:hint="eastAsia"/>
          <w:szCs w:val="21"/>
        </w:rPr>
        <w:t>4</w:t>
      </w:r>
      <w:r>
        <w:rPr>
          <w:rFonts w:ascii="黑体" w:eastAsia="黑体" w:hAnsi="黑体"/>
          <w:szCs w:val="21"/>
        </w:rPr>
        <w:t>.</w:t>
      </w:r>
      <w:r>
        <w:rPr>
          <w:rFonts w:ascii="黑体" w:eastAsia="黑体" w:hAnsi="黑体" w:hint="eastAsia"/>
          <w:szCs w:val="21"/>
        </w:rPr>
        <w:t>差距分析</w:t>
      </w:r>
    </w:p>
    <w:p w:rsidR="00587392" w:rsidRDefault="00587392" w:rsidP="00587392">
      <w:pPr>
        <w:ind w:firstLineChars="200" w:firstLine="360"/>
        <w:rPr>
          <w:rFonts w:ascii="Songti SC" w:eastAsia="Songti SC" w:hAnsi="Songti SC"/>
          <w:sz w:val="18"/>
          <w:szCs w:val="18"/>
        </w:rPr>
      </w:pPr>
      <w:r w:rsidRPr="00587392">
        <w:rPr>
          <w:rFonts w:ascii="Songti SC" w:eastAsia="Songti SC" w:hAnsi="Songti SC"/>
          <w:sz w:val="18"/>
          <w:szCs w:val="18"/>
        </w:rPr>
        <w:t>岗位评估是企业对各职位价值、贡献大小进行评价的一种方法，其主要目的是解决不同岗位之间相对价值的比较问题，为薪酬设计打下客观、公平的基础，使各岗位之间的报酬更具有公平性</w:t>
      </w:r>
      <w:r>
        <w:rPr>
          <w:rFonts w:ascii="Songti SC" w:eastAsia="Songti SC" w:hAnsi="Songti SC"/>
          <w:sz w:val="18"/>
          <w:szCs w:val="18"/>
          <w:vertAlign w:val="superscript"/>
        </w:rPr>
        <w:t>[4]</w:t>
      </w:r>
      <w:r w:rsidRPr="00587392">
        <w:rPr>
          <w:rFonts w:ascii="Songti SC" w:eastAsia="Songti SC" w:hAnsi="Songti SC"/>
          <w:sz w:val="18"/>
          <w:szCs w:val="18"/>
        </w:rPr>
        <w:t>。</w:t>
      </w:r>
    </w:p>
    <w:p w:rsidR="00AF56CD" w:rsidRDefault="00AF56CD" w:rsidP="00587392">
      <w:pPr>
        <w:ind w:firstLineChars="200" w:firstLine="360"/>
        <w:rPr>
          <w:rFonts w:ascii="Songti SC" w:eastAsia="Songti SC" w:hAnsi="Songti SC"/>
          <w:sz w:val="18"/>
          <w:szCs w:val="18"/>
        </w:rPr>
      </w:pPr>
      <w:r w:rsidRPr="00AF56CD">
        <w:rPr>
          <w:rFonts w:ascii="Songti SC" w:eastAsia="Songti SC" w:hAnsi="Songti SC"/>
          <w:sz w:val="18"/>
          <w:szCs w:val="18"/>
        </w:rPr>
        <w:t>IT企业研发人员的薪酬水平具有绝对优势：研发总监的年薪水平达到 26万左右，高出经理年薪近</w:t>
      </w:r>
      <w:r>
        <w:rPr>
          <w:rFonts w:ascii="Songti SC" w:eastAsia="Songti SC" w:hAnsi="Songti SC"/>
          <w:sz w:val="18"/>
          <w:szCs w:val="18"/>
        </w:rPr>
        <w:t>10</w:t>
      </w:r>
      <w:r w:rsidRPr="00AF56CD">
        <w:rPr>
          <w:rFonts w:ascii="Songti SC" w:eastAsia="Songti SC" w:hAnsi="Songti SC"/>
          <w:sz w:val="18"/>
          <w:szCs w:val="18"/>
        </w:rPr>
        <w:t>万，是主管级别年薪的近两倍薪酬水平，可见薪资报酬相当可观。相 比较而言，经理和主管级别之闻的薪酬则相差不多，中高级工程师的薪酬水平基本在年薪</w:t>
      </w:r>
      <w:r>
        <w:rPr>
          <w:rFonts w:ascii="Songti SC" w:eastAsia="Songti SC" w:hAnsi="Songti SC"/>
          <w:sz w:val="18"/>
          <w:szCs w:val="18"/>
        </w:rPr>
        <w:t>10</w:t>
      </w:r>
      <w:r w:rsidRPr="00AF56CD">
        <w:rPr>
          <w:rFonts w:ascii="Songti SC" w:eastAsia="Songti SC" w:hAnsi="Songti SC"/>
          <w:sz w:val="18"/>
          <w:szCs w:val="18"/>
        </w:rPr>
        <w:t>万元左右，最初级的工程师年薪也基本在 5万元以上</w:t>
      </w:r>
      <w:r w:rsidR="00587392">
        <w:rPr>
          <w:rFonts w:ascii="Songti SC" w:eastAsia="Songti SC" w:hAnsi="Songti SC" w:hint="eastAsia"/>
          <w:sz w:val="18"/>
          <w:szCs w:val="18"/>
          <w:vertAlign w:val="superscript"/>
        </w:rPr>
        <w:t>[</w:t>
      </w:r>
      <w:r w:rsidR="00587392">
        <w:rPr>
          <w:rFonts w:ascii="Songti SC" w:eastAsia="Songti SC" w:hAnsi="Songti SC"/>
          <w:sz w:val="18"/>
          <w:szCs w:val="18"/>
          <w:vertAlign w:val="superscript"/>
        </w:rPr>
        <w:t>5]</w:t>
      </w:r>
      <w:r w:rsidRPr="00AF56CD">
        <w:rPr>
          <w:rFonts w:ascii="Songti SC" w:eastAsia="Songti SC" w:hAnsi="Songti SC"/>
          <w:sz w:val="18"/>
          <w:szCs w:val="18"/>
        </w:rPr>
        <w:t>。</w:t>
      </w:r>
      <w:r w:rsidR="00587392">
        <w:rPr>
          <w:rFonts w:ascii="Songti SC" w:eastAsia="Songti SC" w:hAnsi="Songti SC" w:hint="eastAsia"/>
          <w:sz w:val="18"/>
          <w:szCs w:val="18"/>
        </w:rPr>
        <w:t>由此可见，由于技术水平的差距，在IT企业中研发人员就是要比营销人员和管理人员的薪酬要高出一部分，这也解释了引言中为什么技术部门的薪酬增长率最高，而销售部门的增长率最低。</w:t>
      </w:r>
    </w:p>
    <w:p w:rsidR="00587392" w:rsidRDefault="00587392" w:rsidP="00587392">
      <w:pPr>
        <w:rPr>
          <w:rFonts w:ascii="黑体" w:eastAsia="黑体" w:hAnsi="黑体"/>
          <w:szCs w:val="21"/>
        </w:rPr>
      </w:pPr>
      <w:r>
        <w:rPr>
          <w:rFonts w:ascii="黑体" w:eastAsia="黑体" w:hAnsi="黑体"/>
          <w:szCs w:val="21"/>
        </w:rPr>
        <w:t>5</w:t>
      </w:r>
      <w:r w:rsidRPr="00587392">
        <w:rPr>
          <w:rFonts w:ascii="黑体" w:eastAsia="黑体" w:hAnsi="黑体"/>
          <w:szCs w:val="21"/>
        </w:rPr>
        <w:t>.</w:t>
      </w:r>
      <w:r w:rsidRPr="00587392">
        <w:rPr>
          <w:rFonts w:ascii="黑体" w:eastAsia="黑体" w:hAnsi="黑体" w:hint="eastAsia"/>
          <w:szCs w:val="21"/>
        </w:rPr>
        <w:t>结论</w:t>
      </w:r>
    </w:p>
    <w:p w:rsidR="00587392" w:rsidRPr="00587392" w:rsidRDefault="00587392" w:rsidP="00587392">
      <w:pPr>
        <w:rPr>
          <w:rFonts w:ascii="Songti SC" w:eastAsia="Songti SC" w:hAnsi="Songti SC"/>
          <w:sz w:val="18"/>
          <w:szCs w:val="18"/>
        </w:rPr>
      </w:pPr>
      <w:r>
        <w:rPr>
          <w:rFonts w:ascii="Songti SC" w:eastAsia="Songti SC" w:hAnsi="Songti SC" w:hint="eastAsia"/>
          <w:sz w:val="18"/>
          <w:szCs w:val="18"/>
        </w:rPr>
        <w:t>随着IT技术的发展，IT行业对人才的需求将会越来越多，</w:t>
      </w:r>
      <w:r w:rsidR="00CA7738">
        <w:rPr>
          <w:rFonts w:ascii="Songti SC" w:eastAsia="Songti SC" w:hAnsi="Songti SC" w:hint="eastAsia"/>
          <w:sz w:val="18"/>
          <w:szCs w:val="18"/>
        </w:rPr>
        <w:t>其中最主要的人才需求主要来源于“软件开发”和“网络工程”，正是由于这一因素，开发人员的薪酬水平处于IT行业的最顶端，而销售人员的低需求性和低难度性导致了其薪酬水平的降低。总体来说，虽然IT行业的薪酬水平在逐年上升，其中不同岗位的薪酬还是存在实质性的差别。</w:t>
      </w:r>
    </w:p>
    <w:p w:rsidR="00576FCD" w:rsidRDefault="00587392" w:rsidP="00576FCD">
      <w:pPr>
        <w:rPr>
          <w:rFonts w:ascii="黑体" w:eastAsia="黑体" w:hAnsi="黑体"/>
          <w:szCs w:val="21"/>
        </w:rPr>
      </w:pPr>
      <w:r>
        <w:rPr>
          <w:rFonts w:ascii="黑体" w:eastAsia="黑体" w:hAnsi="黑体"/>
          <w:szCs w:val="21"/>
        </w:rPr>
        <w:t>6</w:t>
      </w:r>
      <w:r w:rsidR="00576FCD">
        <w:rPr>
          <w:rFonts w:ascii="黑体" w:eastAsia="黑体" w:hAnsi="黑体"/>
          <w:szCs w:val="21"/>
        </w:rPr>
        <w:t>.</w:t>
      </w:r>
      <w:r w:rsidR="00576FCD">
        <w:rPr>
          <w:rFonts w:ascii="黑体" w:eastAsia="黑体" w:hAnsi="黑体" w:hint="eastAsia"/>
          <w:szCs w:val="21"/>
        </w:rPr>
        <w:t>参考文献</w:t>
      </w:r>
    </w:p>
    <w:p w:rsidR="00576FCD" w:rsidRDefault="00576FCD" w:rsidP="00576FCD">
      <w:pPr>
        <w:rPr>
          <w:rFonts w:ascii="Songti SC" w:eastAsia="Songti SC" w:hAnsi="Songti SC"/>
          <w:sz w:val="18"/>
          <w:szCs w:val="18"/>
        </w:rPr>
      </w:pPr>
      <w:r w:rsidRPr="00576FCD">
        <w:rPr>
          <w:rFonts w:ascii="Songti SC" w:eastAsia="Songti SC" w:hAnsi="Songti SC"/>
          <w:sz w:val="18"/>
          <w:szCs w:val="18"/>
        </w:rPr>
        <w:t>[1]</w:t>
      </w:r>
      <w:r w:rsidRPr="00576FCD">
        <w:rPr>
          <w:rFonts w:ascii="Songti SC" w:eastAsia="Songti SC" w:hAnsi="Songti SC" w:hint="eastAsia"/>
          <w:sz w:val="18"/>
          <w:szCs w:val="18"/>
        </w:rPr>
        <w:t xml:space="preserve"> </w:t>
      </w:r>
      <w:r>
        <w:rPr>
          <w:rFonts w:ascii="Songti SC" w:eastAsia="Songti SC" w:hAnsi="Songti SC" w:hint="eastAsia"/>
          <w:sz w:val="18"/>
          <w:szCs w:val="18"/>
        </w:rPr>
        <w:t>中国</w:t>
      </w:r>
      <w:r w:rsidRPr="00576FCD">
        <w:rPr>
          <w:rFonts w:ascii="Songti SC" w:eastAsia="Songti SC" w:hAnsi="Songti SC" w:hint="eastAsia"/>
          <w:sz w:val="18"/>
          <w:szCs w:val="18"/>
        </w:rPr>
        <w:t>《2</w:t>
      </w:r>
      <w:r w:rsidRPr="00576FCD">
        <w:rPr>
          <w:rFonts w:ascii="Songti SC" w:eastAsia="Songti SC" w:hAnsi="Songti SC"/>
          <w:sz w:val="18"/>
          <w:szCs w:val="18"/>
        </w:rPr>
        <w:t>020</w:t>
      </w:r>
      <w:r w:rsidRPr="00576FCD">
        <w:rPr>
          <w:rFonts w:ascii="Songti SC" w:eastAsia="Songti SC" w:hAnsi="Songti SC" w:hint="eastAsia"/>
          <w:sz w:val="18"/>
          <w:szCs w:val="18"/>
        </w:rPr>
        <w:t>年IT</w:t>
      </w:r>
      <w:r>
        <w:rPr>
          <w:rFonts w:ascii="Songti SC" w:eastAsia="Songti SC" w:hAnsi="Songti SC" w:hint="eastAsia"/>
          <w:sz w:val="18"/>
          <w:szCs w:val="18"/>
        </w:rPr>
        <w:t>服务</w:t>
      </w:r>
      <w:r w:rsidRPr="00576FCD">
        <w:rPr>
          <w:rFonts w:ascii="Songti SC" w:eastAsia="Songti SC" w:hAnsi="Songti SC" w:hint="eastAsia"/>
          <w:sz w:val="18"/>
          <w:szCs w:val="18"/>
        </w:rPr>
        <w:t>行业薪酬</w:t>
      </w:r>
      <w:r>
        <w:rPr>
          <w:rFonts w:ascii="Songti SC" w:eastAsia="Songti SC" w:hAnsi="Songti SC" w:hint="eastAsia"/>
          <w:sz w:val="18"/>
          <w:szCs w:val="18"/>
        </w:rPr>
        <w:t>报告</w:t>
      </w:r>
      <w:r w:rsidRPr="00576FCD">
        <w:rPr>
          <w:rFonts w:ascii="Songti SC" w:eastAsia="Songti SC" w:hAnsi="Songti SC" w:hint="eastAsia"/>
          <w:sz w:val="18"/>
          <w:szCs w:val="18"/>
        </w:rPr>
        <w:t>》，2</w:t>
      </w:r>
      <w:r w:rsidRPr="00576FCD">
        <w:rPr>
          <w:rFonts w:ascii="Songti SC" w:eastAsia="Songti SC" w:hAnsi="Songti SC"/>
          <w:sz w:val="18"/>
          <w:szCs w:val="18"/>
        </w:rPr>
        <w:t>020</w:t>
      </w:r>
      <w:r w:rsidRPr="00576FCD">
        <w:rPr>
          <w:rFonts w:ascii="Songti SC" w:eastAsia="Songti SC" w:hAnsi="Songti SC" w:hint="eastAsia"/>
          <w:sz w:val="18"/>
          <w:szCs w:val="18"/>
        </w:rPr>
        <w:t>年</w:t>
      </w:r>
    </w:p>
    <w:p w:rsidR="00E54296" w:rsidRDefault="00E54296" w:rsidP="00576FCD">
      <w:pPr>
        <w:rPr>
          <w:rFonts w:ascii="Songti SC" w:eastAsia="Songti SC" w:hAnsi="Songti SC"/>
          <w:sz w:val="18"/>
          <w:szCs w:val="18"/>
        </w:rPr>
      </w:pPr>
      <w:r>
        <w:rPr>
          <w:rFonts w:ascii="Songti SC" w:eastAsia="Songti SC" w:hAnsi="Songti SC"/>
          <w:sz w:val="18"/>
          <w:szCs w:val="18"/>
        </w:rPr>
        <w:t>[2]</w:t>
      </w:r>
      <w:r>
        <w:rPr>
          <w:rFonts w:ascii="Songti SC" w:eastAsia="Songti SC" w:hAnsi="Songti SC" w:hint="eastAsia"/>
          <w:sz w:val="18"/>
          <w:szCs w:val="18"/>
        </w:rPr>
        <w:t xml:space="preserve"> </w:t>
      </w:r>
      <w:r w:rsidRPr="00E54296">
        <w:rPr>
          <w:rFonts w:ascii="Songti SC" w:eastAsia="Songti SC" w:hAnsi="Songti SC"/>
          <w:sz w:val="18"/>
          <w:szCs w:val="18"/>
        </w:rPr>
        <w:t>王丽娜.IT企业薪酬管理的基本原则与策略[J].中国商贸,2012(29):86-87.</w:t>
      </w:r>
    </w:p>
    <w:p w:rsidR="00E54296" w:rsidRDefault="00E54296" w:rsidP="00576FCD">
      <w:pPr>
        <w:rPr>
          <w:rFonts w:ascii="Songti SC" w:eastAsia="Songti SC" w:hAnsi="Songti SC"/>
          <w:sz w:val="18"/>
          <w:szCs w:val="18"/>
        </w:rPr>
      </w:pPr>
      <w:r>
        <w:rPr>
          <w:rFonts w:ascii="Songti SC" w:eastAsia="Songti SC" w:hAnsi="Songti SC" w:hint="eastAsia"/>
          <w:sz w:val="18"/>
          <w:szCs w:val="18"/>
        </w:rPr>
        <w:t>[</w:t>
      </w:r>
      <w:r>
        <w:rPr>
          <w:rFonts w:ascii="Songti SC" w:eastAsia="Songti SC" w:hAnsi="Songti SC"/>
          <w:sz w:val="18"/>
          <w:szCs w:val="18"/>
        </w:rPr>
        <w:t>3]</w:t>
      </w:r>
      <w:r>
        <w:rPr>
          <w:rFonts w:ascii="Songti SC" w:eastAsia="Songti SC" w:hAnsi="Songti SC" w:hint="eastAsia"/>
          <w:sz w:val="18"/>
          <w:szCs w:val="18"/>
        </w:rPr>
        <w:t xml:space="preserve"> 张煜</w:t>
      </w:r>
      <w:r>
        <w:rPr>
          <w:rFonts w:ascii="Songti SC" w:eastAsia="Songti SC" w:hAnsi="Songti SC"/>
          <w:sz w:val="18"/>
          <w:szCs w:val="18"/>
        </w:rPr>
        <w:t>.</w:t>
      </w:r>
      <w:r w:rsidRPr="00E54296">
        <w:rPr>
          <w:rFonts w:ascii="Songti SC" w:eastAsia="Songti SC" w:hAnsi="Songti SC"/>
          <w:sz w:val="18"/>
          <w:szCs w:val="18"/>
        </w:rPr>
        <w:t>跨国I T企业的薪酬体系特点与分析</w:t>
      </w:r>
      <w:r>
        <w:rPr>
          <w:rFonts w:ascii="Songti SC" w:eastAsia="Songti SC" w:hAnsi="Songti SC"/>
          <w:sz w:val="18"/>
          <w:szCs w:val="18"/>
        </w:rPr>
        <w:t>[A].</w:t>
      </w:r>
      <w:r w:rsidRPr="00E54296">
        <w:t xml:space="preserve"> </w:t>
      </w:r>
      <w:r w:rsidRPr="00E54296">
        <w:rPr>
          <w:rFonts w:ascii="Songti SC" w:eastAsia="Songti SC" w:hAnsi="Songti SC"/>
          <w:sz w:val="18"/>
          <w:szCs w:val="18"/>
        </w:rPr>
        <w:t>1005 - 6432 (2010) 18 - 0043 - 03</w:t>
      </w:r>
    </w:p>
    <w:p w:rsidR="00587392" w:rsidRPr="00587392" w:rsidRDefault="00587392" w:rsidP="00587392">
      <w:pPr>
        <w:widowControl/>
        <w:jc w:val="left"/>
        <w:rPr>
          <w:rFonts w:ascii="Songti SC" w:eastAsia="Songti SC" w:hAnsi="Songti SC" w:cs="宋体"/>
          <w:kern w:val="0"/>
          <w:sz w:val="18"/>
          <w:szCs w:val="18"/>
        </w:rPr>
      </w:pPr>
      <w:r>
        <w:rPr>
          <w:rFonts w:ascii="Songti SC" w:eastAsia="Songti SC" w:hAnsi="Songti SC"/>
          <w:sz w:val="18"/>
          <w:szCs w:val="18"/>
        </w:rPr>
        <w:t>[4]</w:t>
      </w:r>
      <w:r w:rsidRPr="00587392">
        <w:rPr>
          <w:rFonts w:ascii="微软雅黑" w:eastAsia="微软雅黑" w:hAnsi="微软雅黑" w:hint="eastAsia"/>
          <w:color w:val="222222"/>
          <w:szCs w:val="21"/>
          <w:shd w:val="clear" w:color="auto" w:fill="FBFBFB"/>
        </w:rPr>
        <w:t xml:space="preserve"> </w:t>
      </w:r>
      <w:r w:rsidRPr="00587392">
        <w:rPr>
          <w:rFonts w:ascii="Songti SC" w:eastAsia="Songti SC" w:hAnsi="Songti SC" w:cs="宋体" w:hint="eastAsia"/>
          <w:color w:val="222222"/>
          <w:kern w:val="0"/>
          <w:sz w:val="18"/>
          <w:szCs w:val="18"/>
          <w:shd w:val="clear" w:color="auto" w:fill="FBFBFB"/>
        </w:rPr>
        <w:t>陈关聚, 冯宗宪. IT企业因素分值法岗位评估研究[J]. 首都经济贸易大学学报, 2002, 004(006):30-33.</w:t>
      </w:r>
    </w:p>
    <w:p w:rsidR="00587392" w:rsidRPr="00587392" w:rsidRDefault="00587392" w:rsidP="00587392">
      <w:pPr>
        <w:widowControl/>
        <w:jc w:val="left"/>
        <w:rPr>
          <w:rFonts w:ascii="Songti SC" w:eastAsia="Songti SC" w:hAnsi="Songti SC" w:cs="宋体"/>
          <w:kern w:val="0"/>
          <w:sz w:val="18"/>
          <w:szCs w:val="18"/>
        </w:rPr>
      </w:pPr>
      <w:r>
        <w:rPr>
          <w:rFonts w:ascii="Songti SC" w:eastAsia="Songti SC" w:hAnsi="Songti SC"/>
          <w:sz w:val="18"/>
          <w:szCs w:val="18"/>
        </w:rPr>
        <w:t>[5]</w:t>
      </w:r>
      <w:r w:rsidRPr="00587392">
        <w:rPr>
          <w:rFonts w:ascii="微软雅黑" w:eastAsia="微软雅黑" w:hAnsi="微软雅黑" w:hint="eastAsia"/>
          <w:color w:val="222222"/>
          <w:szCs w:val="21"/>
          <w:shd w:val="clear" w:color="auto" w:fill="FBFBFB"/>
        </w:rPr>
        <w:t xml:space="preserve"> </w:t>
      </w:r>
      <w:r w:rsidRPr="00587392">
        <w:rPr>
          <w:rFonts w:ascii="Songti SC" w:eastAsia="Songti SC" w:hAnsi="Songti SC" w:cs="宋体" w:hint="eastAsia"/>
          <w:color w:val="222222"/>
          <w:kern w:val="0"/>
          <w:sz w:val="18"/>
          <w:szCs w:val="18"/>
          <w:shd w:val="clear" w:color="auto" w:fill="FBFBFB"/>
        </w:rPr>
        <w:t>陈光珍, 杨伯元. 我国IT企业研发人员的薪酬现状及问题研究[J]. 集团经济研究, 2007(11Z):187-188.</w:t>
      </w:r>
    </w:p>
    <w:p w:rsidR="00E54296" w:rsidRPr="00587392" w:rsidRDefault="00E54296" w:rsidP="00576FCD">
      <w:pPr>
        <w:rPr>
          <w:rFonts w:ascii="Songti SC" w:eastAsia="Songti SC" w:hAnsi="Songti SC"/>
          <w:sz w:val="18"/>
          <w:szCs w:val="18"/>
        </w:rPr>
      </w:pPr>
    </w:p>
    <w:p w:rsidR="00576FCD" w:rsidRPr="00576FCD" w:rsidRDefault="00576FCD" w:rsidP="00576FCD">
      <w:pPr>
        <w:rPr>
          <w:rFonts w:ascii="Songti SC" w:eastAsia="Songti SC" w:hAnsi="Songti SC"/>
          <w:sz w:val="18"/>
          <w:szCs w:val="18"/>
        </w:rPr>
      </w:pPr>
    </w:p>
    <w:sectPr w:rsidR="00576FCD" w:rsidRPr="00576FCD" w:rsidSect="00A9217B">
      <w:type w:val="continuous"/>
      <w:pgSz w:w="11900" w:h="16840"/>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ongti SC">
    <w:panose1 w:val="02010600040101010101"/>
    <w:charset w:val="86"/>
    <w:family w:val="auto"/>
    <w:pitch w:val="variable"/>
    <w:sig w:usb0="00000287" w:usb1="080F0000" w:usb2="00000010" w:usb3="00000000" w:csb0="0004009F" w:csb1="00000000"/>
  </w:font>
  <w:font w:name="FangSong">
    <w:altName w:val="Cambria"/>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F6D36"/>
    <w:multiLevelType w:val="hybridMultilevel"/>
    <w:tmpl w:val="FC8E936E"/>
    <w:lvl w:ilvl="0" w:tplc="1C1A78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33"/>
    <w:rsid w:val="002C19FC"/>
    <w:rsid w:val="003A70DB"/>
    <w:rsid w:val="0040150E"/>
    <w:rsid w:val="004A6801"/>
    <w:rsid w:val="00576FCD"/>
    <w:rsid w:val="00587392"/>
    <w:rsid w:val="006C3184"/>
    <w:rsid w:val="006D1833"/>
    <w:rsid w:val="0078459C"/>
    <w:rsid w:val="0082330E"/>
    <w:rsid w:val="00865391"/>
    <w:rsid w:val="008F3474"/>
    <w:rsid w:val="009D1D40"/>
    <w:rsid w:val="00A66E81"/>
    <w:rsid w:val="00A9217B"/>
    <w:rsid w:val="00AF56CD"/>
    <w:rsid w:val="00B442D4"/>
    <w:rsid w:val="00C5143B"/>
    <w:rsid w:val="00CA7738"/>
    <w:rsid w:val="00E54296"/>
    <w:rsid w:val="00E75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931D"/>
  <w15:chartTrackingRefBased/>
  <w15:docId w15:val="{F8782F5B-FF24-404F-9571-37A4FED1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5391"/>
    <w:pPr>
      <w:widowControl/>
      <w:spacing w:before="100" w:beforeAutospacing="1" w:after="100" w:afterAutospacing="1"/>
      <w:jc w:val="left"/>
    </w:pPr>
    <w:rPr>
      <w:rFonts w:ascii="宋体" w:eastAsia="宋体" w:hAnsi="宋体" w:cs="宋体"/>
      <w:kern w:val="0"/>
      <w:sz w:val="24"/>
    </w:rPr>
  </w:style>
  <w:style w:type="table" w:styleId="a4">
    <w:name w:val="Table Grid"/>
    <w:basedOn w:val="a1"/>
    <w:uiPriority w:val="39"/>
    <w:rsid w:val="00A92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82330E"/>
    <w:pPr>
      <w:ind w:firstLineChars="200" w:firstLine="420"/>
    </w:pPr>
  </w:style>
  <w:style w:type="character" w:styleId="a6">
    <w:name w:val="Hyperlink"/>
    <w:basedOn w:val="a0"/>
    <w:uiPriority w:val="99"/>
    <w:unhideWhenUsed/>
    <w:rsid w:val="009D1D40"/>
    <w:rPr>
      <w:color w:val="0563C1" w:themeColor="hyperlink"/>
      <w:u w:val="single"/>
    </w:rPr>
  </w:style>
  <w:style w:type="character" w:styleId="a7">
    <w:name w:val="Unresolved Mention"/>
    <w:basedOn w:val="a0"/>
    <w:uiPriority w:val="99"/>
    <w:semiHidden/>
    <w:unhideWhenUsed/>
    <w:rsid w:val="009D1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403">
      <w:bodyDiv w:val="1"/>
      <w:marLeft w:val="0"/>
      <w:marRight w:val="0"/>
      <w:marTop w:val="0"/>
      <w:marBottom w:val="0"/>
      <w:divBdr>
        <w:top w:val="none" w:sz="0" w:space="0" w:color="auto"/>
        <w:left w:val="none" w:sz="0" w:space="0" w:color="auto"/>
        <w:bottom w:val="none" w:sz="0" w:space="0" w:color="auto"/>
        <w:right w:val="none" w:sz="0" w:space="0" w:color="auto"/>
      </w:divBdr>
    </w:div>
    <w:div w:id="458497138">
      <w:bodyDiv w:val="1"/>
      <w:marLeft w:val="0"/>
      <w:marRight w:val="0"/>
      <w:marTop w:val="0"/>
      <w:marBottom w:val="0"/>
      <w:divBdr>
        <w:top w:val="none" w:sz="0" w:space="0" w:color="auto"/>
        <w:left w:val="none" w:sz="0" w:space="0" w:color="auto"/>
        <w:bottom w:val="none" w:sz="0" w:space="0" w:color="auto"/>
        <w:right w:val="none" w:sz="0" w:space="0" w:color="auto"/>
      </w:divBdr>
    </w:div>
    <w:div w:id="619992480">
      <w:bodyDiv w:val="1"/>
      <w:marLeft w:val="0"/>
      <w:marRight w:val="0"/>
      <w:marTop w:val="0"/>
      <w:marBottom w:val="0"/>
      <w:divBdr>
        <w:top w:val="none" w:sz="0" w:space="0" w:color="auto"/>
        <w:left w:val="none" w:sz="0" w:space="0" w:color="auto"/>
        <w:bottom w:val="none" w:sz="0" w:space="0" w:color="auto"/>
        <w:right w:val="none" w:sz="0" w:space="0" w:color="auto"/>
      </w:divBdr>
    </w:div>
    <w:div w:id="1415782440">
      <w:bodyDiv w:val="1"/>
      <w:marLeft w:val="0"/>
      <w:marRight w:val="0"/>
      <w:marTop w:val="0"/>
      <w:marBottom w:val="0"/>
      <w:divBdr>
        <w:top w:val="none" w:sz="0" w:space="0" w:color="auto"/>
        <w:left w:val="none" w:sz="0" w:space="0" w:color="auto"/>
        <w:bottom w:val="none" w:sz="0" w:space="0" w:color="auto"/>
        <w:right w:val="none" w:sz="0" w:space="0" w:color="auto"/>
      </w:divBdr>
      <w:divsChild>
        <w:div w:id="1984306853">
          <w:marLeft w:val="300"/>
          <w:marRight w:val="0"/>
          <w:marTop w:val="225"/>
          <w:marBottom w:val="0"/>
          <w:divBdr>
            <w:top w:val="none" w:sz="0" w:space="0" w:color="auto"/>
            <w:left w:val="none" w:sz="0" w:space="0" w:color="auto"/>
            <w:bottom w:val="none" w:sz="0" w:space="0" w:color="auto"/>
            <w:right w:val="none" w:sz="0" w:space="0" w:color="auto"/>
          </w:divBdr>
        </w:div>
        <w:div w:id="1138298894">
          <w:marLeft w:val="300"/>
          <w:marRight w:val="0"/>
          <w:marTop w:val="225"/>
          <w:marBottom w:val="0"/>
          <w:divBdr>
            <w:top w:val="none" w:sz="0" w:space="0" w:color="auto"/>
            <w:left w:val="none" w:sz="0" w:space="0" w:color="auto"/>
            <w:bottom w:val="none" w:sz="0" w:space="0" w:color="auto"/>
            <w:right w:val="none" w:sz="0" w:space="0" w:color="auto"/>
          </w:divBdr>
        </w:div>
        <w:div w:id="1990939612">
          <w:marLeft w:val="300"/>
          <w:marRight w:val="0"/>
          <w:marTop w:val="225"/>
          <w:marBottom w:val="0"/>
          <w:divBdr>
            <w:top w:val="none" w:sz="0" w:space="0" w:color="auto"/>
            <w:left w:val="none" w:sz="0" w:space="0" w:color="auto"/>
            <w:bottom w:val="none" w:sz="0" w:space="0" w:color="auto"/>
            <w:right w:val="none" w:sz="0" w:space="0" w:color="auto"/>
          </w:divBdr>
        </w:div>
        <w:div w:id="943223487">
          <w:marLeft w:val="300"/>
          <w:marRight w:val="0"/>
          <w:marTop w:val="225"/>
          <w:marBottom w:val="0"/>
          <w:divBdr>
            <w:top w:val="none" w:sz="0" w:space="0" w:color="auto"/>
            <w:left w:val="none" w:sz="0" w:space="0" w:color="auto"/>
            <w:bottom w:val="none" w:sz="0" w:space="0" w:color="auto"/>
            <w:right w:val="none" w:sz="0" w:space="0" w:color="auto"/>
          </w:divBdr>
        </w:div>
        <w:div w:id="1160999162">
          <w:marLeft w:val="30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736187199@qq.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2021-04-02T00:02:00Z</dcterms:created>
  <dcterms:modified xsi:type="dcterms:W3CDTF">2021-04-07T14:06:00Z</dcterms:modified>
</cp:coreProperties>
</file>