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hint="default" w:ascii="黑体" w:hAnsi="黑体" w:eastAsia="黑体"/>
          <w:color w:val="FF0000"/>
          <w:sz w:val="36"/>
          <w:szCs w:val="36"/>
          <w:lang w:val="en-US" w:eastAsia="zh-CN"/>
        </w:rPr>
      </w:pPr>
      <w:r>
        <w:rPr>
          <w:rFonts w:hint="eastAsia" w:ascii="黑体" w:hAnsi="黑体" w:eastAsia="黑体"/>
          <w:sz w:val="32"/>
          <w:szCs w:val="32"/>
          <w:lang w:val="en-US" w:eastAsia="zh-CN"/>
        </w:rPr>
        <w:t>IT行业大学毕业生薪酬变化的数据分析</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司宇航</w:t>
      </w:r>
    </w:p>
    <w:p>
      <w:pPr>
        <w:spacing w:after="0" w:line="220" w:lineRule="atLeast"/>
        <w:rPr>
          <w:rFonts w:hint="default" w:ascii="宋体" w:hAnsi="宋体" w:eastAsia="宋体"/>
          <w:sz w:val="18"/>
          <w:szCs w:val="18"/>
          <w:vertAlign w:val="superscript"/>
          <w:lang w:val="en-US"/>
        </w:rPr>
      </w:pP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116024</w:t>
      </w:r>
    </w:p>
    <w:p>
      <w:pPr>
        <w:spacing w:after="0" w:line="220" w:lineRule="atLeast"/>
        <w:jc w:val="both"/>
        <w:rPr>
          <w:rFonts w:ascii="仿宋" w:hAnsi="仿宋" w:eastAsia="仿宋"/>
          <w:sz w:val="21"/>
          <w:szCs w:val="21"/>
        </w:rPr>
      </w:pPr>
    </w:p>
    <w:p>
      <w:pPr>
        <w:spacing w:before="180" w:beforeLines="50" w:after="180" w:afterLines="50" w:line="220" w:lineRule="atLeast"/>
        <w:rPr>
          <w:rFonts w:hint="default" w:ascii="仿宋" w:hAnsi="仿宋" w:eastAsia="仿宋" w:cs="仿宋"/>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仿宋"/>
          <w:sz w:val="18"/>
          <w:szCs w:val="18"/>
          <w:lang w:val="en-US" w:eastAsia="zh-CN"/>
        </w:rPr>
        <w:t>自从1946年第一台电子计算机诞生以来至今已经经历了七十多年，在这七十年间IT行业给我们的生活带来了翻天覆地的变化，这足以说明IT行业变化之迅速。生活节奏如此之快的今天，IT行业已经成了现今生活中必不可少的一部分。IT行业的发展前景也吸引力了大批的大学生选择IT行业作为自己未来的职业方向。IT行业是一个广泛的说法，包含从事信息的生产、流通和</w:t>
      </w: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"https://baike.baidu.com/item/%E9%94%80%E5%94%AE%E4%BF%A1%E6%81%AF/12745653" \t "https://baike.baidu.com/item/%E4%BF%A1%E6%81%AF%E6%8A%80%E6%9C%AF%E4%BA%A7%E4%B8%9A/_blank" </w:instrText>
      </w:r>
      <w:r>
        <w:rPr>
          <w:rFonts w:hint="eastAsia" w:ascii="仿宋" w:hAnsi="仿宋" w:eastAsia="仿宋" w:cs="仿宋"/>
          <w:sz w:val="18"/>
          <w:szCs w:val="18"/>
          <w:lang w:val="en-US" w:eastAsia="zh-CN"/>
        </w:rPr>
        <w:fldChar w:fldCharType="separate"/>
      </w:r>
      <w:r>
        <w:rPr>
          <w:rFonts w:hint="eastAsia" w:ascii="仿宋" w:hAnsi="仿宋" w:eastAsia="仿宋" w:cs="仿宋"/>
          <w:sz w:val="18"/>
          <w:szCs w:val="18"/>
          <w:lang w:val="en-US" w:eastAsia="zh-CN"/>
        </w:rPr>
        <w:t>销售信息</w:t>
      </w:r>
      <w:r>
        <w:rPr>
          <w:rFonts w:hint="eastAsia" w:ascii="仿宋" w:hAnsi="仿宋" w:eastAsia="仿宋" w:cs="仿宋"/>
          <w:sz w:val="18"/>
          <w:szCs w:val="18"/>
          <w:lang w:val="en-US" w:eastAsia="zh-CN"/>
        </w:rPr>
        <w:fldChar w:fldCharType="end"/>
      </w:r>
      <w:r>
        <w:rPr>
          <w:rFonts w:hint="eastAsia" w:ascii="仿宋" w:hAnsi="仿宋" w:eastAsia="仿宋" w:cs="仿宋"/>
          <w:sz w:val="18"/>
          <w:szCs w:val="18"/>
          <w:lang w:val="en-US" w:eastAsia="zh-CN"/>
        </w:rPr>
        <w:t>以及利用信息提供服务的产业部门，涉及到各行各业，子产业之间因工作性质的不同，薪酬水平参差不齐。通过查询薪酬网和国研网提供的数据对IT行业近年来的具有代表性的几个专业的大学毕业生的薪酬进行分析以对大学生选择就业城市，就业方向等等提供参考。</w:t>
      </w:r>
    </w:p>
    <w:p>
      <w:pPr>
        <w:spacing w:before="180" w:beforeLines="50" w:after="180" w:afterLines="50" w:line="220" w:lineRule="atLeast"/>
        <w:rPr>
          <w:rFonts w:hint="eastAsia" w:ascii="宋体" w:hAnsi="宋体" w:eastAsia="宋体"/>
          <w:sz w:val="18"/>
          <w:szCs w:val="18"/>
          <w:lang w:val="en-US" w:eastAsia="zh-CN"/>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w:t>
      </w:r>
      <w:r>
        <w:rPr>
          <w:rFonts w:hint="eastAsia" w:ascii="宋体" w:hAnsi="宋体" w:eastAsia="宋体"/>
          <w:sz w:val="18"/>
          <w:szCs w:val="18"/>
        </w:rPr>
        <w:t>；</w:t>
      </w:r>
      <w:r>
        <w:rPr>
          <w:rFonts w:hint="eastAsia" w:ascii="宋体" w:hAnsi="宋体" w:eastAsia="宋体"/>
          <w:sz w:val="18"/>
          <w:szCs w:val="18"/>
          <w:lang w:val="en-US" w:eastAsia="zh-CN"/>
        </w:rPr>
        <w:t>薪酬变化</w:t>
      </w:r>
      <w:r>
        <w:rPr>
          <w:rFonts w:hint="eastAsia" w:ascii="宋体" w:hAnsi="宋体" w:eastAsia="宋体"/>
          <w:sz w:val="18"/>
          <w:szCs w:val="18"/>
        </w:rPr>
        <w:t>；</w:t>
      </w:r>
      <w:r>
        <w:rPr>
          <w:rFonts w:hint="eastAsia" w:ascii="宋体" w:hAnsi="宋体" w:eastAsia="宋体"/>
          <w:sz w:val="18"/>
          <w:szCs w:val="18"/>
          <w:lang w:val="en-US" w:eastAsia="zh-CN"/>
        </w:rPr>
        <w:t>大学生。</w:t>
      </w:r>
    </w:p>
    <w:p>
      <w:pPr>
        <w:pStyle w:val="10"/>
        <w:ind w:left="106" w:hanging="106"/>
        <w:rPr>
          <w:b/>
        </w:rPr>
      </w:pPr>
      <w:r>
        <w:rPr>
          <w:rFonts w:hint="eastAsia"/>
          <w:b/>
        </w:rPr>
        <w:t xml:space="preserve">    </w:t>
      </w:r>
    </w:p>
    <w:p>
      <w:pPr>
        <w:pStyle w:val="10"/>
        <w:numPr>
          <w:ilvl w:val="0"/>
          <w:numId w:val="1"/>
        </w:numPr>
        <w:ind w:firstLineChars="0"/>
        <w:rPr>
          <w:rFonts w:ascii="黑体" w:hAnsi="黑体" w:eastAsia="黑体"/>
          <w:color w:val="FF0000"/>
          <w:sz w:val="21"/>
          <w:szCs w:val="21"/>
        </w:rPr>
        <w:sectPr>
          <w:headerReference r:id="rId3" w:type="first"/>
          <w:footerReference r:id="rId5" w:type="first"/>
          <w:footerReference r:id="rId4" w:type="default"/>
          <w:pgSz w:w="11906" w:h="16838"/>
          <w:pgMar w:top="1440" w:right="1800" w:bottom="1440" w:left="1800" w:header="708" w:footer="708" w:gutter="0"/>
          <w:cols w:space="720" w:num="1"/>
          <w:titlePg/>
          <w:docGrid w:type="lines" w:linePitch="360" w:charSpace="0"/>
        </w:sectPr>
      </w:pPr>
    </w:p>
    <w:p>
      <w:pPr>
        <w:pStyle w:val="2"/>
        <w:numPr>
          <w:ilvl w:val="0"/>
          <w:numId w:val="1"/>
        </w:numPr>
      </w:pPr>
      <w:r>
        <w:rPr>
          <w:rFonts w:hint="eastAsia" w:ascii="黑体" w:hAnsi="黑体" w:eastAsia="黑体"/>
          <w:szCs w:val="21"/>
          <w:lang w:val="en-US" w:eastAsia="zh-CN"/>
        </w:rPr>
        <w:t>引言</w:t>
      </w:r>
    </w:p>
    <w:p>
      <w:pPr>
        <w:pStyle w:val="2"/>
        <w:numPr>
          <w:ilvl w:val="0"/>
          <w:numId w:val="0"/>
        </w:numPr>
        <w:ind w:leftChars="0" w:firstLine="420" w:firstLineChars="0"/>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IT行业又名信息技术产业，它是运用信息手段和技术，收集、整理、储存、传递信息</w:t>
      </w:r>
      <w:r>
        <w:rPr>
          <w:rFonts w:hint="eastAsia" w:ascii="宋体" w:hAnsi="宋体" w:eastAsia="宋体" w:cs="宋体"/>
          <w:sz w:val="18"/>
          <w:szCs w:val="21"/>
          <w:lang w:val="en-US" w:eastAsia="zh-CN"/>
        </w:rPr>
        <w:fldChar w:fldCharType="begin"/>
      </w:r>
      <w:r>
        <w:rPr>
          <w:rFonts w:hint="eastAsia" w:ascii="宋体" w:hAnsi="宋体" w:eastAsia="宋体" w:cs="宋体"/>
          <w:sz w:val="18"/>
          <w:szCs w:val="21"/>
          <w:lang w:val="en-US" w:eastAsia="zh-CN"/>
        </w:rPr>
        <w:instrText xml:space="preserve"> HYPERLINK "https://baike.baidu.com/item/%E6%83%85%E6%8A%A5/74476" \t "https://baike.baidu.com/item/%E4%BF%A1%E6%81%AF%E6%8A%80%E6%9C%AF%E4%BA%A7%E4%B8%9A/_blank" </w:instrText>
      </w:r>
      <w:r>
        <w:rPr>
          <w:rFonts w:hint="eastAsia" w:ascii="宋体" w:hAnsi="宋体" w:eastAsia="宋体" w:cs="宋体"/>
          <w:sz w:val="18"/>
          <w:szCs w:val="21"/>
          <w:lang w:val="en-US" w:eastAsia="zh-CN"/>
        </w:rPr>
        <w:fldChar w:fldCharType="separate"/>
      </w:r>
      <w:r>
        <w:rPr>
          <w:rFonts w:hint="eastAsia" w:ascii="宋体" w:hAnsi="宋体" w:eastAsia="宋体" w:cs="宋体"/>
          <w:sz w:val="18"/>
          <w:szCs w:val="21"/>
          <w:lang w:val="en-US" w:eastAsia="zh-CN"/>
        </w:rPr>
        <w:t>情报</w:t>
      </w:r>
      <w:r>
        <w:rPr>
          <w:rFonts w:hint="eastAsia" w:ascii="宋体" w:hAnsi="宋体" w:eastAsia="宋体" w:cs="宋体"/>
          <w:sz w:val="18"/>
          <w:szCs w:val="21"/>
          <w:lang w:val="en-US" w:eastAsia="zh-CN"/>
        </w:rPr>
        <w:fldChar w:fldCharType="end"/>
      </w:r>
      <w:r>
        <w:rPr>
          <w:rFonts w:hint="eastAsia" w:ascii="宋体" w:hAnsi="宋体" w:eastAsia="宋体" w:cs="宋体"/>
          <w:sz w:val="18"/>
          <w:szCs w:val="21"/>
          <w:lang w:val="en-US" w:eastAsia="zh-CN"/>
        </w:rPr>
        <w:t>，提供信息服务，并提供相应的信息手段、</w:t>
      </w:r>
      <w:r>
        <w:rPr>
          <w:rFonts w:hint="eastAsia" w:ascii="宋体" w:hAnsi="宋体" w:eastAsia="宋体" w:cs="宋体"/>
          <w:sz w:val="18"/>
          <w:szCs w:val="21"/>
          <w:lang w:val="en-US" w:eastAsia="zh-CN"/>
        </w:rPr>
        <w:fldChar w:fldCharType="begin"/>
      </w:r>
      <w:r>
        <w:rPr>
          <w:rFonts w:hint="eastAsia" w:ascii="宋体" w:hAnsi="宋体" w:eastAsia="宋体" w:cs="宋体"/>
          <w:sz w:val="18"/>
          <w:szCs w:val="21"/>
          <w:lang w:val="en-US" w:eastAsia="zh-CN"/>
        </w:rPr>
        <w:instrText xml:space="preserve"> HYPERLINK "https://baike.baidu.com/item/%E4%BF%A1%E6%81%AF%E6%8A%80%E6%9C%AF/138928" \t "https://baike.baidu.com/item/%E4%BF%A1%E6%81%AF%E6%8A%80%E6%9C%AF%E4%BA%A7%E4%B8%9A/_blank" </w:instrText>
      </w:r>
      <w:r>
        <w:rPr>
          <w:rFonts w:hint="eastAsia" w:ascii="宋体" w:hAnsi="宋体" w:eastAsia="宋体" w:cs="宋体"/>
          <w:sz w:val="18"/>
          <w:szCs w:val="21"/>
          <w:lang w:val="en-US" w:eastAsia="zh-CN"/>
        </w:rPr>
        <w:fldChar w:fldCharType="separate"/>
      </w:r>
      <w:r>
        <w:rPr>
          <w:rFonts w:hint="eastAsia" w:ascii="宋体" w:hAnsi="宋体" w:eastAsia="宋体" w:cs="宋体"/>
          <w:sz w:val="18"/>
          <w:szCs w:val="21"/>
          <w:lang w:val="en-US" w:eastAsia="zh-CN"/>
        </w:rPr>
        <w:t>信息技术</w:t>
      </w:r>
      <w:r>
        <w:rPr>
          <w:rFonts w:hint="eastAsia" w:ascii="宋体" w:hAnsi="宋体" w:eastAsia="宋体" w:cs="宋体"/>
          <w:sz w:val="18"/>
          <w:szCs w:val="21"/>
          <w:lang w:val="en-US" w:eastAsia="zh-CN"/>
        </w:rPr>
        <w:fldChar w:fldCharType="end"/>
      </w:r>
      <w:r>
        <w:rPr>
          <w:rFonts w:hint="eastAsia" w:ascii="宋体" w:hAnsi="宋体" w:eastAsia="宋体" w:cs="宋体"/>
          <w:sz w:val="18"/>
          <w:szCs w:val="21"/>
          <w:lang w:val="en-US" w:eastAsia="zh-CN"/>
        </w:rPr>
        <w:t>等服务的产业。作为极具发展前景的行业，IT行业吸引了一大批优秀的高中毕业生选择了与IT行业相关的专业作为自己的专业方向以期毕业后能够获得高薪。由于IT行业在各行各业中都得到了广泛应用，涉及到的专业相当多，因此我们只选取了近几年计算机大类和电子信息大类中几个具有代表性的专业具体方向毕业生的薪酬变化进行分析。</w:t>
      </w:r>
    </w:p>
    <w:p>
      <w:pPr>
        <w:pStyle w:val="2"/>
        <w:numPr>
          <w:ilvl w:val="0"/>
          <w:numId w:val="1"/>
        </w:numPr>
        <w:rPr>
          <w:rFonts w:hint="eastAsia" w:ascii="黑体" w:hAnsi="黑体" w:eastAsia="黑体"/>
          <w:szCs w:val="21"/>
          <w:lang w:val="en-US" w:eastAsia="zh-CN"/>
        </w:rPr>
      </w:pPr>
      <w:r>
        <w:rPr>
          <w:rFonts w:hint="eastAsia" w:ascii="黑体" w:hAnsi="黑体" w:eastAsia="黑体"/>
          <w:szCs w:val="21"/>
          <w:lang w:val="en-US" w:eastAsia="zh-CN"/>
        </w:rPr>
        <w:t>IT行业劳动者薪酬变化分析</w:t>
      </w:r>
    </w:p>
    <w:p>
      <w:pPr>
        <w:pStyle w:val="2"/>
        <w:numPr>
          <w:ilvl w:val="0"/>
          <w:numId w:val="0"/>
        </w:numPr>
        <w:ind w:firstLine="42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二十一世纪以来互联网的飞速发展为IT行业带来巨大的机遇，但是由于行业发展的时间尚短，IT行业严重缺少劳动者，特别是能力强的从业者引领行业的发展。除此之外，IT行业作为一个新兴的行业，对从事行业所需要的技术熟练掌握的劳动者并不多。正是因为这两方面的原因所以才会有IT行业从业者薪酬高的现象，但是并不是所有的行业都有丰厚的报酬。图一所示是IT行业从业者的劳动者的总计薪酬与从业人数。从图中可以看到，总体上来看，IT行业从业者的薪酬总数逐年增加，而且除了2014年到2015年涨幅较小之外，从业者的薪酬总数出现了明显的增长，特别是近年来，涨幅在原来增长的基础上还要更大。相较于从业者薪酬总值来说，IT行业从业者虽然也在逐年增加，但是其增长速度与薪酬总值的增长相比几乎可以忽略。</w:t>
      </w:r>
    </w:p>
    <w:p>
      <w:pPr>
        <w:pStyle w:val="2"/>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2079625" cy="1155700"/>
            <wp:effectExtent l="0" t="0" r="3175" b="0"/>
            <wp:docPr id="7" name="图片 7" descr="echa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charts (1)"/>
                    <pic:cNvPicPr>
                      <a:picLocks noChangeAspect="1"/>
                    </pic:cNvPicPr>
                  </pic:nvPicPr>
                  <pic:blipFill>
                    <a:blip r:embed="rId8"/>
                    <a:stretch>
                      <a:fillRect/>
                    </a:stretch>
                  </pic:blipFill>
                  <pic:spPr>
                    <a:xfrm>
                      <a:off x="0" y="0"/>
                      <a:ext cx="2079625" cy="1155700"/>
                    </a:xfrm>
                    <a:prstGeom prst="rect">
                      <a:avLst/>
                    </a:prstGeom>
                  </pic:spPr>
                </pic:pic>
              </a:graphicData>
            </a:graphic>
          </wp:inline>
        </w:drawing>
      </w:r>
    </w:p>
    <w:p>
      <w:pPr>
        <w:pStyle w:val="2"/>
        <w:numPr>
          <w:ilvl w:val="0"/>
          <w:numId w:val="0"/>
        </w:numPr>
        <w:jc w:val="center"/>
        <w:rPr>
          <w:rFonts w:hint="default" w:ascii="宋体" w:hAnsi="宋体" w:cs="宋体"/>
          <w:sz w:val="15"/>
          <w:szCs w:val="15"/>
          <w:lang w:val="en-US" w:eastAsia="zh-CN"/>
        </w:rPr>
      </w:pPr>
      <w:r>
        <w:rPr>
          <w:rFonts w:hint="eastAsia" w:ascii="宋体" w:hAnsi="宋体" w:cs="宋体"/>
          <w:sz w:val="15"/>
          <w:szCs w:val="15"/>
          <w:lang w:val="en-US" w:eastAsia="zh-CN"/>
        </w:rPr>
        <w:t>图1 2005-2018年IT行业劳动者薪酬与从业者数量[3]</w:t>
      </w:r>
    </w:p>
    <w:p>
      <w:pPr>
        <w:pStyle w:val="2"/>
        <w:numPr>
          <w:ilvl w:val="0"/>
          <w:numId w:val="0"/>
        </w:numPr>
        <w:jc w:val="cente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Figure 1 The salaries of IT workers and the number of IT practitioners from 2005 to 2018</w:t>
      </w:r>
    </w:p>
    <w:p>
      <w:pPr>
        <w:pStyle w:val="2"/>
        <w:numPr>
          <w:ilvl w:val="0"/>
          <w:numId w:val="0"/>
        </w:numPr>
        <w:ind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虽然说劳动者薪酬总值的增长也与我国的经济发展状况有关，但与其他行业对比来说IT行业从业者薪酬还是比较高的。总的来说，预计接下来的几年中，IT行业从业者的薪酬仍会持续增长，相关专业的毕业生可以在毕业后从事相关工作。</w:t>
      </w:r>
    </w:p>
    <w:p>
      <w:pPr>
        <w:pStyle w:val="2"/>
        <w:numPr>
          <w:ilvl w:val="0"/>
          <w:numId w:val="1"/>
        </w:numPr>
        <w:rPr>
          <w:rFonts w:hint="eastAsia" w:ascii="黑体" w:hAnsi="黑体" w:eastAsia="黑体"/>
          <w:szCs w:val="21"/>
          <w:lang w:val="en-US" w:eastAsia="zh-CN"/>
        </w:rPr>
      </w:pPr>
      <w:r>
        <w:rPr>
          <w:rFonts w:hint="eastAsia" w:ascii="黑体" w:hAnsi="黑体" w:eastAsia="黑体"/>
          <w:szCs w:val="21"/>
          <w:lang w:val="en-US" w:eastAsia="zh-CN"/>
        </w:rPr>
        <w:t>IT行业不同专业毕业生薪酬变化分析</w:t>
      </w:r>
    </w:p>
    <w:p>
      <w:pPr>
        <w:pStyle w:val="2"/>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cs="宋体"/>
          <w:sz w:val="18"/>
          <w:szCs w:val="18"/>
          <w:lang w:val="en-US" w:eastAsia="zh-CN"/>
        </w:rPr>
        <w:t>图2给出了2020年大学毕业生部分专业薪酬排行榜，可以看到排名最高的几个专业方向：软件工程专业、计算机科学与技术专业、电子信息科技与技术专业、电子信息工程专业都是与IT行业有密切联系的专业。由此看来，在IT行业的相关专业中软件工程专业方向薪资最高。出现这种情况的原因可能是，软件工程专业的技术含量比较高。软件工程专业不仅要掌握当下主流的几种语言，还要对计算机的底层结构有相当的了解。除此之外，由于人们对软件的各种需求要求越来越高，软件开发人员的工作难度也越来越大。</w:t>
      </w:r>
    </w:p>
    <w:p>
      <w:pPr>
        <w:pStyle w:val="2"/>
        <w:numPr>
          <w:ilvl w:val="0"/>
          <w:numId w:val="0"/>
        </w:numPr>
        <w:jc w:val="center"/>
      </w:pPr>
      <w:r>
        <w:drawing>
          <wp:inline distT="0" distB="0" distL="114300" distR="114300">
            <wp:extent cx="2409190" cy="1564005"/>
            <wp:effectExtent l="0" t="0" r="3810" b="1079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2409190" cy="1564005"/>
                    </a:xfrm>
                    <a:prstGeom prst="rect">
                      <a:avLst/>
                    </a:prstGeom>
                    <a:noFill/>
                    <a:ln>
                      <a:noFill/>
                    </a:ln>
                  </pic:spPr>
                </pic:pic>
              </a:graphicData>
            </a:graphic>
          </wp:inline>
        </w:drawing>
      </w:r>
    </w:p>
    <w:p>
      <w:pPr>
        <w:pStyle w:val="2"/>
        <w:numPr>
          <w:ilvl w:val="0"/>
          <w:numId w:val="0"/>
        </w:numPr>
        <w:jc w:val="center"/>
        <w:rPr>
          <w:rFonts w:hint="default"/>
          <w:sz w:val="15"/>
          <w:szCs w:val="18"/>
          <w:lang w:val="en-US" w:eastAsia="zh-CN"/>
        </w:rPr>
      </w:pPr>
      <w:r>
        <w:rPr>
          <w:rFonts w:hint="eastAsia"/>
          <w:sz w:val="15"/>
          <w:szCs w:val="18"/>
          <w:lang w:val="en-US" w:eastAsia="zh-CN"/>
        </w:rPr>
        <w:t>图2 2020年收入最高的大学专业薪酬排行榜TOP10[4]</w:t>
      </w:r>
    </w:p>
    <w:p>
      <w:pPr>
        <w:pStyle w:val="2"/>
        <w:numPr>
          <w:ilvl w:val="0"/>
          <w:numId w:val="0"/>
        </w:numPr>
        <w:jc w:val="center"/>
        <w:rPr>
          <w:rFonts w:hint="eastAsia"/>
          <w:sz w:val="15"/>
          <w:szCs w:val="18"/>
          <w:lang w:val="en-US" w:eastAsia="zh-CN"/>
        </w:rPr>
      </w:pPr>
      <w:r>
        <w:rPr>
          <w:rFonts w:hint="eastAsia"/>
          <w:sz w:val="15"/>
          <w:szCs w:val="18"/>
          <w:lang w:val="en-US" w:eastAsia="zh-CN"/>
        </w:rPr>
        <w:t>Figure 2. Top 10 Salaries of Highest College Majors in 2020</w:t>
      </w:r>
    </w:p>
    <w:p>
      <w:pPr>
        <w:pStyle w:val="2"/>
        <w:numPr>
          <w:ilvl w:val="0"/>
          <w:numId w:val="0"/>
        </w:numPr>
        <w:ind w:firstLine="420" w:firstLineChars="0"/>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IT行业从业者薪酬的高低除了与专业类别相关之外，还与其他因素有关。IT行业由于工作强度大,压力高、加班多等特点,女性在II行业的从业人数一直比男性低,并且收入远低于男性；尽管性别对薪酬会有影响,不过对个人薪酬起决定作用的还是工作年限和学历；除了电子与微电子行业从业者的薪资随工作年限逐年增加之外，对于程序员以及大部分的IT行业从业者来说，从业年限与薪资的高低往往呈现倒V字结构；学历对lT行业薪酬的总体影响趋势是,硕士与本科差距大,MBA普遍较高,博士在个别行业收人最高[1]。</w:t>
      </w:r>
    </w:p>
    <w:p>
      <w:pPr>
        <w:pStyle w:val="2"/>
        <w:numPr>
          <w:ilvl w:val="0"/>
          <w:numId w:val="0"/>
        </w:numPr>
        <w:ind w:firstLine="420" w:firstLineChars="0"/>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大学毕业生薪资除了与行业相关，不同的城市对于相同的行业薪资水平也不相同。表1展示了2020年城市工资排行榜前五的城市薪资水平。表2展示了2020年城市工资排行榜前五的城市薪资水平。从表中可以看到，2019年和2020年北京市和上海市的薪资水平远比其他城市要高，这是经济发展水平的原因。并且19年的薪资明显没有20年的高，大概是19年经济发展受到了疫情的影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
        <w:gridCol w:w="687"/>
        <w:gridCol w:w="687"/>
        <w:gridCol w:w="687"/>
        <w:gridCol w:w="687"/>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78"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城市</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北京</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上海</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杭州</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深圳</w:t>
            </w:r>
          </w:p>
        </w:tc>
        <w:tc>
          <w:tcPr>
            <w:tcW w:w="689"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578"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2020</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9603.0</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8633.8</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7699.5</w:t>
            </w:r>
          </w:p>
        </w:tc>
        <w:tc>
          <w:tcPr>
            <w:tcW w:w="687"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7671.5</w:t>
            </w:r>
          </w:p>
        </w:tc>
        <w:tc>
          <w:tcPr>
            <w:tcW w:w="689" w:type="dxa"/>
            <w:tcBorders>
              <w:left w:val="nil"/>
              <w:right w:val="nil"/>
            </w:tcBorders>
          </w:tcPr>
          <w:p>
            <w:pPr>
              <w:widowControl w:val="0"/>
              <w:overflowPunct w:val="0"/>
              <w:jc w:val="center"/>
              <w:rPr>
                <w:rFonts w:hint="default" w:ascii="Times New Roman" w:hAnsi="Times New Roman" w:eastAsia="仿宋" w:cs="Times New Roman"/>
                <w:sz w:val="15"/>
                <w:szCs w:val="15"/>
                <w:lang w:val="en-US" w:eastAsia="zh-CN"/>
              </w:rPr>
            </w:pPr>
            <w:r>
              <w:rPr>
                <w:rFonts w:hint="eastAsia" w:ascii="Times New Roman" w:hAnsi="Times New Roman" w:eastAsia="仿宋" w:cs="Times New Roman"/>
                <w:sz w:val="15"/>
                <w:szCs w:val="15"/>
                <w:lang w:val="en-US" w:eastAsia="zh-CN"/>
              </w:rPr>
              <w:t>6939.7</w:t>
            </w:r>
          </w:p>
        </w:tc>
      </w:tr>
    </w:tbl>
    <w:p>
      <w:pPr>
        <w:pStyle w:val="2"/>
        <w:numPr>
          <w:ilvl w:val="0"/>
          <w:numId w:val="0"/>
        </w:numPr>
        <w:ind w:firstLine="420" w:firstLineChars="0"/>
        <w:jc w:val="center"/>
        <w:rPr>
          <w:rFonts w:hint="default"/>
          <w:sz w:val="15"/>
          <w:szCs w:val="18"/>
          <w:lang w:val="en-US" w:eastAsia="zh-CN"/>
        </w:rPr>
      </w:pPr>
      <w:r>
        <w:rPr>
          <w:rFonts w:hint="eastAsia"/>
          <w:sz w:val="15"/>
          <w:szCs w:val="18"/>
          <w:lang w:val="en-US" w:eastAsia="zh-CN"/>
        </w:rPr>
        <w:t>表1 2020年主要城市工资排行榜[5]</w:t>
      </w:r>
    </w:p>
    <w:p>
      <w:pPr>
        <w:pStyle w:val="2"/>
        <w:numPr>
          <w:ilvl w:val="0"/>
          <w:numId w:val="0"/>
        </w:numPr>
        <w:ind w:firstLine="420" w:firstLineChars="0"/>
        <w:jc w:val="center"/>
        <w:rPr>
          <w:rFonts w:hint="default"/>
          <w:sz w:val="15"/>
          <w:szCs w:val="18"/>
          <w:lang w:val="en-US" w:eastAsia="zh-CN"/>
        </w:rPr>
      </w:pPr>
      <w:r>
        <w:rPr>
          <w:rFonts w:hint="default"/>
          <w:sz w:val="15"/>
          <w:szCs w:val="18"/>
          <w:lang w:val="en-US" w:eastAsia="zh-CN"/>
        </w:rPr>
        <w:t>Table 1 Major cities' salary ranking in 2020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669"/>
        <w:gridCol w:w="669"/>
        <w:gridCol w:w="669"/>
        <w:gridCol w:w="669"/>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城市</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北京</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上海</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深圳</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杭州</w:t>
            </w:r>
          </w:p>
        </w:tc>
        <w:tc>
          <w:tcPr>
            <w:tcW w:w="670"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2019</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8749.5</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8163.6</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7237.2</w:t>
            </w:r>
          </w:p>
        </w:tc>
        <w:tc>
          <w:tcPr>
            <w:tcW w:w="669"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7232.9</w:t>
            </w:r>
          </w:p>
        </w:tc>
        <w:tc>
          <w:tcPr>
            <w:tcW w:w="670" w:type="dxa"/>
            <w:tcBorders>
              <w:left w:val="nil"/>
              <w:right w:val="nil"/>
            </w:tcBorders>
          </w:tcPr>
          <w:p>
            <w:pPr>
              <w:pStyle w:val="2"/>
              <w:numPr>
                <w:ilvl w:val="0"/>
                <w:numId w:val="0"/>
              </w:numPr>
              <w:jc w:val="center"/>
              <w:rPr>
                <w:rFonts w:hint="default"/>
                <w:sz w:val="15"/>
                <w:szCs w:val="18"/>
                <w:vertAlign w:val="baseline"/>
                <w:lang w:val="en-US" w:eastAsia="zh-CN"/>
              </w:rPr>
            </w:pPr>
            <w:r>
              <w:rPr>
                <w:rFonts w:hint="eastAsia"/>
                <w:sz w:val="15"/>
                <w:szCs w:val="18"/>
                <w:vertAlign w:val="baseline"/>
                <w:lang w:val="en-US" w:eastAsia="zh-CN"/>
              </w:rPr>
              <w:t>6600.2</w:t>
            </w:r>
          </w:p>
        </w:tc>
      </w:tr>
    </w:tbl>
    <w:p>
      <w:pPr>
        <w:pStyle w:val="2"/>
        <w:numPr>
          <w:ilvl w:val="0"/>
          <w:numId w:val="0"/>
        </w:numPr>
        <w:ind w:firstLine="420" w:firstLineChars="0"/>
        <w:jc w:val="center"/>
        <w:rPr>
          <w:rFonts w:hint="default"/>
          <w:sz w:val="15"/>
          <w:szCs w:val="18"/>
          <w:lang w:val="en-US" w:eastAsia="zh-CN"/>
        </w:rPr>
      </w:pPr>
      <w:r>
        <w:rPr>
          <w:rFonts w:hint="eastAsia"/>
          <w:sz w:val="15"/>
          <w:szCs w:val="18"/>
          <w:lang w:val="en-US" w:eastAsia="zh-CN"/>
        </w:rPr>
        <w:t>表2 2019年主要城市工资排行榜[6]</w:t>
      </w:r>
    </w:p>
    <w:p>
      <w:pPr>
        <w:pStyle w:val="2"/>
        <w:numPr>
          <w:ilvl w:val="0"/>
          <w:numId w:val="0"/>
        </w:numPr>
        <w:ind w:firstLine="420" w:firstLineChars="0"/>
        <w:jc w:val="center"/>
        <w:rPr>
          <w:rFonts w:hint="default"/>
          <w:sz w:val="15"/>
          <w:szCs w:val="18"/>
          <w:lang w:val="en-US" w:eastAsia="zh-CN"/>
        </w:rPr>
      </w:pPr>
      <w:r>
        <w:rPr>
          <w:rFonts w:hint="default"/>
          <w:sz w:val="15"/>
          <w:szCs w:val="18"/>
          <w:lang w:val="en-US" w:eastAsia="zh-CN"/>
        </w:rPr>
        <w:t>Table 1 Major cities' salary ranking in 20</w:t>
      </w:r>
      <w:r>
        <w:rPr>
          <w:rFonts w:hint="eastAsia"/>
          <w:sz w:val="15"/>
          <w:szCs w:val="18"/>
          <w:lang w:val="en-US" w:eastAsia="zh-CN"/>
        </w:rPr>
        <w:t>19</w:t>
      </w:r>
    </w:p>
    <w:p>
      <w:pPr>
        <w:pStyle w:val="2"/>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cs="宋体"/>
          <w:sz w:val="18"/>
          <w:szCs w:val="18"/>
          <w:lang w:val="en-US" w:eastAsia="zh-CN"/>
        </w:rPr>
        <w:t>总的来说，经济发展水平较好的城市毕业生薪资</w:t>
      </w:r>
      <w:bookmarkStart w:id="0" w:name="_GoBack"/>
      <w:bookmarkEnd w:id="0"/>
      <w:r>
        <w:rPr>
          <w:rFonts w:hint="eastAsia" w:ascii="宋体" w:hAnsi="宋体" w:cs="宋体"/>
          <w:sz w:val="18"/>
          <w:szCs w:val="18"/>
          <w:lang w:val="en-US" w:eastAsia="zh-CN"/>
        </w:rPr>
        <w:t>明显也比其他城市要高，毕业生可以参考城市的经济发展水平来衡量薪资水平。</w:t>
      </w:r>
    </w:p>
    <w:p>
      <w:pPr>
        <w:pStyle w:val="2"/>
        <w:numPr>
          <w:ilvl w:val="0"/>
          <w:numId w:val="1"/>
        </w:numPr>
      </w:pPr>
      <w:r>
        <w:rPr>
          <w:rFonts w:hint="eastAsia" w:ascii="黑体" w:hAnsi="黑体" w:eastAsia="黑体"/>
          <w:szCs w:val="21"/>
          <w:lang w:val="en-US" w:eastAsia="zh-CN"/>
        </w:rPr>
        <w:t>结论</w:t>
      </w:r>
    </w:p>
    <w:p>
      <w:pPr>
        <w:pStyle w:val="2"/>
        <w:numPr>
          <w:ilvl w:val="0"/>
          <w:numId w:val="0"/>
        </w:numPr>
        <w:ind w:firstLine="420" w:firstLineChars="0"/>
        <w:jc w:val="left"/>
        <w:rPr>
          <w:rFonts w:hint="default" w:ascii="宋体" w:hAnsi="宋体" w:cs="宋体"/>
          <w:sz w:val="18"/>
          <w:szCs w:val="18"/>
          <w:lang w:val="en-US" w:eastAsia="zh-CN"/>
        </w:rPr>
      </w:pPr>
      <w:r>
        <w:rPr>
          <w:rFonts w:hint="eastAsia" w:ascii="宋体" w:hAnsi="宋体" w:cs="宋体"/>
          <w:sz w:val="18"/>
          <w:szCs w:val="18"/>
          <w:lang w:val="en-US" w:eastAsia="zh-CN"/>
        </w:rPr>
        <w:t>从IT行业从业者2005-2018年的薪酬总数和从业者数量来看，IT行业在接下来的几年中，仍然具有可观的发展前景，并且薪资可能还会持续增长。但是对于应届毕业生来说，如果追求高薪资可以考虑到经济发展水平比较高的城市寻找工作，并且在工作中积累经验，提升自己。总体来讲虽然整个IT行业的薪酬水平稳步有升，但是决定从业者高薪与否的关键因素仍然在工作经验、技能水平和专业领域方面有着决定性的作用[2]。</w:t>
      </w:r>
    </w:p>
    <w:p>
      <w:pPr>
        <w:pStyle w:val="11"/>
        <w:spacing w:line="240" w:lineRule="auto"/>
        <w:ind w:left="0" w:firstLine="0" w:firstLineChars="0"/>
        <w:rPr>
          <w:rFonts w:hint="default" w:eastAsia="宋体"/>
          <w:color w:val="FF0000"/>
          <w:sz w:val="18"/>
          <w:szCs w:val="18"/>
          <w:lang w:val="en-US" w:eastAsia="zh-CN"/>
        </w:rPr>
      </w:pPr>
      <w:r>
        <w:rPr>
          <w:rFonts w:hint="eastAsia"/>
          <w:color w:val="FF0000"/>
          <w:sz w:val="18"/>
          <w:szCs w:val="18"/>
          <w:lang w:val="en-US" w:eastAsia="zh-CN"/>
        </w:rPr>
        <w:tab/>
      </w:r>
    </w:p>
    <w:p>
      <w:pPr>
        <w:pStyle w:val="11"/>
        <w:spacing w:line="240" w:lineRule="auto"/>
        <w:ind w:left="0" w:firstLine="0" w:firstLineChars="0"/>
        <w:rPr>
          <w:b/>
          <w:color w:val="FF0000"/>
          <w:sz w:val="18"/>
          <w:szCs w:val="18"/>
        </w:rPr>
      </w:pPr>
    </w:p>
    <w:p>
      <w:pPr>
        <w:pStyle w:val="11"/>
        <w:ind w:left="333" w:leftChars="34" w:firstLineChars="0"/>
        <w:jc w:val="left"/>
        <w:rPr>
          <w:rFonts w:hint="eastAsia" w:hAnsi="宋体"/>
          <w:b/>
          <w:sz w:val="18"/>
          <w:szCs w:val="18"/>
        </w:rPr>
      </w:pPr>
      <w:r>
        <w:rPr>
          <w:rFonts w:hint="eastAsia" w:hAnsi="宋体"/>
          <w:b/>
          <w:sz w:val="18"/>
          <w:szCs w:val="18"/>
        </w:rPr>
        <w:t>参考文献</w:t>
      </w:r>
    </w:p>
    <w:p>
      <w:pPr>
        <w:pStyle w:val="11"/>
        <w:ind w:left="0" w:leftChars="0" w:firstLine="0" w:firstLineChars="0"/>
        <w:jc w:val="left"/>
        <w:rPr>
          <w:rFonts w:hAnsi="宋体"/>
          <w:b/>
          <w:sz w:val="18"/>
          <w:szCs w:val="18"/>
        </w:rPr>
      </w:pPr>
    </w:p>
    <w:p>
      <w:pPr>
        <w:numPr>
          <w:ilvl w:val="0"/>
          <w:numId w:val="0"/>
        </w:numPr>
        <w:jc w:val="both"/>
        <w:rPr>
          <w:rFonts w:hint="eastAsia" w:ascii="Times New Roman" w:hAnsi="Times New Roman" w:eastAsia="宋体"/>
          <w:sz w:val="18"/>
          <w:szCs w:val="18"/>
          <w:lang w:val="en-US" w:eastAsia="zh-CN"/>
        </w:rPr>
      </w:pPr>
      <w:r>
        <w:rPr>
          <w:rFonts w:hint="eastAsia" w:ascii="宋体" w:hAnsi="宋体" w:eastAsia="宋体"/>
          <w:sz w:val="18"/>
          <w:szCs w:val="18"/>
        </w:rPr>
        <w:t>[1]</w:t>
      </w:r>
      <w:r>
        <w:rPr>
          <w:rFonts w:hint="eastAsia" w:ascii="Times New Roman" w:hAnsi="Times New Roman" w:eastAsia="宋体"/>
          <w:sz w:val="18"/>
          <w:szCs w:val="18"/>
          <w:lang w:val="en-US" w:eastAsia="zh-CN"/>
        </w:rPr>
        <w:t xml:space="preserve"> Anon. 2008 IT Industry Salary Review [J]. Education and Occupation, 2009, 000(004):88-89.</w:t>
      </w:r>
    </w:p>
    <w:p>
      <w:pPr>
        <w:numPr>
          <w:ilvl w:val="0"/>
          <w:numId w:val="0"/>
        </w:numPr>
        <w:jc w:val="both"/>
        <w:rPr>
          <w:rFonts w:hint="eastAsia" w:ascii="Times New Roman" w:hAnsi="Times New Roman" w:eastAsia="宋体"/>
          <w:sz w:val="18"/>
          <w:szCs w:val="18"/>
        </w:rPr>
      </w:pPr>
      <w:r>
        <w:rPr>
          <w:rFonts w:hint="eastAsia" w:ascii="Times New Roman" w:hAnsi="Times New Roman" w:eastAsia="宋体"/>
          <w:sz w:val="18"/>
          <w:szCs w:val="18"/>
        </w:rPr>
        <w:t>佚名. 2008年IT行业薪酬盘点[J]. 教育与职业, 2009, 000(004):88-89.</w:t>
      </w:r>
    </w:p>
    <w:p>
      <w:pPr>
        <w:numPr>
          <w:ilvl w:val="0"/>
          <w:numId w:val="2"/>
        </w:numPr>
        <w:jc w:val="both"/>
        <w:rPr>
          <w:rFonts w:hint="eastAsia" w:ascii="Times New Roman" w:hAnsi="Times New Roman" w:eastAsia="宋体"/>
          <w:sz w:val="18"/>
          <w:szCs w:val="18"/>
        </w:rPr>
      </w:pPr>
      <w:r>
        <w:rPr>
          <w:rFonts w:hint="eastAsia" w:ascii="Times New Roman" w:hAnsi="Times New Roman" w:eastAsia="宋体"/>
          <w:sz w:val="18"/>
          <w:szCs w:val="18"/>
          <w:lang w:val="en-US" w:eastAsia="zh-CN"/>
        </w:rPr>
        <w:t xml:space="preserve">2010 IT industry status and salary analysis </w:t>
      </w:r>
      <w:r>
        <w:rPr>
          <w:rFonts w:hint="eastAsia" w:ascii="Times New Roman" w:hAnsi="Times New Roman" w:eastAsia="宋体"/>
          <w:sz w:val="18"/>
          <w:szCs w:val="18"/>
        </w:rPr>
        <w:fldChar w:fldCharType="begin"/>
      </w:r>
      <w:r>
        <w:rPr>
          <w:rFonts w:hint="eastAsia" w:ascii="Times New Roman" w:hAnsi="Times New Roman" w:eastAsia="宋体"/>
          <w:sz w:val="18"/>
          <w:szCs w:val="18"/>
        </w:rPr>
        <w:instrText xml:space="preserve"> HYPERLINK "https://wenku.baidu.com/view/2a7d65fdbf23482fb4daa58da0116c175e0e1e1c.html" </w:instrText>
      </w:r>
      <w:r>
        <w:rPr>
          <w:rFonts w:hint="eastAsia" w:ascii="Times New Roman" w:hAnsi="Times New Roman" w:eastAsia="宋体"/>
          <w:sz w:val="18"/>
          <w:szCs w:val="18"/>
        </w:rPr>
        <w:fldChar w:fldCharType="separate"/>
      </w:r>
      <w:r>
        <w:rPr>
          <w:rFonts w:hint="eastAsia" w:ascii="Times New Roman" w:hAnsi="Times New Roman" w:eastAsia="宋体"/>
          <w:sz w:val="18"/>
          <w:szCs w:val="18"/>
        </w:rPr>
        <w:t>https://wenku.baidu.com/view/2a7d65fdbf23482fb4daa58da0116c175e0e1e1c.html</w:t>
      </w:r>
      <w:r>
        <w:rPr>
          <w:rFonts w:hint="eastAsia" w:ascii="Times New Roman" w:hAnsi="Times New Roman" w:eastAsia="宋体"/>
          <w:sz w:val="18"/>
          <w:szCs w:val="18"/>
        </w:rPr>
        <w:fldChar w:fldCharType="end"/>
      </w:r>
    </w:p>
    <w:p>
      <w:pPr>
        <w:numPr>
          <w:ilvl w:val="0"/>
          <w:numId w:val="2"/>
        </w:numPr>
        <w:jc w:val="both"/>
        <w:rPr>
          <w:rFonts w:hint="eastAsia" w:ascii="Times New Roman" w:hAnsi="Times New Roman" w:eastAsia="宋体"/>
          <w:sz w:val="18"/>
          <w:szCs w:val="18"/>
        </w:rPr>
      </w:pPr>
      <w:r>
        <w:rPr>
          <w:rFonts w:hint="eastAsia" w:ascii="Times New Roman" w:hAnsi="Times New Roman" w:eastAsia="宋体"/>
          <w:sz w:val="18"/>
          <w:szCs w:val="18"/>
        </w:rPr>
        <w:t>2005-2018年IT行业劳动者薪酬与从业者数量[DB/OL].http://data.drcnet.com.cn/dataTable?id=72&amp;structureId=617,2019-03-16.</w:t>
      </w:r>
    </w:p>
    <w:p>
      <w:pPr>
        <w:numPr>
          <w:ilvl w:val="0"/>
          <w:numId w:val="2"/>
        </w:numPr>
        <w:jc w:val="both"/>
        <w:rPr>
          <w:rFonts w:hint="eastAsia" w:ascii="Times New Roman" w:hAnsi="Times New Roman" w:eastAsia="宋体"/>
          <w:sz w:val="18"/>
          <w:szCs w:val="18"/>
        </w:rPr>
      </w:pPr>
      <w:r>
        <w:rPr>
          <w:rFonts w:hint="eastAsia" w:ascii="Times New Roman" w:hAnsi="Times New Roman" w:eastAsia="宋体"/>
          <w:sz w:val="18"/>
          <w:szCs w:val="18"/>
        </w:rPr>
        <w:t>2020年收入最高的大学专业薪酬排行榜[DB/OL].https://www.xinchou.com/,2021-03-26.</w:t>
      </w:r>
    </w:p>
    <w:p>
      <w:pPr>
        <w:numPr>
          <w:ilvl w:val="0"/>
          <w:numId w:val="2"/>
        </w:numPr>
        <w:jc w:val="both"/>
        <w:rPr>
          <w:rFonts w:hint="eastAsia" w:ascii="Times New Roman" w:hAnsi="Times New Roman" w:eastAsia="宋体"/>
          <w:sz w:val="18"/>
          <w:szCs w:val="18"/>
        </w:rPr>
      </w:pPr>
      <w:r>
        <w:rPr>
          <w:rFonts w:hint="eastAsia" w:ascii="Times New Roman" w:hAnsi="Times New Roman" w:eastAsia="宋体"/>
          <w:sz w:val="18"/>
          <w:szCs w:val="18"/>
        </w:rPr>
        <w:t>2020年主要城市工资排行榜[DB/OL].https://averagewage.xinchou.com/Ranking/cities/2020,2021-03-26.</w:t>
      </w:r>
    </w:p>
    <w:p>
      <w:pPr>
        <w:numPr>
          <w:ilvl w:val="0"/>
          <w:numId w:val="2"/>
        </w:numPr>
        <w:jc w:val="both"/>
        <w:rPr>
          <w:rFonts w:hint="eastAsia" w:ascii="Times New Roman" w:hAnsi="Times New Roman" w:eastAsia="宋体"/>
          <w:sz w:val="18"/>
          <w:szCs w:val="18"/>
        </w:rPr>
      </w:pPr>
      <w:r>
        <w:rPr>
          <w:rFonts w:hint="eastAsia" w:ascii="Times New Roman" w:hAnsi="Times New Roman" w:eastAsia="宋体"/>
          <w:sz w:val="18"/>
          <w:szCs w:val="18"/>
        </w:rPr>
        <w:t>2019年主要城市工资排行榜[DB/OL].https://averagewage.xinchou.com/Ranking/cities/2019,2021-03-26.</w:t>
      </w:r>
    </w:p>
    <w:p>
      <w:pPr>
        <w:rPr>
          <w:rFonts w:ascii="宋体" w:hAnsi="宋体" w:eastAsia="宋体"/>
          <w:color w:val="FF0000"/>
          <w:sz w:val="18"/>
          <w:szCs w:val="18"/>
        </w:rPr>
      </w:pPr>
    </w:p>
    <w:p>
      <w:pPr>
        <w:rPr>
          <w:rFonts w:ascii="宋体" w:hAnsi="宋体" w:eastAsia="宋体"/>
          <w:sz w:val="18"/>
          <w:szCs w:val="18"/>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微软雅黑"/>
          <w:lang w:eastAsia="zh-CN"/>
        </w:rPr>
      </w:pPr>
    </w:p>
    <w:sectPr>
      <w:headerReference r:id="rId6" w:type="even"/>
      <w:type w:val="continuous"/>
      <w:pgSz w:w="11906" w:h="16838"/>
      <w:pgMar w:top="1440" w:right="1800" w:bottom="1440" w:left="1800" w:header="708" w:footer="708" w:gutter="0"/>
      <w:cols w:space="708"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zh-CN"/>
      </w:rPr>
      <w:t>[键入文字]</w:t>
    </w:r>
  </w:p>
  <w:p>
    <w:pPr>
      <w:pStyle w:val="4"/>
      <w:rPr>
        <w:rFonts w:ascii="Times New Roman" w:hAnsi="Times New Roman" w:eastAsia="仿宋"/>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rPr>
        <w:rFonts w:ascii="宋体" w:hAnsi="宋体" w:eastAsia="宋体"/>
        <w:sz w:val="15"/>
        <w:szCs w:val="15"/>
      </w:rPr>
    </w:pPr>
    <w:r>
      <w:rPr>
        <w:rFonts w:hint="eastAsia" w:ascii="宋体" w:hAnsi="宋体" w:eastAsia="宋体"/>
        <w:color w:val="FF0000"/>
        <w:sz w:val="15"/>
        <w:szCs w:val="15"/>
      </w:rPr>
      <w:t xml:space="preserve">   </w:t>
    </w:r>
  </w:p>
  <w:p>
    <w:pPr>
      <w:pStyle w:val="4"/>
      <w:spacing w:after="0"/>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30D45"/>
    <w:multiLevelType w:val="singleLevel"/>
    <w:tmpl w:val="8AE30D45"/>
    <w:lvl w:ilvl="0" w:tentative="0">
      <w:start w:val="2"/>
      <w:numFmt w:val="decimal"/>
      <w:lvlText w:val="[%1]"/>
      <w:lvlJc w:val="left"/>
      <w:pPr>
        <w:tabs>
          <w:tab w:val="left" w:pos="312"/>
        </w:tabs>
      </w:pPr>
    </w:lvl>
  </w:abstractNum>
  <w:abstractNum w:abstractNumId="1">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B0FE7"/>
    <w:rsid w:val="09332F38"/>
    <w:rsid w:val="136A2B47"/>
    <w:rsid w:val="1BDA584C"/>
    <w:rsid w:val="1D0D2255"/>
    <w:rsid w:val="2B7A7A36"/>
    <w:rsid w:val="3EC0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footer"/>
    <w:basedOn w:val="1"/>
    <w:unhideWhenUsed/>
    <w:qFormat/>
    <w:uiPriority w:val="99"/>
    <w:pPr>
      <w:tabs>
        <w:tab w:val="center" w:pos="4153"/>
        <w:tab w:val="right" w:pos="8306"/>
      </w:tabs>
    </w:pPr>
    <w:rPr>
      <w:sz w:val="18"/>
      <w:szCs w:val="18"/>
    </w:rPr>
  </w:style>
  <w:style w:type="paragraph" w:styleId="5">
    <w:name w:val="header"/>
    <w:basedOn w:val="1"/>
    <w:unhideWhenUsed/>
    <w:qFormat/>
    <w:uiPriority w:val="99"/>
    <w:pPr>
      <w:pBdr>
        <w:bottom w:val="single" w:color="auto" w:sz="6" w:space="1"/>
      </w:pBdr>
      <w:tabs>
        <w:tab w:val="center" w:pos="4153"/>
        <w:tab w:val="right" w:pos="8306"/>
      </w:tabs>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11">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2021-04-06T07:45:00Z</dcterms:created>
  <dc:creator>hang</dc:creator>
  <cp:lastModifiedBy>忆昔</cp:lastModifiedBy>
  <dcterms:modified xsi:type="dcterms:W3CDTF">2021-04-09T03:18:53Z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