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Style w:val="8"/>
          <w:rFonts w:hint="default"/>
          <w:b/>
          <w:sz w:val="44"/>
          <w:szCs w:val="44"/>
        </w:rPr>
      </w:pPr>
      <w:bookmarkStart w:id="0" w:name="_GoBack"/>
      <w:bookmarkEnd w:id="0"/>
      <w:r>
        <w:rPr>
          <w:rStyle w:val="7"/>
          <w:rFonts w:ascii="宋体" w:hAnsi="宋体" w:eastAsia="宋体"/>
          <w:b/>
          <w:sz w:val="44"/>
          <w:szCs w:val="44"/>
        </w:rPr>
        <w:t xml:space="preserve">IT </w:t>
      </w:r>
      <w:r>
        <w:rPr>
          <w:rStyle w:val="8"/>
          <w:rFonts w:hint="default"/>
          <w:b/>
          <w:sz w:val="44"/>
          <w:szCs w:val="44"/>
        </w:rPr>
        <w:t>行业现状与薪酬分析</w:t>
      </w:r>
    </w:p>
    <w:p>
      <w:pPr>
        <w:rPr>
          <w:rFonts w:ascii="宋体" w:hAnsi="宋体" w:eastAsia="宋体"/>
          <w:color w:val="000000"/>
          <w:sz w:val="28"/>
          <w:szCs w:val="28"/>
        </w:rPr>
      </w:pPr>
      <w:r>
        <w:rPr>
          <w:rFonts w:hint="eastAsia" w:ascii="宋体" w:hAnsi="宋体" w:eastAsia="宋体"/>
          <w:b/>
          <w:color w:val="000000"/>
          <w:sz w:val="28"/>
          <w:szCs w:val="28"/>
        </w:rPr>
        <w:t>摘要</w:t>
      </w:r>
      <w:r>
        <w:rPr>
          <w:rFonts w:hint="eastAsia" w:ascii="宋体" w:hAnsi="宋体" w:eastAsia="宋体"/>
          <w:color w:val="000000"/>
          <w:sz w:val="28"/>
          <w:szCs w:val="28"/>
        </w:rPr>
        <w:t>：</w:t>
      </w:r>
      <w:r>
        <w:rPr>
          <w:rFonts w:ascii="宋体" w:hAnsi="宋体" w:eastAsia="宋体"/>
          <w:color w:val="000000"/>
          <w:sz w:val="28"/>
          <w:szCs w:val="28"/>
        </w:rPr>
        <w:t>IT行业发展迅猛，各种新技术的开发应用对市场提出了极大的人才需求。而企业选择对于人才的吸引分为人才资本投入与企业知名度投入两种</w:t>
      </w:r>
      <w:r>
        <w:rPr>
          <w:rFonts w:hint="eastAsia" w:ascii="宋体" w:hAnsi="宋体" w:eastAsia="宋体"/>
          <w:color w:val="000000"/>
          <w:sz w:val="28"/>
          <w:szCs w:val="28"/>
        </w:rPr>
        <w:t>。本文通过对</w:t>
      </w:r>
      <w:r>
        <w:rPr>
          <w:rFonts w:ascii="宋体" w:hAnsi="宋体" w:eastAsia="宋体"/>
          <w:color w:val="000000"/>
          <w:sz w:val="28"/>
          <w:szCs w:val="28"/>
        </w:rPr>
        <w:t>十个省市大中型软件行业员工的薪酬状况进行统计与分析，解读IT行业人才薪酬福利的真实状况以及IT行业人才未来需求趋势</w:t>
      </w:r>
      <w:r>
        <w:rPr>
          <w:rFonts w:hint="eastAsia" w:ascii="宋体" w:hAnsi="宋体" w:eastAsia="宋体"/>
          <w:color w:val="000000"/>
          <w:sz w:val="28"/>
          <w:szCs w:val="28"/>
        </w:rPr>
        <w:t>，发现</w:t>
      </w:r>
      <w:r>
        <w:rPr>
          <w:rFonts w:ascii="宋体" w:hAnsi="宋体" w:eastAsia="宋体"/>
          <w:color w:val="000000"/>
          <w:sz w:val="28"/>
          <w:szCs w:val="28"/>
        </w:rPr>
        <w:t>软件工程师人才与网络工程师需求快速加剧</w:t>
      </w:r>
      <w:r>
        <w:rPr>
          <w:rFonts w:hint="eastAsia" w:ascii="宋体" w:hAnsi="宋体" w:eastAsia="宋体"/>
          <w:color w:val="000000"/>
          <w:sz w:val="28"/>
          <w:szCs w:val="28"/>
        </w:rPr>
        <w:t>并对</w:t>
      </w:r>
      <w:r>
        <w:rPr>
          <w:rFonts w:ascii="宋体" w:hAnsi="宋体" w:eastAsia="宋体"/>
          <w:color w:val="000000"/>
          <w:sz w:val="28"/>
          <w:szCs w:val="28"/>
        </w:rPr>
        <w:t>如何保留企业核心人才</w:t>
      </w:r>
      <w:r>
        <w:rPr>
          <w:rFonts w:hint="eastAsia" w:ascii="宋体" w:hAnsi="宋体" w:eastAsia="宋体"/>
          <w:color w:val="000000"/>
          <w:sz w:val="28"/>
          <w:szCs w:val="28"/>
        </w:rPr>
        <w:t>给出相关建议。</w:t>
      </w:r>
    </w:p>
    <w:p>
      <w:pPr>
        <w:pStyle w:val="12"/>
        <w:numPr>
          <w:ilvl w:val="0"/>
          <w:numId w:val="1"/>
        </w:numPr>
        <w:ind w:firstLineChars="0"/>
        <w:jc w:val="left"/>
        <w:rPr>
          <w:rFonts w:ascii="宋体" w:hAnsi="宋体" w:eastAsia="宋体"/>
          <w:color w:val="000000"/>
          <w:sz w:val="28"/>
          <w:szCs w:val="28"/>
        </w:rPr>
      </w:pPr>
      <w:r>
        <w:rPr>
          <w:rFonts w:hint="eastAsia" w:ascii="宋体" w:hAnsi="宋体" w:eastAsia="宋体"/>
          <w:color w:val="000000"/>
          <w:sz w:val="28"/>
          <w:szCs w:val="28"/>
        </w:rPr>
        <w:t>引言</w:t>
      </w:r>
    </w:p>
    <w:p>
      <w:pPr>
        <w:ind w:firstLine="560" w:firstLineChars="200"/>
        <w:rPr>
          <w:rFonts w:ascii="宋体" w:hAnsi="宋体" w:eastAsia="宋体"/>
          <w:color w:val="000000"/>
          <w:sz w:val="28"/>
          <w:szCs w:val="28"/>
        </w:rPr>
      </w:pPr>
      <w:r>
        <w:rPr>
          <w:rFonts w:ascii="宋体" w:hAnsi="宋体" w:eastAsia="宋体"/>
          <w:color w:val="000000"/>
          <w:sz w:val="28"/>
          <w:szCs w:val="28"/>
        </w:rPr>
        <w:t>2020年是经济渐渐复苏的一年，在经济复苏进程中IT行业备受人们的关注</w:t>
      </w:r>
      <w:r>
        <w:rPr>
          <w:rFonts w:hint="eastAsia" w:ascii="宋体" w:hAnsi="宋体" w:eastAsia="宋体"/>
          <w:color w:val="000000"/>
          <w:sz w:val="28"/>
          <w:szCs w:val="28"/>
        </w:rPr>
        <w:t>[</w:t>
      </w:r>
      <w:r>
        <w:rPr>
          <w:rFonts w:ascii="宋体" w:hAnsi="宋体" w:eastAsia="宋体"/>
          <w:color w:val="000000"/>
          <w:sz w:val="28"/>
          <w:szCs w:val="28"/>
        </w:rPr>
        <w:t>1-4]。整体来看，IT行业发展迅猛，各种新技术的开发应用对市场提出了极大的人才需求。而企业选择对于人才的吸引分为人才资本投入与企业知名度投入两种。因此，IT企业如何用薪酬福利来招揽更多的人才与保留企业核心人才成了许多HR关注的方向</w:t>
      </w:r>
      <w:r>
        <w:rPr>
          <w:rFonts w:hint="eastAsia" w:ascii="宋体" w:hAnsi="宋体" w:eastAsia="宋体"/>
          <w:color w:val="000000"/>
          <w:sz w:val="28"/>
          <w:szCs w:val="28"/>
        </w:rPr>
        <w:t>。</w:t>
      </w:r>
      <w:r>
        <w:rPr>
          <w:rFonts w:ascii="宋体" w:hAnsi="宋体" w:eastAsia="宋体"/>
          <w:color w:val="000000"/>
          <w:sz w:val="28"/>
          <w:szCs w:val="28"/>
        </w:rPr>
        <w:t xml:space="preserve">日前，北京德翰咨询公司发布了《2020年IT行业薪酬调研报告》，通过2020年3个季度对北京、广东、江苏、上海、浙江、山东、辽宁、陕西、福建和天津十个省市大中型软件行业员工的薪酬状况进行统计与分析，解读IT行业人才薪酬福利的真实状况以及IT行业人才未来需求趋势。 </w:t>
      </w:r>
    </w:p>
    <w:p>
      <w:pPr>
        <w:pStyle w:val="12"/>
        <w:numPr>
          <w:ilvl w:val="0"/>
          <w:numId w:val="1"/>
        </w:numPr>
        <w:ind w:firstLineChars="0"/>
        <w:jc w:val="left"/>
        <w:rPr>
          <w:rFonts w:ascii="宋体" w:hAnsi="宋体" w:eastAsia="宋体"/>
          <w:color w:val="000000"/>
          <w:sz w:val="28"/>
          <w:szCs w:val="28"/>
        </w:rPr>
      </w:pPr>
      <w:r>
        <w:rPr>
          <w:rFonts w:ascii="宋体" w:hAnsi="宋体" w:eastAsia="宋体"/>
          <w:color w:val="000000"/>
          <w:sz w:val="28"/>
          <w:szCs w:val="28"/>
        </w:rPr>
        <w:t>IT行业总体薪酬情况分析</w:t>
      </w:r>
    </w:p>
    <w:p>
      <w:pPr>
        <w:ind w:firstLine="560" w:firstLineChars="200"/>
        <w:rPr>
          <w:rFonts w:ascii="宋体" w:hAnsi="宋体" w:eastAsia="宋体"/>
          <w:color w:val="000000"/>
          <w:sz w:val="28"/>
          <w:szCs w:val="28"/>
        </w:rPr>
      </w:pPr>
      <w:r>
        <w:rPr>
          <w:rFonts w:ascii="宋体" w:hAnsi="宋体" w:eastAsia="宋体"/>
          <w:color w:val="000000"/>
          <w:sz w:val="28"/>
          <w:szCs w:val="28"/>
        </w:rPr>
        <w:t>德翰咨询对IT行业毕业生薪酬以及在职职员薪酬情况做了专项调研</w:t>
      </w:r>
      <w:r>
        <w:rPr>
          <w:rFonts w:hint="eastAsia" w:ascii="宋体" w:hAnsi="宋体" w:eastAsia="宋体"/>
          <w:color w:val="000000"/>
          <w:sz w:val="28"/>
          <w:szCs w:val="28"/>
        </w:rPr>
        <w:t>[</w:t>
      </w:r>
      <w:r>
        <w:rPr>
          <w:rFonts w:ascii="宋体" w:hAnsi="宋体" w:eastAsia="宋体"/>
          <w:color w:val="000000"/>
          <w:sz w:val="28"/>
          <w:szCs w:val="28"/>
        </w:rPr>
        <w:t xml:space="preserve">5-7]。 </w:t>
      </w:r>
    </w:p>
    <w:p>
      <w:pPr>
        <w:ind w:firstLine="560" w:firstLineChars="200"/>
        <w:rPr>
          <w:rFonts w:ascii="宋体" w:hAnsi="宋体" w:eastAsia="宋体"/>
          <w:color w:val="000000"/>
          <w:sz w:val="28"/>
          <w:szCs w:val="28"/>
        </w:rPr>
      </w:pPr>
      <w:r>
        <w:rPr>
          <w:rFonts w:ascii="宋体" w:hAnsi="宋体" w:eastAsia="宋体"/>
          <w:color w:val="000000"/>
          <w:sz w:val="28"/>
          <w:szCs w:val="28"/>
        </w:rPr>
        <w:t xml:space="preserve">毕业生方面，2020年的应届毕业生数量大约在650万，加上19年没有就业毕业生，高校毕业生人数将达到700万，19年整体毕业生就业率为86.6%，IT类毕业生半年后就业率在82.3%。预计2020年毕业生整体就业率在80%左右，除了继续深造，自主创业之外，还有9.8%的人在继续寻找工作，所以就业形势依然不容乐观。据德翰咨询2020薪酬发布会发布，大专以下学历毕业生起薪为1360元，大专学历毕业生起薪在1780元，本科学历毕业生起薪为2580元，硕士学历毕业生起薪为3670元。另外调查表明高校毕业生无法进入设计人才奇缺的企业，成了中国IT设计人才一道无法逾越的鸿沟，矛盾的是高校不断扩招，越来越多高校毕业生出现“毕业即失业”的情况，特别在IT行业只有理论而缺乏实践或工作经验不足的应届毕业生来说无疑雪上加霜。 </w:t>
      </w:r>
    </w:p>
    <w:p>
      <w:pPr>
        <w:ind w:firstLine="560" w:firstLineChars="200"/>
        <w:rPr>
          <w:rFonts w:ascii="宋体" w:hAnsi="宋体" w:eastAsia="宋体"/>
          <w:color w:val="000000"/>
          <w:sz w:val="28"/>
          <w:szCs w:val="28"/>
        </w:rPr>
      </w:pPr>
      <w:r>
        <w:rPr>
          <w:rFonts w:ascii="宋体" w:hAnsi="宋体" w:eastAsia="宋体"/>
          <w:color w:val="000000"/>
          <w:sz w:val="28"/>
          <w:szCs w:val="28"/>
        </w:rPr>
        <w:t>在职员工方面，整体薪酬总体呈增长趋势，高级管理职位的年度总现金在52万左右，较19年同比增长5.5%；中层管理职位年度总现金在24万左右，较19年同比增长6.30%；基层管理职位的年度总现金为12万左右，较19年同比增长了7.40%；一般员工的年度总现金为近6万元，较19年同比增长了7.10%。整体IT行业的薪酬增长</w:t>
      </w:r>
    </w:p>
    <w:p>
      <w:pPr>
        <w:rPr>
          <w:rFonts w:ascii="宋体" w:hAnsi="宋体" w:eastAsia="宋体"/>
          <w:color w:val="000000"/>
          <w:sz w:val="28"/>
          <w:szCs w:val="28"/>
        </w:rPr>
      </w:pPr>
      <w:r>
        <w:rPr>
          <w:rFonts w:ascii="宋体" w:hAnsi="宋体" w:eastAsia="宋体"/>
          <w:color w:val="000000"/>
          <w:sz w:val="28"/>
          <w:szCs w:val="28"/>
        </w:rPr>
        <w:t>率为6.80%，可以从上面的数据看出，等级之间薪酬差距还是比较大的，高管与一般员工的薪酬差距平均在9.3倍。在企业调薪的参考因素方面我们可以从下图看到市场水平与物价水平占据了更多的比例</w:t>
      </w:r>
      <w:r>
        <w:rPr>
          <w:rFonts w:hint="eastAsia" w:ascii="宋体" w:hAnsi="宋体" w:eastAsia="宋体"/>
          <w:color w:val="000000"/>
          <w:sz w:val="28"/>
          <w:szCs w:val="28"/>
        </w:rPr>
        <w:t>（见图1）</w:t>
      </w:r>
      <w:r>
        <w:rPr>
          <w:rFonts w:ascii="宋体" w:hAnsi="宋体" w:eastAsia="宋体"/>
          <w:color w:val="000000"/>
          <w:sz w:val="28"/>
          <w:szCs w:val="28"/>
        </w:rPr>
        <w:t>。</w:t>
      </w:r>
    </w:p>
    <w:p>
      <w:pPr>
        <w:rPr>
          <w:rFonts w:hint="eastAsia" w:ascii="宋体" w:hAnsi="宋体" w:eastAsia="宋体"/>
          <w:color w:val="000000"/>
          <w:sz w:val="28"/>
          <w:szCs w:val="28"/>
        </w:rPr>
      </w:pPr>
      <w:r>
        <w:rPr>
          <w:rFonts w:ascii="宋体" w:hAnsi="宋体" w:eastAsia="宋体"/>
          <w:color w:val="000000"/>
          <w:sz w:val="28"/>
          <w:szCs w:val="28"/>
        </w:rPr>
        <w:drawing>
          <wp:anchor distT="0" distB="0" distL="114300" distR="114300" simplePos="0" relativeHeight="251659264" behindDoc="0" locked="0" layoutInCell="1" allowOverlap="1">
            <wp:simplePos x="0" y="0"/>
            <wp:positionH relativeFrom="margin">
              <wp:posOffset>0</wp:posOffset>
            </wp:positionH>
            <wp:positionV relativeFrom="paragraph">
              <wp:posOffset>400050</wp:posOffset>
            </wp:positionV>
            <wp:extent cx="5267325" cy="2590800"/>
            <wp:effectExtent l="0" t="0" r="9525" b="0"/>
            <wp:wrapTopAndBottom/>
            <wp:docPr id="1" name="图片 1" descr="C:\Users\ADMINI~1\AppData\Local\Temp\WeChat Files\a86ef1fb0c0021106878c99b051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a86ef1fb0c0021106878c99b05140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67325" cy="2590800"/>
                    </a:xfrm>
                    <a:prstGeom prst="rect">
                      <a:avLst/>
                    </a:prstGeom>
                    <a:noFill/>
                    <a:ln>
                      <a:noFill/>
                    </a:ln>
                  </pic:spPr>
                </pic:pic>
              </a:graphicData>
            </a:graphic>
          </wp:anchor>
        </w:drawing>
      </w:r>
    </w:p>
    <w:p>
      <w:pPr>
        <w:ind w:firstLine="560" w:firstLineChars="200"/>
        <w:jc w:val="center"/>
        <w:rPr>
          <w:rFonts w:ascii="宋体" w:hAnsi="宋体" w:eastAsia="宋体"/>
          <w:color w:val="000000"/>
          <w:sz w:val="28"/>
          <w:szCs w:val="28"/>
        </w:rPr>
      </w:pPr>
      <w:r>
        <w:rPr>
          <w:rFonts w:hint="eastAsia" w:ascii="宋体" w:hAnsi="宋体" w:eastAsia="宋体"/>
          <w:color w:val="000000"/>
          <w:sz w:val="28"/>
          <w:szCs w:val="28"/>
        </w:rPr>
        <w:t>图1</w:t>
      </w:r>
      <w:r>
        <w:rPr>
          <w:rFonts w:ascii="宋体" w:hAnsi="宋体" w:eastAsia="宋体"/>
          <w:color w:val="000000"/>
          <w:sz w:val="28"/>
          <w:szCs w:val="28"/>
        </w:rPr>
        <w:t xml:space="preserve">  </w:t>
      </w:r>
      <w:r>
        <w:rPr>
          <w:rFonts w:hint="eastAsia" w:ascii="宋体" w:hAnsi="宋体" w:eastAsia="宋体"/>
          <w:color w:val="000000"/>
          <w:sz w:val="28"/>
          <w:szCs w:val="28"/>
        </w:rPr>
        <w:t>2</w:t>
      </w:r>
      <w:r>
        <w:rPr>
          <w:rFonts w:ascii="宋体" w:hAnsi="宋体" w:eastAsia="宋体"/>
          <w:color w:val="000000"/>
          <w:sz w:val="28"/>
          <w:szCs w:val="28"/>
        </w:rPr>
        <w:t>020</w:t>
      </w:r>
      <w:r>
        <w:rPr>
          <w:rFonts w:hint="eastAsia" w:ascii="宋体" w:hAnsi="宋体" w:eastAsia="宋体"/>
          <w:color w:val="000000"/>
          <w:sz w:val="28"/>
          <w:szCs w:val="28"/>
        </w:rPr>
        <w:t>年薪酬涨幅的参考因素</w:t>
      </w:r>
    </w:p>
    <w:p>
      <w:pPr>
        <w:pStyle w:val="12"/>
        <w:numPr>
          <w:ilvl w:val="0"/>
          <w:numId w:val="1"/>
        </w:numPr>
        <w:ind w:firstLineChars="0"/>
        <w:jc w:val="left"/>
        <w:rPr>
          <w:rFonts w:ascii="宋体" w:hAnsi="宋体" w:eastAsia="宋体"/>
          <w:color w:val="000000"/>
          <w:sz w:val="28"/>
          <w:szCs w:val="28"/>
        </w:rPr>
      </w:pPr>
      <w:r>
        <w:rPr>
          <w:rFonts w:ascii="宋体" w:hAnsi="宋体" w:eastAsia="宋体"/>
          <w:color w:val="000000"/>
          <w:sz w:val="28"/>
          <w:szCs w:val="28"/>
        </w:rPr>
        <w:t>软件工程师人才与网络工程师需求快速加剧</w:t>
      </w:r>
    </w:p>
    <w:p>
      <w:pPr>
        <w:ind w:firstLine="560" w:firstLineChars="200"/>
        <w:rPr>
          <w:rFonts w:ascii="宋体" w:hAnsi="宋体" w:eastAsia="宋体"/>
          <w:color w:val="000000"/>
          <w:sz w:val="28"/>
          <w:szCs w:val="28"/>
        </w:rPr>
      </w:pPr>
      <w:r>
        <w:rPr>
          <w:rFonts w:ascii="宋体" w:hAnsi="宋体" w:eastAsia="宋体"/>
          <w:color w:val="000000"/>
          <w:sz w:val="28"/>
          <w:szCs w:val="28"/>
        </w:rPr>
        <w:t>在德翰2020年薪酬调研表明软件工程师的年薪在6万到18万之间，平均在104000元。据某招聘网站统计，软件工程师人才缺口正向50万挺进，受软件产业30％以上的年增长率影响，供需缺口还将不断扩大</w:t>
      </w:r>
      <w:r>
        <w:rPr>
          <w:rFonts w:hint="eastAsia" w:ascii="宋体" w:hAnsi="宋体" w:eastAsia="宋体"/>
          <w:color w:val="000000"/>
          <w:sz w:val="28"/>
          <w:szCs w:val="28"/>
        </w:rPr>
        <w:t>[</w:t>
      </w:r>
      <w:r>
        <w:rPr>
          <w:rFonts w:ascii="宋体" w:hAnsi="宋体" w:eastAsia="宋体"/>
          <w:color w:val="000000"/>
          <w:sz w:val="28"/>
          <w:szCs w:val="28"/>
        </w:rPr>
        <w:t>8-10]。据悉，软件工程师已经被信息产业部列为国家紧缺型人才.事实上，国内软件行业人才不足早已成为业界公认的产业发展制约因素，而随着用户软件质量意识和企业软件质量控制加强，软件人才则又成为了行业新的需求热点。德翰咨询2020年企业人才调研显示，目前市场上91%的IT企业面临人才短缺，而且作为一个快速变化的行业，IT人才需求也在不断地更新，目前以软件质量管理人才、既懂技术又懂管理的软件工程师为最大人才缺口。专业的软件教育相对于巨大的人才需求可说是杯水车薪，近于空白。与过去的2019年相比，2020年软件开发专业人才需要量则变得更大</w:t>
      </w:r>
      <w:r>
        <w:rPr>
          <w:rFonts w:hint="eastAsia" w:ascii="宋体" w:hAnsi="宋体" w:eastAsia="宋体"/>
          <w:color w:val="000000"/>
          <w:sz w:val="28"/>
          <w:szCs w:val="28"/>
        </w:rPr>
        <w:t>（见图2）</w:t>
      </w:r>
      <w:r>
        <w:rPr>
          <w:rFonts w:ascii="宋体" w:hAnsi="宋体" w:eastAsia="宋体"/>
          <w:color w:val="000000"/>
          <w:sz w:val="28"/>
          <w:szCs w:val="28"/>
        </w:rPr>
        <w:t>。</w:t>
      </w:r>
    </w:p>
    <w:p>
      <w:pPr>
        <w:ind w:firstLine="560" w:firstLineChars="200"/>
        <w:jc w:val="center"/>
        <w:rPr>
          <w:rFonts w:ascii="宋体" w:hAnsi="宋体" w:eastAsia="宋体"/>
          <w:color w:val="000000"/>
          <w:sz w:val="28"/>
          <w:szCs w:val="28"/>
        </w:rPr>
      </w:pPr>
      <w:r>
        <w:rPr>
          <w:rFonts w:ascii="宋体" w:hAnsi="宋体" w:eastAsia="宋体"/>
          <w:color w:val="000000"/>
          <w:sz w:val="28"/>
          <w:szCs w:val="28"/>
        </w:rPr>
        <w:drawing>
          <wp:inline distT="0" distB="0" distL="0" distR="0">
            <wp:extent cx="5124450" cy="3067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24450" cy="3067050"/>
                    </a:xfrm>
                    <a:prstGeom prst="rect">
                      <a:avLst/>
                    </a:prstGeom>
                    <a:noFill/>
                    <a:ln>
                      <a:noFill/>
                    </a:ln>
                  </pic:spPr>
                </pic:pic>
              </a:graphicData>
            </a:graphic>
          </wp:inline>
        </w:drawing>
      </w:r>
    </w:p>
    <w:p>
      <w:pPr>
        <w:ind w:firstLine="560" w:firstLineChars="200"/>
        <w:jc w:val="center"/>
        <w:rPr>
          <w:rFonts w:hint="eastAsia" w:ascii="宋体" w:hAnsi="宋体" w:eastAsia="宋体"/>
          <w:color w:val="000000"/>
          <w:sz w:val="28"/>
          <w:szCs w:val="28"/>
        </w:rPr>
      </w:pPr>
      <w:r>
        <w:rPr>
          <w:rFonts w:hint="eastAsia" w:ascii="宋体" w:hAnsi="宋体" w:eastAsia="宋体"/>
          <w:color w:val="000000"/>
          <w:sz w:val="28"/>
          <w:szCs w:val="28"/>
        </w:rPr>
        <w:t>图2</w:t>
      </w:r>
      <w:r>
        <w:rPr>
          <w:rFonts w:ascii="宋体" w:hAnsi="宋体" w:eastAsia="宋体"/>
          <w:color w:val="000000"/>
          <w:sz w:val="28"/>
          <w:szCs w:val="28"/>
        </w:rPr>
        <w:t xml:space="preserve">  IT</w:t>
      </w:r>
      <w:r>
        <w:rPr>
          <w:rFonts w:hint="eastAsia" w:ascii="宋体" w:hAnsi="宋体" w:eastAsia="宋体"/>
          <w:color w:val="000000"/>
          <w:sz w:val="28"/>
          <w:szCs w:val="28"/>
        </w:rPr>
        <w:t>行业未来看好的技术方向</w:t>
      </w:r>
    </w:p>
    <w:p>
      <w:pPr>
        <w:ind w:firstLine="560" w:firstLineChars="200"/>
        <w:rPr>
          <w:rFonts w:ascii="宋体" w:hAnsi="宋体" w:eastAsia="宋体"/>
          <w:color w:val="000000"/>
          <w:sz w:val="28"/>
          <w:szCs w:val="28"/>
        </w:rPr>
      </w:pPr>
      <w:r>
        <w:rPr>
          <w:rFonts w:ascii="宋体" w:hAnsi="宋体" w:eastAsia="宋体"/>
          <w:color w:val="000000"/>
          <w:sz w:val="28"/>
          <w:szCs w:val="28"/>
        </w:rPr>
        <w:t>2020年网络工程师的平均年薪在96000元左右。随着信息化的深入发展，越来越多的企业开始重视网络的重要作用，特别在企业网络构建管理还有网站的开发运营，都需要更多专业的网络人才来实现，网络管理员、网络工程师等相关人才得到了更多企业的亲睐。从全国行业职位整体分布来看，计算机、信息服务行业仍以近20%份额占据着招聘热点行业首席，从具体的需求来看企业对网络工程师、网络管理员和系统管理员的需求量不断增加，平均每年增长达百分之七十一点二，而且这个数据随着中国网络的普及而快速递增，直接关系到薪酬福利也跟着相应的增加。</w:t>
      </w:r>
    </w:p>
    <w:p>
      <w:pPr>
        <w:ind w:firstLine="560" w:firstLineChars="200"/>
        <w:rPr>
          <w:rFonts w:ascii="宋体" w:hAnsi="宋体" w:eastAsia="宋体"/>
          <w:color w:val="000000"/>
          <w:sz w:val="28"/>
          <w:szCs w:val="28"/>
        </w:rPr>
      </w:pPr>
      <w:r>
        <w:rPr>
          <w:rFonts w:ascii="宋体" w:hAnsi="宋体" w:eastAsia="宋体"/>
          <w:color w:val="000000"/>
          <w:sz w:val="28"/>
          <w:szCs w:val="28"/>
        </w:rPr>
        <w:t>2020年IT行业最抢眼的新贵无疑为3G工程师莫属，3G开发市场催热了3G工程师这个职位，3G行业发展迅猛，相应的3G工程师身价也标涨。统计数据显示，国内3G市场规模将达到10万亿，未来将保持50%的增长速度。3G行业红火，3G工程师却显得捉襟见肘。保守估计，3G工程师人才缺口将达130万左右，3G开发企业给3G工程师开出的待遇也很优厚。但是，在大学生就业难的当下，3G工程师市场却出现了有价无市的尴尬局面。德翰咨询预计：具有高级技术与经验的3G工程师预计在未来的日子里基本年薪将在15万至20万元</w:t>
      </w:r>
      <w:r>
        <w:rPr>
          <w:rFonts w:hint="eastAsia" w:ascii="宋体" w:hAnsi="宋体" w:eastAsia="宋体"/>
          <w:color w:val="000000"/>
          <w:sz w:val="28"/>
          <w:szCs w:val="28"/>
        </w:rPr>
        <w:t>（见图3）</w:t>
      </w:r>
      <w:r>
        <w:rPr>
          <w:rFonts w:ascii="宋体" w:hAnsi="宋体" w:eastAsia="宋体"/>
          <w:color w:val="000000"/>
          <w:sz w:val="28"/>
          <w:szCs w:val="28"/>
        </w:rPr>
        <w:t xml:space="preserve">。 </w:t>
      </w:r>
    </w:p>
    <w:p>
      <w:pPr>
        <w:ind w:firstLine="560" w:firstLineChars="200"/>
        <w:rPr>
          <w:rFonts w:ascii="宋体" w:hAnsi="宋体" w:eastAsia="宋体"/>
          <w:color w:val="000000"/>
          <w:sz w:val="28"/>
          <w:szCs w:val="28"/>
        </w:rPr>
      </w:pPr>
      <w:r>
        <w:rPr>
          <w:rFonts w:ascii="宋体" w:hAnsi="宋体" w:eastAsia="宋体"/>
          <w:color w:val="000000"/>
          <w:sz w:val="28"/>
          <w:szCs w:val="28"/>
        </w:rPr>
        <w:drawing>
          <wp:inline distT="0" distB="0" distL="0" distR="0">
            <wp:extent cx="5267325" cy="2000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325" cy="2000250"/>
                    </a:xfrm>
                    <a:prstGeom prst="rect">
                      <a:avLst/>
                    </a:prstGeom>
                    <a:noFill/>
                    <a:ln>
                      <a:noFill/>
                    </a:ln>
                  </pic:spPr>
                </pic:pic>
              </a:graphicData>
            </a:graphic>
          </wp:inline>
        </w:drawing>
      </w:r>
    </w:p>
    <w:p>
      <w:pPr>
        <w:ind w:firstLine="560" w:firstLineChars="200"/>
        <w:jc w:val="center"/>
        <w:rPr>
          <w:rFonts w:hint="eastAsia" w:ascii="宋体" w:hAnsi="宋体" w:eastAsia="宋体"/>
          <w:color w:val="000000"/>
          <w:sz w:val="28"/>
          <w:szCs w:val="28"/>
        </w:rPr>
      </w:pPr>
      <w:r>
        <w:rPr>
          <w:rFonts w:hint="eastAsia" w:ascii="宋体" w:hAnsi="宋体" w:eastAsia="宋体"/>
          <w:color w:val="000000"/>
          <w:sz w:val="28"/>
          <w:szCs w:val="28"/>
        </w:rPr>
        <w:t>图3</w:t>
      </w:r>
      <w:r>
        <w:rPr>
          <w:rFonts w:ascii="宋体" w:hAnsi="宋体" w:eastAsia="宋体"/>
          <w:color w:val="000000"/>
          <w:sz w:val="28"/>
          <w:szCs w:val="28"/>
        </w:rPr>
        <w:t xml:space="preserve">  2021</w:t>
      </w:r>
      <w:r>
        <w:rPr>
          <w:rFonts w:hint="eastAsia" w:ascii="宋体" w:hAnsi="宋体" w:eastAsia="宋体"/>
          <w:color w:val="000000"/>
          <w:sz w:val="28"/>
          <w:szCs w:val="28"/>
        </w:rPr>
        <w:t>秋招各行业薪资分布图</w:t>
      </w:r>
    </w:p>
    <w:p>
      <w:pPr>
        <w:ind w:firstLine="560" w:firstLineChars="200"/>
        <w:rPr>
          <w:rFonts w:ascii="宋体" w:hAnsi="宋体" w:eastAsia="宋体"/>
          <w:color w:val="000000"/>
          <w:sz w:val="28"/>
          <w:szCs w:val="28"/>
        </w:rPr>
      </w:pPr>
      <w:r>
        <w:rPr>
          <w:rFonts w:hint="eastAsia" w:ascii="宋体" w:hAnsi="宋体" w:eastAsia="宋体"/>
          <w:color w:val="000000"/>
          <w:sz w:val="28"/>
          <w:szCs w:val="28"/>
        </w:rPr>
        <w:t>研究</w:t>
      </w:r>
      <w:r>
        <w:rPr>
          <w:rFonts w:ascii="宋体" w:hAnsi="宋体" w:eastAsia="宋体"/>
          <w:color w:val="000000"/>
          <w:sz w:val="28"/>
          <w:szCs w:val="28"/>
        </w:rPr>
        <w:t>发现：IT企业缺乏两类人才：高级IT技术人才与复合型工程师。高级技术人才为掌握尖端IT技术的人才，而复合型工程师为有很强的技术背景又有优秀的管理能力或者是既懂技术又能够有敏锐的市场眼光，有一定组织协调能力的人才，这类人才并不是轻易就从普通工程师转变而来的</w:t>
      </w:r>
      <w:r>
        <w:rPr>
          <w:rFonts w:hint="eastAsia" w:ascii="宋体" w:hAnsi="宋体" w:eastAsia="宋体"/>
          <w:color w:val="000000"/>
          <w:sz w:val="28"/>
          <w:szCs w:val="28"/>
        </w:rPr>
        <w:t>，</w:t>
      </w:r>
      <w:r>
        <w:rPr>
          <w:rFonts w:ascii="宋体" w:hAnsi="宋体" w:eastAsia="宋体"/>
          <w:color w:val="000000"/>
          <w:sz w:val="28"/>
          <w:szCs w:val="28"/>
        </w:rPr>
        <w:t>而是需要长期的培养与磨练</w:t>
      </w:r>
      <w:r>
        <w:rPr>
          <w:rFonts w:hint="eastAsia" w:ascii="宋体" w:hAnsi="宋体" w:eastAsia="宋体"/>
          <w:color w:val="000000"/>
          <w:sz w:val="28"/>
          <w:szCs w:val="28"/>
        </w:rPr>
        <w:t>（见图4）</w:t>
      </w:r>
      <w:r>
        <w:rPr>
          <w:rFonts w:ascii="宋体" w:hAnsi="宋体" w:eastAsia="宋体"/>
          <w:color w:val="000000"/>
          <w:sz w:val="28"/>
          <w:szCs w:val="28"/>
        </w:rPr>
        <w:t xml:space="preserve">。 </w:t>
      </w:r>
    </w:p>
    <w:p>
      <w:pPr>
        <w:ind w:firstLine="560" w:firstLineChars="200"/>
        <w:jc w:val="center"/>
        <w:rPr>
          <w:rFonts w:ascii="宋体" w:hAnsi="宋体" w:eastAsia="宋体"/>
          <w:color w:val="000000"/>
          <w:sz w:val="28"/>
          <w:szCs w:val="28"/>
        </w:rPr>
      </w:pPr>
      <w:r>
        <w:rPr>
          <w:rFonts w:ascii="宋体" w:hAnsi="宋体" w:eastAsia="宋体"/>
          <w:color w:val="000000"/>
          <w:sz w:val="28"/>
          <w:szCs w:val="28"/>
        </w:rPr>
        <w:drawing>
          <wp:inline distT="0" distB="0" distL="0" distR="0">
            <wp:extent cx="3510915" cy="1845945"/>
            <wp:effectExtent l="0" t="0" r="0" b="1905"/>
            <wp:docPr id="4" name="图片 4" descr="C:\Users\ADMINI~1\AppData\Local\Temp\16174597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161745972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17633" cy="1849840"/>
                    </a:xfrm>
                    <a:prstGeom prst="rect">
                      <a:avLst/>
                    </a:prstGeom>
                    <a:noFill/>
                    <a:ln>
                      <a:noFill/>
                    </a:ln>
                  </pic:spPr>
                </pic:pic>
              </a:graphicData>
            </a:graphic>
          </wp:inline>
        </w:drawing>
      </w:r>
    </w:p>
    <w:p>
      <w:pPr>
        <w:ind w:firstLine="560" w:firstLineChars="200"/>
        <w:jc w:val="center"/>
        <w:rPr>
          <w:rFonts w:hint="eastAsia" w:ascii="宋体" w:hAnsi="宋体" w:eastAsia="宋体"/>
          <w:color w:val="000000"/>
          <w:sz w:val="28"/>
          <w:szCs w:val="28"/>
        </w:rPr>
      </w:pPr>
      <w:r>
        <w:rPr>
          <w:rFonts w:hint="eastAsia" w:ascii="宋体" w:hAnsi="宋体" w:eastAsia="宋体"/>
          <w:color w:val="000000"/>
          <w:sz w:val="28"/>
          <w:szCs w:val="28"/>
        </w:rPr>
        <w:t>图4</w:t>
      </w:r>
      <w:r>
        <w:rPr>
          <w:rFonts w:ascii="宋体" w:hAnsi="宋体" w:eastAsia="宋体"/>
          <w:color w:val="000000"/>
          <w:sz w:val="28"/>
          <w:szCs w:val="28"/>
        </w:rPr>
        <w:t xml:space="preserve">  IT</w:t>
      </w:r>
      <w:r>
        <w:rPr>
          <w:rFonts w:hint="eastAsia" w:ascii="宋体" w:hAnsi="宋体" w:eastAsia="宋体"/>
          <w:color w:val="000000"/>
          <w:sz w:val="28"/>
          <w:szCs w:val="28"/>
        </w:rPr>
        <w:t>行业人才性别、学历、年龄、工作年限分布图</w:t>
      </w:r>
    </w:p>
    <w:p>
      <w:pPr>
        <w:pStyle w:val="12"/>
        <w:numPr>
          <w:ilvl w:val="0"/>
          <w:numId w:val="1"/>
        </w:numPr>
        <w:ind w:firstLineChars="0"/>
        <w:jc w:val="left"/>
        <w:rPr>
          <w:rFonts w:hint="eastAsia" w:ascii="宋体" w:hAnsi="宋体" w:eastAsia="宋体"/>
          <w:color w:val="000000"/>
          <w:sz w:val="28"/>
          <w:szCs w:val="28"/>
        </w:rPr>
      </w:pPr>
      <w:r>
        <w:rPr>
          <w:rFonts w:ascii="宋体" w:hAnsi="宋体" w:eastAsia="宋体"/>
          <w:color w:val="000000"/>
          <w:sz w:val="28"/>
          <w:szCs w:val="28"/>
        </w:rPr>
        <w:t>如何保留企业核心人才</w:t>
      </w:r>
    </w:p>
    <w:p>
      <w:pPr>
        <w:ind w:firstLine="560" w:firstLineChars="200"/>
        <w:rPr>
          <w:rFonts w:ascii="宋体" w:hAnsi="宋体" w:eastAsia="宋体"/>
          <w:color w:val="000000"/>
          <w:sz w:val="28"/>
          <w:szCs w:val="28"/>
        </w:rPr>
      </w:pPr>
      <w:r>
        <w:rPr>
          <w:rFonts w:ascii="宋体" w:hAnsi="宋体" w:eastAsia="宋体"/>
          <w:color w:val="000000"/>
          <w:sz w:val="28"/>
          <w:szCs w:val="28"/>
        </w:rPr>
        <w:t xml:space="preserve">第一， 薪酬应具有持续竞争力。首先根据企业战略和发展需要，可以对企业内部各层各类的人才进行岗位评估，也就是价值排序，从而确定企业的核心人才。根据管理学的二八定律，企业中20%的人才创造了80%的价值。但是中国的现状甚至到了“一九定律”，因此关注企业中10%-20%的核心人才，通过对他们进行重点激励，最大限度地发挥他们的工作积极性和创造性，这是企业薪酬体系设计关注的重点。其次，企业每年定期做薪酬调研，根据结果判断自己的薪酬水平在整体中的位置，然后设计具有外部竞争力的薪酬管理体系，从而使得企业能够长期维持其核心能力的优势。 、 </w:t>
      </w:r>
    </w:p>
    <w:p>
      <w:pPr>
        <w:ind w:firstLine="560" w:firstLineChars="200"/>
        <w:rPr>
          <w:rFonts w:hint="eastAsia" w:ascii="宋体" w:hAnsi="宋体" w:eastAsia="宋体"/>
          <w:color w:val="000000"/>
          <w:sz w:val="28"/>
          <w:szCs w:val="28"/>
        </w:rPr>
      </w:pPr>
      <w:r>
        <w:rPr>
          <w:rFonts w:ascii="宋体" w:hAnsi="宋体" w:eastAsia="宋体"/>
          <w:color w:val="000000"/>
          <w:sz w:val="28"/>
          <w:szCs w:val="28"/>
        </w:rPr>
        <w:t xml:space="preserve">第二， 好的公司内部文化能够让核心员工不舍离开。比如让员工是否觉得工作很舒畅，为了公司的目标大家能不能步调一致，和上下级和同事的关系是否和谐，一些人为因素的事情能不能大家主动的去做好，好的企业文化会让员工感到快乐和舒服，这是减少离职率的重要因素。  </w:t>
      </w:r>
    </w:p>
    <w:p>
      <w:pPr>
        <w:pStyle w:val="12"/>
        <w:numPr>
          <w:ilvl w:val="0"/>
          <w:numId w:val="1"/>
        </w:numPr>
        <w:ind w:firstLineChars="0"/>
        <w:jc w:val="left"/>
        <w:rPr>
          <w:rFonts w:ascii="宋体" w:hAnsi="宋体" w:eastAsia="宋体"/>
          <w:color w:val="000000"/>
          <w:sz w:val="28"/>
          <w:szCs w:val="28"/>
        </w:rPr>
      </w:pPr>
      <w:r>
        <w:rPr>
          <w:rFonts w:hint="eastAsia" w:ascii="宋体" w:hAnsi="宋体" w:eastAsia="宋体"/>
          <w:color w:val="000000"/>
          <w:sz w:val="28"/>
          <w:szCs w:val="28"/>
        </w:rPr>
        <w:t>结论</w:t>
      </w:r>
      <w:r>
        <w:rPr>
          <w:rFonts w:ascii="宋体" w:hAnsi="宋体" w:eastAsia="宋体"/>
          <w:color w:val="000000"/>
          <w:sz w:val="28"/>
          <w:szCs w:val="28"/>
        </w:rPr>
        <w:t xml:space="preserve"> </w:t>
      </w:r>
    </w:p>
    <w:p>
      <w:pPr>
        <w:ind w:firstLine="560" w:firstLineChars="200"/>
        <w:rPr>
          <w:rFonts w:ascii="宋体" w:hAnsi="宋体" w:eastAsia="宋体"/>
          <w:color w:val="000000"/>
          <w:sz w:val="28"/>
          <w:szCs w:val="28"/>
        </w:rPr>
      </w:pPr>
      <w:r>
        <w:rPr>
          <w:rFonts w:ascii="宋体" w:hAnsi="宋体" w:eastAsia="宋体"/>
          <w:color w:val="000000"/>
          <w:sz w:val="28"/>
          <w:szCs w:val="28"/>
        </w:rPr>
        <w:t>总体来讲虽然整个IT行业的薪酬水平稳步有升，但是决定从业者高薪与否的关键因素仍然在工作经验、技能水平和专业领域方面有着决定性的作用。而2020年全民CPI增长对经济环境和企业运营成本带来的压力，更是使得薪酬这个话题变得更加敏感。</w:t>
      </w:r>
    </w:p>
    <w:p>
      <w:pPr>
        <w:widowControl/>
        <w:jc w:val="left"/>
        <w:rPr>
          <w:rFonts w:ascii="宋体" w:hAnsi="宋体" w:eastAsia="宋体"/>
          <w:color w:val="000000"/>
          <w:sz w:val="28"/>
          <w:szCs w:val="28"/>
        </w:rPr>
      </w:pPr>
      <w:r>
        <w:rPr>
          <w:rFonts w:ascii="宋体" w:hAnsi="宋体" w:eastAsia="宋体"/>
          <w:color w:val="000000"/>
          <w:sz w:val="28"/>
          <w:szCs w:val="28"/>
        </w:rPr>
        <w:br w:type="page"/>
      </w:r>
    </w:p>
    <w:p>
      <w:pPr>
        <w:jc w:val="left"/>
        <w:rPr>
          <w:rFonts w:ascii="宋体" w:hAnsi="宋体" w:eastAsia="宋体"/>
          <w:b/>
          <w:color w:val="000000"/>
          <w:sz w:val="28"/>
          <w:szCs w:val="28"/>
        </w:rPr>
      </w:pPr>
      <w:r>
        <w:rPr>
          <w:rFonts w:hint="eastAsia" w:ascii="宋体" w:hAnsi="宋体" w:eastAsia="宋体"/>
          <w:b/>
          <w:color w:val="000000"/>
          <w:sz w:val="28"/>
          <w:szCs w:val="28"/>
        </w:rPr>
        <w:t>参考文献</w:t>
      </w:r>
    </w:p>
    <w:p>
      <w:pPr>
        <w:jc w:val="left"/>
        <w:rPr>
          <w:rFonts w:ascii="宋体" w:hAnsi="宋体" w:eastAsia="宋体"/>
          <w:color w:val="000000"/>
          <w:sz w:val="28"/>
          <w:szCs w:val="28"/>
        </w:rPr>
      </w:pPr>
      <w:r>
        <w:rPr>
          <w:rFonts w:ascii="宋体" w:hAnsi="宋体" w:eastAsia="宋体"/>
          <w:color w:val="000000"/>
          <w:sz w:val="28"/>
          <w:szCs w:val="28"/>
        </w:rPr>
        <w:t>［1］尚策.融媒体的构建原则与模式分析［J］</w:t>
      </w:r>
      <w:r>
        <w:rPr>
          <w:rFonts w:hint="eastAsia" w:ascii="宋体" w:hAnsi="宋体" w:eastAsia="宋体"/>
          <w:color w:val="000000"/>
          <w:sz w:val="28"/>
          <w:szCs w:val="28"/>
        </w:rPr>
        <w:t>.</w:t>
      </w:r>
      <w:r>
        <w:rPr>
          <w:rFonts w:ascii="宋体" w:hAnsi="宋体" w:eastAsia="宋体"/>
          <w:color w:val="000000"/>
          <w:sz w:val="28"/>
          <w:szCs w:val="28"/>
        </w:rPr>
        <w:t>出版广角</w:t>
      </w:r>
      <w:r>
        <w:rPr>
          <w:rFonts w:hint="eastAsia" w:ascii="宋体" w:hAnsi="宋体" w:eastAsia="宋体"/>
          <w:color w:val="000000"/>
          <w:sz w:val="28"/>
          <w:szCs w:val="28"/>
        </w:rPr>
        <w:t>.</w:t>
      </w:r>
      <w:r>
        <w:rPr>
          <w:rFonts w:ascii="宋体" w:hAnsi="宋体" w:eastAsia="宋体"/>
          <w:color w:val="000000"/>
          <w:sz w:val="28"/>
          <w:szCs w:val="28"/>
        </w:rPr>
        <w:t>2015 (14)</w:t>
      </w:r>
      <w:r>
        <w:rPr>
          <w:rFonts w:hint="eastAsia" w:ascii="宋体" w:hAnsi="宋体" w:eastAsia="宋体"/>
          <w:color w:val="000000"/>
          <w:sz w:val="28"/>
          <w:szCs w:val="28"/>
        </w:rPr>
        <w:t>.</w:t>
      </w:r>
    </w:p>
    <w:p>
      <w:pPr>
        <w:jc w:val="left"/>
        <w:rPr>
          <w:rFonts w:ascii="宋体" w:hAnsi="宋体" w:eastAsia="宋体"/>
          <w:color w:val="000000"/>
          <w:sz w:val="28"/>
          <w:szCs w:val="28"/>
        </w:rPr>
      </w:pPr>
      <w:r>
        <w:rPr>
          <w:rFonts w:ascii="宋体" w:hAnsi="宋体" w:eastAsia="宋体"/>
          <w:color w:val="000000"/>
          <w:sz w:val="28"/>
          <w:szCs w:val="28"/>
        </w:rPr>
        <w:t>［2］朱春阳</w:t>
      </w:r>
      <w:r>
        <w:rPr>
          <w:rFonts w:hint="eastAsia" w:ascii="宋体" w:hAnsi="宋体" w:eastAsia="宋体"/>
          <w:color w:val="000000"/>
          <w:sz w:val="28"/>
          <w:szCs w:val="28"/>
        </w:rPr>
        <w:t>.</w:t>
      </w:r>
      <w:r>
        <w:rPr>
          <w:rFonts w:ascii="宋体" w:hAnsi="宋体" w:eastAsia="宋体"/>
          <w:color w:val="000000"/>
          <w:sz w:val="28"/>
          <w:szCs w:val="28"/>
        </w:rPr>
        <w:t>县级融媒体中心建设:经验坐标</w:t>
      </w:r>
      <w:r>
        <w:rPr>
          <w:rFonts w:hint="eastAsia" w:ascii="宋体" w:hAnsi="宋体" w:eastAsia="宋体"/>
          <w:color w:val="000000"/>
          <w:sz w:val="28"/>
          <w:szCs w:val="28"/>
        </w:rPr>
        <w:t>、</w:t>
      </w:r>
      <w:r>
        <w:rPr>
          <w:rFonts w:ascii="宋体" w:hAnsi="宋体" w:eastAsia="宋体"/>
          <w:color w:val="000000"/>
          <w:sz w:val="28"/>
          <w:szCs w:val="28"/>
        </w:rPr>
        <w:t>发展机遇与路径创新［J］．新闻界</w:t>
      </w:r>
      <w:r>
        <w:rPr>
          <w:rFonts w:hint="eastAsia" w:ascii="宋体" w:hAnsi="宋体" w:eastAsia="宋体"/>
          <w:color w:val="000000"/>
          <w:sz w:val="28"/>
          <w:szCs w:val="28"/>
        </w:rPr>
        <w:t>,</w:t>
      </w:r>
      <w:r>
        <w:rPr>
          <w:rFonts w:ascii="宋体" w:hAnsi="宋体" w:eastAsia="宋体"/>
          <w:color w:val="000000"/>
          <w:sz w:val="28"/>
          <w:szCs w:val="28"/>
        </w:rPr>
        <w:t>2018(9)</w:t>
      </w:r>
      <w:r>
        <w:rPr>
          <w:rFonts w:hint="eastAsia" w:ascii="宋体" w:hAnsi="宋体" w:eastAsia="宋体"/>
          <w:color w:val="000000"/>
          <w:sz w:val="28"/>
          <w:szCs w:val="28"/>
        </w:rPr>
        <w:t>.</w:t>
      </w:r>
    </w:p>
    <w:p>
      <w:pPr>
        <w:jc w:val="left"/>
        <w:rPr>
          <w:rFonts w:ascii="宋体" w:hAnsi="宋体" w:eastAsia="宋体"/>
          <w:color w:val="000000"/>
          <w:sz w:val="28"/>
          <w:szCs w:val="28"/>
        </w:rPr>
      </w:pPr>
      <w:r>
        <w:rPr>
          <w:rFonts w:ascii="宋体" w:hAnsi="宋体" w:eastAsia="宋体"/>
          <w:color w:val="000000"/>
          <w:sz w:val="28"/>
          <w:szCs w:val="28"/>
        </w:rPr>
        <w:t>［3］谢新洲</w:t>
      </w:r>
      <w:r>
        <w:rPr>
          <w:rFonts w:hint="eastAsia" w:ascii="宋体" w:hAnsi="宋体" w:eastAsia="宋体"/>
          <w:color w:val="000000"/>
          <w:sz w:val="28"/>
          <w:szCs w:val="28"/>
        </w:rPr>
        <w:t>,</w:t>
      </w:r>
      <w:r>
        <w:rPr>
          <w:rFonts w:ascii="宋体" w:hAnsi="宋体" w:eastAsia="宋体"/>
          <w:color w:val="000000"/>
          <w:sz w:val="28"/>
          <w:szCs w:val="28"/>
        </w:rPr>
        <w:t>黄杨.我国县级融媒体建设的现状与问题［J］</w:t>
      </w:r>
      <w:r>
        <w:rPr>
          <w:rFonts w:hint="eastAsia" w:ascii="宋体" w:hAnsi="宋体" w:eastAsia="宋体"/>
          <w:color w:val="000000"/>
          <w:sz w:val="28"/>
          <w:szCs w:val="28"/>
        </w:rPr>
        <w:t>.</w:t>
      </w:r>
      <w:r>
        <w:rPr>
          <w:rFonts w:ascii="宋体" w:hAnsi="宋体" w:eastAsia="宋体"/>
          <w:color w:val="000000"/>
          <w:sz w:val="28"/>
          <w:szCs w:val="28"/>
        </w:rPr>
        <w:t>中国记者</w:t>
      </w:r>
      <w:r>
        <w:rPr>
          <w:rFonts w:hint="eastAsia" w:ascii="宋体" w:hAnsi="宋体" w:eastAsia="宋体"/>
          <w:color w:val="000000"/>
          <w:sz w:val="28"/>
          <w:szCs w:val="28"/>
        </w:rPr>
        <w:t>,</w:t>
      </w:r>
      <w:r>
        <w:rPr>
          <w:rFonts w:ascii="宋体" w:hAnsi="宋体" w:eastAsia="宋体"/>
          <w:color w:val="000000"/>
          <w:sz w:val="28"/>
          <w:szCs w:val="28"/>
        </w:rPr>
        <w:t>2018(10)</w:t>
      </w:r>
      <w:r>
        <w:rPr>
          <w:rFonts w:hint="eastAsia" w:ascii="宋体" w:hAnsi="宋体" w:eastAsia="宋体"/>
          <w:color w:val="000000"/>
          <w:sz w:val="28"/>
          <w:szCs w:val="28"/>
        </w:rPr>
        <w:t>.</w:t>
      </w:r>
    </w:p>
    <w:p>
      <w:pPr>
        <w:jc w:val="left"/>
        <w:rPr>
          <w:rFonts w:ascii="宋体" w:hAnsi="宋体" w:eastAsia="宋体"/>
          <w:color w:val="000000"/>
          <w:sz w:val="28"/>
          <w:szCs w:val="28"/>
        </w:rPr>
      </w:pPr>
      <w:r>
        <w:rPr>
          <w:rFonts w:ascii="宋体" w:hAnsi="宋体" w:eastAsia="宋体"/>
          <w:color w:val="000000"/>
          <w:sz w:val="28"/>
          <w:szCs w:val="28"/>
        </w:rPr>
        <w:t>［4］孟祥燕.融媒体时代下如何培养广播新闻编辑的创新意识［J］</w:t>
      </w:r>
      <w:r>
        <w:rPr>
          <w:rFonts w:hint="eastAsia" w:ascii="宋体" w:hAnsi="宋体" w:eastAsia="宋体"/>
          <w:color w:val="000000"/>
          <w:sz w:val="28"/>
          <w:szCs w:val="28"/>
        </w:rPr>
        <w:t>.</w:t>
      </w:r>
      <w:r>
        <w:rPr>
          <w:rFonts w:ascii="宋体" w:hAnsi="宋体" w:eastAsia="宋体"/>
          <w:color w:val="000000"/>
          <w:sz w:val="28"/>
          <w:szCs w:val="28"/>
        </w:rPr>
        <w:t>科技传播</w:t>
      </w:r>
      <w:r>
        <w:rPr>
          <w:rFonts w:hint="eastAsia" w:ascii="宋体" w:hAnsi="宋体" w:eastAsia="宋体"/>
          <w:color w:val="000000"/>
          <w:sz w:val="28"/>
          <w:szCs w:val="28"/>
        </w:rPr>
        <w:t>,</w:t>
      </w:r>
      <w:r>
        <w:rPr>
          <w:rFonts w:ascii="宋体" w:hAnsi="宋体" w:eastAsia="宋体"/>
          <w:color w:val="000000"/>
          <w:sz w:val="28"/>
          <w:szCs w:val="28"/>
        </w:rPr>
        <w:t>2014(7)</w:t>
      </w:r>
      <w:r>
        <w:rPr>
          <w:rFonts w:hint="eastAsia" w:ascii="宋体" w:hAnsi="宋体" w:eastAsia="宋体"/>
          <w:color w:val="000000"/>
          <w:sz w:val="28"/>
          <w:szCs w:val="28"/>
        </w:rPr>
        <w:t>.</w:t>
      </w:r>
    </w:p>
    <w:p>
      <w:pPr>
        <w:jc w:val="left"/>
        <w:rPr>
          <w:rFonts w:ascii="宋体" w:hAnsi="宋体" w:eastAsia="宋体"/>
          <w:color w:val="000000"/>
          <w:sz w:val="28"/>
          <w:szCs w:val="28"/>
        </w:rPr>
      </w:pPr>
      <w:r>
        <w:rPr>
          <w:rFonts w:ascii="宋体" w:hAnsi="宋体" w:eastAsia="宋体"/>
          <w:color w:val="000000"/>
          <w:sz w:val="28"/>
          <w:szCs w:val="28"/>
        </w:rPr>
        <w:t>［5］许盛循.融媒体背景下电视民生新闻的创新与发展探究［D］</w:t>
      </w:r>
      <w:r>
        <w:rPr>
          <w:rFonts w:hint="eastAsia" w:ascii="宋体" w:hAnsi="宋体" w:eastAsia="宋体"/>
          <w:color w:val="000000"/>
          <w:sz w:val="28"/>
          <w:szCs w:val="28"/>
        </w:rPr>
        <w:t>.</w:t>
      </w:r>
      <w:r>
        <w:rPr>
          <w:rFonts w:ascii="宋体" w:hAnsi="宋体" w:eastAsia="宋体"/>
          <w:color w:val="000000"/>
          <w:sz w:val="28"/>
          <w:szCs w:val="28"/>
        </w:rPr>
        <w:t>哈尔滨:哈尔滨师范大学</w:t>
      </w:r>
      <w:r>
        <w:rPr>
          <w:rFonts w:hint="eastAsia" w:ascii="宋体" w:hAnsi="宋体" w:eastAsia="宋体"/>
          <w:color w:val="000000"/>
          <w:sz w:val="28"/>
          <w:szCs w:val="28"/>
        </w:rPr>
        <w:t>,</w:t>
      </w:r>
      <w:r>
        <w:rPr>
          <w:rFonts w:ascii="宋体" w:hAnsi="宋体" w:eastAsia="宋体"/>
          <w:color w:val="000000"/>
          <w:sz w:val="28"/>
          <w:szCs w:val="28"/>
        </w:rPr>
        <w:t>2016.</w:t>
      </w:r>
    </w:p>
    <w:p>
      <w:pPr>
        <w:jc w:val="left"/>
        <w:rPr>
          <w:rFonts w:ascii="宋体" w:hAnsi="宋体" w:eastAsia="宋体"/>
          <w:color w:val="000000"/>
          <w:sz w:val="28"/>
          <w:szCs w:val="28"/>
        </w:rPr>
      </w:pPr>
      <w:r>
        <w:rPr>
          <w:rFonts w:ascii="宋体" w:hAnsi="宋体" w:eastAsia="宋体"/>
          <w:color w:val="000000"/>
          <w:sz w:val="28"/>
          <w:szCs w:val="28"/>
        </w:rPr>
        <w:t>［6］汪娴.融媒体时代下如何培养广播新闻编辑的创新意识［J］</w:t>
      </w:r>
      <w:r>
        <w:rPr>
          <w:rFonts w:hint="eastAsia" w:ascii="宋体" w:hAnsi="宋体" w:eastAsia="宋体"/>
          <w:color w:val="000000"/>
          <w:sz w:val="28"/>
          <w:szCs w:val="28"/>
        </w:rPr>
        <w:t>.</w:t>
      </w:r>
      <w:r>
        <w:rPr>
          <w:rFonts w:ascii="宋体" w:hAnsi="宋体" w:eastAsia="宋体"/>
          <w:color w:val="000000"/>
          <w:sz w:val="28"/>
          <w:szCs w:val="28"/>
        </w:rPr>
        <w:t>新媒体研究</w:t>
      </w:r>
      <w:r>
        <w:rPr>
          <w:rFonts w:hint="eastAsia" w:ascii="宋体" w:hAnsi="宋体" w:eastAsia="宋体"/>
          <w:color w:val="000000"/>
          <w:sz w:val="28"/>
          <w:szCs w:val="28"/>
        </w:rPr>
        <w:t>,</w:t>
      </w:r>
      <w:r>
        <w:rPr>
          <w:rFonts w:ascii="宋体" w:hAnsi="宋体" w:eastAsia="宋体"/>
          <w:color w:val="000000"/>
          <w:sz w:val="28"/>
          <w:szCs w:val="28"/>
        </w:rPr>
        <w:t>2016(22)</w:t>
      </w:r>
      <w:r>
        <w:rPr>
          <w:rFonts w:hint="eastAsia" w:ascii="宋体" w:hAnsi="宋体" w:eastAsia="宋体"/>
          <w:color w:val="000000"/>
          <w:sz w:val="28"/>
          <w:szCs w:val="28"/>
        </w:rPr>
        <w:t>.</w:t>
      </w:r>
    </w:p>
    <w:p>
      <w:pPr>
        <w:jc w:val="left"/>
        <w:rPr>
          <w:rFonts w:ascii="宋体" w:hAnsi="宋体" w:eastAsia="宋体"/>
          <w:color w:val="000000"/>
          <w:sz w:val="28"/>
          <w:szCs w:val="28"/>
        </w:rPr>
      </w:pPr>
      <w:r>
        <w:rPr>
          <w:rFonts w:ascii="宋体" w:hAnsi="宋体" w:eastAsia="宋体"/>
          <w:color w:val="000000"/>
          <w:sz w:val="28"/>
          <w:szCs w:val="28"/>
        </w:rPr>
        <w:t>［7］张英华.融媒体时代电视新闻编辑的创新意识和融合能力［J］.西部广播电视</w:t>
      </w:r>
      <w:r>
        <w:rPr>
          <w:rFonts w:hint="eastAsia" w:ascii="宋体" w:hAnsi="宋体" w:eastAsia="宋体"/>
          <w:color w:val="000000"/>
          <w:sz w:val="28"/>
          <w:szCs w:val="28"/>
        </w:rPr>
        <w:t>,</w:t>
      </w:r>
      <w:r>
        <w:rPr>
          <w:rFonts w:ascii="宋体" w:hAnsi="宋体" w:eastAsia="宋体"/>
          <w:color w:val="000000"/>
          <w:sz w:val="28"/>
          <w:szCs w:val="28"/>
        </w:rPr>
        <w:t>2017(17)</w:t>
      </w:r>
      <w:r>
        <w:rPr>
          <w:rFonts w:hint="eastAsia" w:ascii="宋体" w:hAnsi="宋体" w:eastAsia="宋体"/>
          <w:color w:val="000000"/>
          <w:sz w:val="28"/>
          <w:szCs w:val="28"/>
        </w:rPr>
        <w:t>.</w:t>
      </w:r>
    </w:p>
    <w:p>
      <w:pPr>
        <w:jc w:val="left"/>
        <w:rPr>
          <w:rFonts w:ascii="宋体" w:hAnsi="宋体" w:eastAsia="宋体"/>
          <w:color w:val="000000"/>
          <w:sz w:val="28"/>
          <w:szCs w:val="28"/>
        </w:rPr>
      </w:pPr>
      <w:r>
        <w:rPr>
          <w:rFonts w:ascii="宋体" w:hAnsi="宋体" w:eastAsia="宋体"/>
          <w:color w:val="000000"/>
          <w:sz w:val="28"/>
          <w:szCs w:val="28"/>
        </w:rPr>
        <w:t>［8］吴琪娜.时政新闻在融媒体平台的传播与策略探究［J］</w:t>
      </w:r>
      <w:r>
        <w:rPr>
          <w:rFonts w:hint="eastAsia" w:ascii="宋体" w:hAnsi="宋体" w:eastAsia="宋体"/>
          <w:color w:val="000000"/>
          <w:sz w:val="28"/>
          <w:szCs w:val="28"/>
        </w:rPr>
        <w:t>.</w:t>
      </w:r>
      <w:r>
        <w:rPr>
          <w:rFonts w:ascii="宋体" w:hAnsi="宋体" w:eastAsia="宋体"/>
          <w:color w:val="000000"/>
          <w:sz w:val="28"/>
          <w:szCs w:val="28"/>
        </w:rPr>
        <w:t>记者摇篮</w:t>
      </w:r>
      <w:r>
        <w:rPr>
          <w:rFonts w:hint="eastAsia" w:ascii="宋体" w:hAnsi="宋体" w:eastAsia="宋体"/>
          <w:color w:val="000000"/>
          <w:sz w:val="28"/>
          <w:szCs w:val="28"/>
        </w:rPr>
        <w:t>,</w:t>
      </w:r>
      <w:r>
        <w:rPr>
          <w:rFonts w:ascii="宋体" w:hAnsi="宋体" w:eastAsia="宋体"/>
          <w:color w:val="000000"/>
          <w:sz w:val="28"/>
          <w:szCs w:val="28"/>
        </w:rPr>
        <w:t>2019(12)</w:t>
      </w:r>
      <w:r>
        <w:rPr>
          <w:rFonts w:hint="eastAsia" w:ascii="宋体" w:hAnsi="宋体" w:eastAsia="宋体"/>
          <w:color w:val="000000"/>
          <w:sz w:val="28"/>
          <w:szCs w:val="28"/>
        </w:rPr>
        <w:t>.</w:t>
      </w:r>
    </w:p>
    <w:p>
      <w:pPr>
        <w:jc w:val="left"/>
        <w:rPr>
          <w:rFonts w:ascii="宋体" w:hAnsi="宋体" w:eastAsia="宋体"/>
          <w:color w:val="000000"/>
          <w:sz w:val="28"/>
          <w:szCs w:val="28"/>
        </w:rPr>
      </w:pPr>
      <w:r>
        <w:rPr>
          <w:rFonts w:ascii="宋体" w:hAnsi="宋体" w:eastAsia="宋体"/>
          <w:color w:val="000000"/>
          <w:sz w:val="28"/>
          <w:szCs w:val="28"/>
        </w:rPr>
        <w:t>［9］穆军.大连新闻传媒集团融媒体平台建设和运营的思考［J］</w:t>
      </w:r>
      <w:r>
        <w:rPr>
          <w:rFonts w:hint="eastAsia" w:ascii="宋体" w:hAnsi="宋体" w:eastAsia="宋体"/>
          <w:color w:val="000000"/>
          <w:sz w:val="28"/>
          <w:szCs w:val="28"/>
        </w:rPr>
        <w:t>.</w:t>
      </w:r>
      <w:r>
        <w:rPr>
          <w:rFonts w:ascii="宋体" w:hAnsi="宋体" w:eastAsia="宋体"/>
          <w:color w:val="000000"/>
          <w:sz w:val="28"/>
          <w:szCs w:val="28"/>
        </w:rPr>
        <w:t>有线电视技术</w:t>
      </w:r>
      <w:r>
        <w:rPr>
          <w:rFonts w:hint="eastAsia" w:ascii="宋体" w:hAnsi="宋体" w:eastAsia="宋体"/>
          <w:color w:val="000000"/>
          <w:sz w:val="28"/>
          <w:szCs w:val="28"/>
        </w:rPr>
        <w:t>,</w:t>
      </w:r>
      <w:r>
        <w:rPr>
          <w:rFonts w:ascii="宋体" w:hAnsi="宋体" w:eastAsia="宋体"/>
          <w:color w:val="000000"/>
          <w:sz w:val="28"/>
          <w:szCs w:val="28"/>
        </w:rPr>
        <w:t>2019(12).</w:t>
      </w:r>
    </w:p>
    <w:p>
      <w:pPr>
        <w:jc w:val="left"/>
        <w:rPr>
          <w:rFonts w:ascii="宋体" w:hAnsi="宋体" w:eastAsia="宋体"/>
          <w:color w:val="000000"/>
          <w:sz w:val="28"/>
          <w:szCs w:val="28"/>
        </w:rPr>
      </w:pPr>
      <w:r>
        <w:rPr>
          <w:rFonts w:ascii="宋体" w:hAnsi="宋体" w:eastAsia="宋体"/>
          <w:color w:val="000000"/>
          <w:sz w:val="28"/>
          <w:szCs w:val="28"/>
        </w:rPr>
        <w:t>［10］陈威如</w:t>
      </w:r>
      <w:r>
        <w:rPr>
          <w:rFonts w:hint="eastAsia" w:ascii="宋体" w:hAnsi="宋体" w:eastAsia="宋体"/>
          <w:color w:val="000000"/>
          <w:sz w:val="28"/>
          <w:szCs w:val="28"/>
        </w:rPr>
        <w:t>,</w:t>
      </w:r>
      <w:r>
        <w:rPr>
          <w:rFonts w:ascii="宋体" w:hAnsi="宋体" w:eastAsia="宋体"/>
          <w:color w:val="000000"/>
          <w:sz w:val="28"/>
          <w:szCs w:val="28"/>
        </w:rPr>
        <w:t>余卓轩.平台战略［M］</w:t>
      </w:r>
      <w:r>
        <w:rPr>
          <w:rFonts w:hint="eastAsia" w:ascii="宋体" w:hAnsi="宋体" w:eastAsia="宋体"/>
          <w:color w:val="000000"/>
          <w:sz w:val="28"/>
          <w:szCs w:val="28"/>
        </w:rPr>
        <w:t>.</w:t>
      </w:r>
      <w:r>
        <w:rPr>
          <w:rFonts w:ascii="宋体" w:hAnsi="宋体" w:eastAsia="宋体"/>
          <w:color w:val="000000"/>
          <w:sz w:val="28"/>
          <w:szCs w:val="28"/>
        </w:rPr>
        <w:t>北京: 中信出版社</w:t>
      </w:r>
      <w:r>
        <w:rPr>
          <w:rFonts w:hint="eastAsia" w:ascii="宋体" w:hAnsi="宋体" w:eastAsia="宋体"/>
          <w:color w:val="000000"/>
          <w:sz w:val="28"/>
          <w:szCs w:val="28"/>
        </w:rPr>
        <w:t>,</w:t>
      </w:r>
      <w:r>
        <w:rPr>
          <w:rFonts w:ascii="宋体" w:hAnsi="宋体" w:eastAsia="宋体"/>
          <w:color w:val="000000"/>
          <w:sz w:val="28"/>
          <w:szCs w:val="28"/>
        </w:rPr>
        <w:t>2013:22.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E-BZ+ZDKAIq-2">
    <w:altName w:val="Cambria"/>
    <w:panose1 w:val="00000000000000000000"/>
    <w:charset w:val="00"/>
    <w:family w:val="roman"/>
    <w:pitch w:val="default"/>
    <w:sig w:usb0="00000000" w:usb1="00000000" w:usb2="00000000" w:usb3="00000000" w:csb0="00000000" w:csb1="00000000"/>
  </w:font>
  <w:font w:name="FZSSK--GBK1-00+ZDKAIs-19">
    <w:altName w:val="Segoe Print"/>
    <w:panose1 w:val="00000000000000000000"/>
    <w:charset w:val="00"/>
    <w:family w:val="roman"/>
    <w:pitch w:val="default"/>
    <w:sig w:usb0="00000000" w:usb1="00000000" w:usb2="00000000" w:usb3="00000000" w:csb0="00000000" w:csb1="00000000"/>
  </w:font>
  <w:font w:name="FZSSK--GBK1-00+ZDKAIq-8">
    <w:altName w:val="Cambria"/>
    <w:panose1 w:val="00000000000000000000"/>
    <w:charset w:val="00"/>
    <w:family w:val="roman"/>
    <w:pitch w:val="default"/>
    <w:sig w:usb0="00000000" w:usb1="00000000" w:usb2="00000000" w:usb3="00000000" w:csb0="00000000" w:csb1="00000000"/>
  </w:font>
  <w:font w:name="FZSSK--GBK1-00+ZDKAIr-11">
    <w:altName w:val="Cambria"/>
    <w:panose1 w:val="00000000000000000000"/>
    <w:charset w:val="00"/>
    <w:family w:val="roman"/>
    <w:pitch w:val="default"/>
    <w:sig w:usb0="00000000" w:usb1="00000000" w:usb2="00000000" w:usb3="00000000" w:csb0="00000000" w:csb1="00000000"/>
  </w:font>
  <w:font w:name="FZSSK--GBK1-00+ZDKAIq-10">
    <w:altName w:val="Cambria"/>
    <w:panose1 w:val="00000000000000000000"/>
    <w:charset w:val="00"/>
    <w:family w:val="roman"/>
    <w:pitch w:val="default"/>
    <w:sig w:usb0="00000000" w:usb1="00000000" w:usb2="00000000" w:usb3="00000000" w:csb0="00000000" w:csb1="00000000"/>
  </w:font>
  <w:font w:name="SSJ4+ZDKAIq-1">
    <w:altName w:val="Cambria"/>
    <w:panose1 w:val="00000000000000000000"/>
    <w:charset w:val="00"/>
    <w:family w:val="roman"/>
    <w:pitch w:val="default"/>
    <w:sig w:usb0="00000000" w:usb1="00000000" w:usb2="00000000" w:usb3="00000000" w:csb0="00000000" w:csb1="00000000"/>
  </w:font>
  <w:font w:name="FZSSK--GBK1-00+ZDKAIq-9">
    <w:altName w:val="Cambria"/>
    <w:panose1 w:val="00000000000000000000"/>
    <w:charset w:val="00"/>
    <w:family w:val="roman"/>
    <w:pitch w:val="default"/>
    <w:sig w:usb0="00000000" w:usb1="00000000" w:usb2="00000000" w:usb3="00000000" w:csb0="00000000" w:csb1="00000000"/>
  </w:font>
  <w:font w:name="FZSSK--GBK1-00+ZDKAIs-20">
    <w:altName w:val="Segoe Print"/>
    <w:panose1 w:val="00000000000000000000"/>
    <w:charset w:val="00"/>
    <w:family w:val="roman"/>
    <w:pitch w:val="default"/>
    <w:sig w:usb0="00000000" w:usb1="00000000" w:usb2="00000000" w:usb3="00000000" w:csb0="00000000" w:csb1="00000000"/>
  </w:font>
  <w:font w:name="FZSSK--GBK1-00+ZDKAIr-12">
    <w:altName w:val="Segoe Print"/>
    <w:panose1 w:val="00000000000000000000"/>
    <w:charset w:val="00"/>
    <w:family w:val="roman"/>
    <w:pitch w:val="default"/>
    <w:sig w:usb0="00000000" w:usb1="00000000" w:usb2="00000000" w:usb3="00000000" w:csb0="00000000" w:csb1="00000000"/>
  </w:font>
  <w:font w:name="FZSSK--GBK1-00+ZDKAIr-13">
    <w:altName w:val="Cambria"/>
    <w:panose1 w:val="00000000000000000000"/>
    <w:charset w:val="00"/>
    <w:family w:val="roman"/>
    <w:pitch w:val="default"/>
    <w:sig w:usb0="00000000" w:usb1="00000000" w:usb2="00000000" w:usb3="00000000" w:csb0="00000000" w:csb1="00000000"/>
  </w:font>
  <w:font w:name="FZSSK--GBK1-00+ZDKAIv-29">
    <w:altName w:val="Cambria"/>
    <w:panose1 w:val="00000000000000000000"/>
    <w:charset w:val="00"/>
    <w:family w:val="roman"/>
    <w:pitch w:val="default"/>
    <w:sig w:usb0="00000000" w:usb1="00000000" w:usb2="00000000" w:usb3="00000000" w:csb0="00000000" w:csb1="00000000"/>
  </w:font>
  <w:font w:name="FZSSK--GBK1-00+ZDKAIs-18">
    <w:altName w:val="Cambria"/>
    <w:panose1 w:val="00000000000000000000"/>
    <w:charset w:val="00"/>
    <w:family w:val="roman"/>
    <w:pitch w:val="default"/>
    <w:sig w:usb0="00000000" w:usb1="00000000" w:usb2="00000000" w:usb3="00000000" w:csb0="00000000" w:csb1="00000000"/>
  </w:font>
  <w:font w:name="FZSSK--GBK1-00+ZDKAI3-47">
    <w:altName w:val="Segoe Print"/>
    <w:panose1 w:val="00000000000000000000"/>
    <w:charset w:val="00"/>
    <w:family w:val="roman"/>
    <w:pitch w:val="default"/>
    <w:sig w:usb0="00000000" w:usb1="00000000" w:usb2="00000000" w:usb3="00000000" w:csb0="00000000" w:csb1="00000000"/>
  </w:font>
  <w:font w:name="FZWBK--GBK1-00+ZDKAIq-7">
    <w:altName w:val="Segoe Print"/>
    <w:panose1 w:val="00000000000000000000"/>
    <w:charset w:val="00"/>
    <w:family w:val="roman"/>
    <w:pitch w:val="default"/>
    <w:sig w:usb0="00000000" w:usb1="00000000" w:usb2="00000000" w:usb3="00000000" w:csb0="00000000" w:csb1="00000000"/>
  </w:font>
  <w:font w:name="FZSSK--GBK1-00+ZDKAIu-26">
    <w:altName w:val="Segoe Print"/>
    <w:panose1 w:val="00000000000000000000"/>
    <w:charset w:val="00"/>
    <w:family w:val="roman"/>
    <w:pitch w:val="default"/>
    <w:sig w:usb0="00000000" w:usb1="00000000" w:usb2="00000000" w:usb3="00000000" w:csb0="00000000" w:csb1="00000000"/>
  </w:font>
  <w:font w:name="FZSSK--GBK1-00+ZDKAJG-59">
    <w:altName w:val="Segoe Print"/>
    <w:panose1 w:val="00000000000000000000"/>
    <w:charset w:val="00"/>
    <w:family w:val="roman"/>
    <w:pitch w:val="default"/>
    <w:sig w:usb0="00000000" w:usb1="00000000" w:usb2="00000000" w:usb3="00000000" w:csb0="00000000" w:csb1="00000000"/>
  </w:font>
  <w:font w:name="FZSSK--GBK1-00+ZDKAIx-33">
    <w:altName w:val="Segoe Print"/>
    <w:panose1 w:val="00000000000000000000"/>
    <w:charset w:val="00"/>
    <w:family w:val="roman"/>
    <w:pitch w:val="default"/>
    <w:sig w:usb0="00000000" w:usb1="00000000" w:usb2="00000000" w:usb3="00000000" w:csb0="00000000" w:csb1="00000000"/>
  </w:font>
  <w:font w:name="FZSSK--GBK1-00+ZDKAI4-48">
    <w:altName w:val="Segoe Print"/>
    <w:panose1 w:val="00000000000000000000"/>
    <w:charset w:val="00"/>
    <w:family w:val="roman"/>
    <w:pitch w:val="default"/>
    <w:sig w:usb0="00000000" w:usb1="00000000" w:usb2="00000000" w:usb3="00000000" w:csb0="00000000" w:csb1="00000000"/>
  </w:font>
  <w:font w:name="FZSSK--GBK1-00+ZDKAJL-62">
    <w:altName w:val="Cambria"/>
    <w:panose1 w:val="00000000000000000000"/>
    <w:charset w:val="00"/>
    <w:family w:val="roman"/>
    <w:pitch w:val="default"/>
    <w:sig w:usb0="00000000" w:usb1="00000000" w:usb2="00000000" w:usb3="00000000" w:csb0="00000000" w:csb1="00000000"/>
  </w:font>
  <w:font w:name="FZSSK--GBK1-00+ZDKAIu-24">
    <w:altName w:val="Segoe Print"/>
    <w:panose1 w:val="00000000000000000000"/>
    <w:charset w:val="00"/>
    <w:family w:val="roman"/>
    <w:pitch w:val="default"/>
    <w:sig w:usb0="00000000" w:usb1="00000000" w:usb2="00000000" w:usb3="00000000" w:csb0="00000000" w:csb1="00000000"/>
  </w:font>
  <w:font w:name="FZSSK--GBK1-00+ZDKAJD-56">
    <w:altName w:val="Segoe Print"/>
    <w:panose1 w:val="00000000000000000000"/>
    <w:charset w:val="00"/>
    <w:family w:val="roman"/>
    <w:pitch w:val="default"/>
    <w:sig w:usb0="00000000" w:usb1="00000000" w:usb2="00000000" w:usb3="00000000" w:csb0="00000000" w:csb1="00000000"/>
  </w:font>
  <w:font w:name="DY1+ZDKAIq-6">
    <w:altName w:val="Cambria"/>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B7005"/>
    <w:multiLevelType w:val="multilevel"/>
    <w:tmpl w:val="083B7005"/>
    <w:lvl w:ilvl="0" w:tentative="0">
      <w:start w:val="1"/>
      <w:numFmt w:val="decimal"/>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23"/>
    <w:rsid w:val="000403C0"/>
    <w:rsid w:val="000B28F5"/>
    <w:rsid w:val="000D071E"/>
    <w:rsid w:val="001F7320"/>
    <w:rsid w:val="002D2E35"/>
    <w:rsid w:val="002F24CB"/>
    <w:rsid w:val="003E3385"/>
    <w:rsid w:val="004D57C8"/>
    <w:rsid w:val="0057537C"/>
    <w:rsid w:val="0061301A"/>
    <w:rsid w:val="00627AFF"/>
    <w:rsid w:val="007322DF"/>
    <w:rsid w:val="007C4D12"/>
    <w:rsid w:val="00861B07"/>
    <w:rsid w:val="008E2852"/>
    <w:rsid w:val="0092548A"/>
    <w:rsid w:val="009B6AFF"/>
    <w:rsid w:val="00A10723"/>
    <w:rsid w:val="00A13E72"/>
    <w:rsid w:val="00A83340"/>
    <w:rsid w:val="00B3116B"/>
    <w:rsid w:val="00B350B0"/>
    <w:rsid w:val="00D51E53"/>
    <w:rsid w:val="00DB49AB"/>
    <w:rsid w:val="00E72DE3"/>
    <w:rsid w:val="00E769E9"/>
    <w:rsid w:val="00EC54E8"/>
    <w:rsid w:val="00F57A7A"/>
    <w:rsid w:val="00FF5D71"/>
    <w:rsid w:val="2A0E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9"/>
    <w:qFormat/>
    <w:uiPriority w:val="1"/>
    <w:pPr>
      <w:autoSpaceDE w:val="0"/>
      <w:autoSpaceDN w:val="0"/>
      <w:adjustRightInd w:val="0"/>
      <w:jc w:val="left"/>
    </w:pPr>
    <w:rPr>
      <w:rFonts w:ascii="Times New Roman" w:hAnsi="Times New Roman" w:cs="Times New Roman"/>
      <w:kern w:val="0"/>
      <w:sz w:val="24"/>
      <w:szCs w:val="24"/>
    </w:rPr>
  </w:style>
  <w:style w:type="character" w:customStyle="1" w:styleId="7">
    <w:name w:val="fontstyle01"/>
    <w:basedOn w:val="6"/>
    <w:uiPriority w:val="0"/>
    <w:rPr>
      <w:rFonts w:hint="default" w:ascii="Helvetica" w:hAnsi="Helvetica"/>
      <w:color w:val="000000"/>
      <w:sz w:val="42"/>
      <w:szCs w:val="42"/>
    </w:rPr>
  </w:style>
  <w:style w:type="character" w:customStyle="1" w:styleId="8">
    <w:name w:val="fontstyle21"/>
    <w:basedOn w:val="6"/>
    <w:uiPriority w:val="0"/>
    <w:rPr>
      <w:rFonts w:hint="eastAsia" w:ascii="宋体" w:hAnsi="宋体" w:eastAsia="宋体"/>
      <w:color w:val="000000"/>
      <w:sz w:val="42"/>
      <w:szCs w:val="42"/>
    </w:rPr>
  </w:style>
  <w:style w:type="character" w:customStyle="1" w:styleId="9">
    <w:name w:val="标题 字符"/>
    <w:basedOn w:val="6"/>
    <w:link w:val="4"/>
    <w:uiPriority w:val="1"/>
    <w:rPr>
      <w:rFonts w:ascii="Times New Roman" w:hAnsi="Times New Roman" w:cs="Times New Roman"/>
      <w:kern w:val="0"/>
      <w:sz w:val="24"/>
      <w:szCs w:val="24"/>
    </w:rPr>
  </w:style>
  <w:style w:type="character" w:customStyle="1" w:styleId="10">
    <w:name w:val="页眉 字符"/>
    <w:basedOn w:val="6"/>
    <w:link w:val="3"/>
    <w:uiPriority w:val="99"/>
    <w:rPr>
      <w:sz w:val="18"/>
      <w:szCs w:val="18"/>
    </w:rPr>
  </w:style>
  <w:style w:type="character" w:customStyle="1" w:styleId="11">
    <w:name w:val="页脚 字符"/>
    <w:basedOn w:val="6"/>
    <w:link w:val="2"/>
    <w:uiPriority w:val="99"/>
    <w:rPr>
      <w:sz w:val="18"/>
      <w:szCs w:val="18"/>
    </w:rPr>
  </w:style>
  <w:style w:type="paragraph" w:styleId="12">
    <w:name w:val="List Paragraph"/>
    <w:basedOn w:val="1"/>
    <w:qFormat/>
    <w:uiPriority w:val="34"/>
    <w:pPr>
      <w:ind w:firstLine="420" w:firstLineChars="200"/>
    </w:pPr>
  </w:style>
  <w:style w:type="character" w:customStyle="1" w:styleId="13">
    <w:name w:val="fontstyle110"/>
    <w:basedOn w:val="6"/>
    <w:uiPriority w:val="0"/>
    <w:rPr>
      <w:rFonts w:hint="default" w:ascii="E-BZ+ZDKAIq-2" w:hAnsi="E-BZ+ZDKAIq-2"/>
      <w:color w:val="000000"/>
      <w:sz w:val="16"/>
      <w:szCs w:val="16"/>
    </w:rPr>
  </w:style>
  <w:style w:type="character" w:customStyle="1" w:styleId="14">
    <w:name w:val="fontstyle31"/>
    <w:basedOn w:val="6"/>
    <w:uiPriority w:val="0"/>
    <w:rPr>
      <w:rFonts w:hint="default" w:ascii="FZSSK--GBK1-00+ZDKAIs-19" w:hAnsi="FZSSK--GBK1-00+ZDKAIs-19"/>
      <w:color w:val="000000"/>
      <w:sz w:val="16"/>
      <w:szCs w:val="16"/>
    </w:rPr>
  </w:style>
  <w:style w:type="character" w:customStyle="1" w:styleId="15">
    <w:name w:val="fontstyle41"/>
    <w:basedOn w:val="6"/>
    <w:uiPriority w:val="0"/>
    <w:rPr>
      <w:rFonts w:hint="default" w:ascii="FZSSK--GBK1-00+ZDKAIq-8" w:hAnsi="FZSSK--GBK1-00+ZDKAIq-8"/>
      <w:color w:val="000000"/>
      <w:sz w:val="16"/>
      <w:szCs w:val="16"/>
    </w:rPr>
  </w:style>
  <w:style w:type="character" w:customStyle="1" w:styleId="16">
    <w:name w:val="fontstyle51"/>
    <w:basedOn w:val="6"/>
    <w:uiPriority w:val="0"/>
    <w:rPr>
      <w:rFonts w:hint="default" w:ascii="FZSSK--GBK1-00+ZDKAIr-11" w:hAnsi="FZSSK--GBK1-00+ZDKAIr-11"/>
      <w:color w:val="000000"/>
      <w:sz w:val="16"/>
      <w:szCs w:val="16"/>
    </w:rPr>
  </w:style>
  <w:style w:type="character" w:customStyle="1" w:styleId="17">
    <w:name w:val="fontstyle61"/>
    <w:basedOn w:val="6"/>
    <w:uiPriority w:val="0"/>
    <w:rPr>
      <w:rFonts w:hint="default" w:ascii="FZSSK--GBK1-00+ZDKAIq-10" w:hAnsi="FZSSK--GBK1-00+ZDKAIq-10"/>
      <w:color w:val="000000"/>
      <w:sz w:val="16"/>
      <w:szCs w:val="16"/>
    </w:rPr>
  </w:style>
  <w:style w:type="character" w:customStyle="1" w:styleId="18">
    <w:name w:val="fontstyle71"/>
    <w:basedOn w:val="6"/>
    <w:uiPriority w:val="0"/>
    <w:rPr>
      <w:rFonts w:hint="default" w:ascii="SSJ4+ZDKAIq-1" w:hAnsi="SSJ4+ZDKAIq-1"/>
      <w:color w:val="000000"/>
      <w:sz w:val="16"/>
      <w:szCs w:val="16"/>
    </w:rPr>
  </w:style>
  <w:style w:type="character" w:customStyle="1" w:styleId="19">
    <w:name w:val="fontstyle81"/>
    <w:basedOn w:val="6"/>
    <w:uiPriority w:val="0"/>
    <w:rPr>
      <w:rFonts w:hint="default" w:ascii="FZSSK--GBK1-00+ZDKAIq-9" w:hAnsi="FZSSK--GBK1-00+ZDKAIq-9"/>
      <w:color w:val="000000"/>
      <w:sz w:val="16"/>
      <w:szCs w:val="16"/>
    </w:rPr>
  </w:style>
  <w:style w:type="character" w:customStyle="1" w:styleId="20">
    <w:name w:val="fontstyle91"/>
    <w:basedOn w:val="6"/>
    <w:uiPriority w:val="0"/>
    <w:rPr>
      <w:rFonts w:hint="default" w:ascii="FZSSK--GBK1-00+ZDKAIs-20" w:hAnsi="FZSSK--GBK1-00+ZDKAIs-20"/>
      <w:color w:val="000000"/>
      <w:sz w:val="16"/>
      <w:szCs w:val="16"/>
    </w:rPr>
  </w:style>
  <w:style w:type="character" w:customStyle="1" w:styleId="21">
    <w:name w:val="fontstyle101"/>
    <w:basedOn w:val="6"/>
    <w:uiPriority w:val="0"/>
    <w:rPr>
      <w:rFonts w:hint="default" w:ascii="FZSSK--GBK1-00+ZDKAIr-12" w:hAnsi="FZSSK--GBK1-00+ZDKAIr-12"/>
      <w:color w:val="000000"/>
      <w:sz w:val="16"/>
      <w:szCs w:val="16"/>
    </w:rPr>
  </w:style>
  <w:style w:type="character" w:customStyle="1" w:styleId="22">
    <w:name w:val="fontstyle111"/>
    <w:basedOn w:val="6"/>
    <w:uiPriority w:val="0"/>
    <w:rPr>
      <w:rFonts w:hint="default" w:ascii="FZSSK--GBK1-00+ZDKAIr-13" w:hAnsi="FZSSK--GBK1-00+ZDKAIr-13"/>
      <w:color w:val="000000"/>
      <w:sz w:val="16"/>
      <w:szCs w:val="16"/>
    </w:rPr>
  </w:style>
  <w:style w:type="character" w:customStyle="1" w:styleId="23">
    <w:name w:val="fontstyle121"/>
    <w:basedOn w:val="6"/>
    <w:uiPriority w:val="0"/>
    <w:rPr>
      <w:rFonts w:hint="default" w:ascii="FZSSK--GBK1-00+ZDKAIv-29" w:hAnsi="FZSSK--GBK1-00+ZDKAIv-29"/>
      <w:color w:val="000000"/>
      <w:sz w:val="16"/>
      <w:szCs w:val="16"/>
    </w:rPr>
  </w:style>
  <w:style w:type="character" w:customStyle="1" w:styleId="24">
    <w:name w:val="fontstyle131"/>
    <w:basedOn w:val="6"/>
    <w:uiPriority w:val="0"/>
    <w:rPr>
      <w:rFonts w:hint="default" w:ascii="FZSSK--GBK1-00+ZDKAIs-18" w:hAnsi="FZSSK--GBK1-00+ZDKAIs-18"/>
      <w:color w:val="000000"/>
      <w:sz w:val="16"/>
      <w:szCs w:val="16"/>
    </w:rPr>
  </w:style>
  <w:style w:type="character" w:customStyle="1" w:styleId="25">
    <w:name w:val="fontstyle141"/>
    <w:basedOn w:val="6"/>
    <w:uiPriority w:val="0"/>
    <w:rPr>
      <w:rFonts w:hint="default" w:ascii="FZSSK--GBK1-00+ZDKAI3-47" w:hAnsi="FZSSK--GBK1-00+ZDKAI3-47"/>
      <w:color w:val="000000"/>
      <w:sz w:val="16"/>
      <w:szCs w:val="16"/>
    </w:rPr>
  </w:style>
  <w:style w:type="character" w:customStyle="1" w:styleId="26">
    <w:name w:val="fontstyle151"/>
    <w:basedOn w:val="6"/>
    <w:uiPriority w:val="0"/>
    <w:rPr>
      <w:rFonts w:hint="default" w:ascii="FZWBK--GBK1-00+ZDKAIq-7" w:hAnsi="FZWBK--GBK1-00+ZDKAIq-7"/>
      <w:color w:val="000000"/>
      <w:sz w:val="16"/>
      <w:szCs w:val="16"/>
    </w:rPr>
  </w:style>
  <w:style w:type="character" w:customStyle="1" w:styleId="27">
    <w:name w:val="fontstyle161"/>
    <w:basedOn w:val="6"/>
    <w:uiPriority w:val="0"/>
    <w:rPr>
      <w:rFonts w:hint="default" w:ascii="FZSSK--GBK1-00+ZDKAIu-26" w:hAnsi="FZSSK--GBK1-00+ZDKAIu-26"/>
      <w:color w:val="000000"/>
      <w:sz w:val="16"/>
      <w:szCs w:val="16"/>
    </w:rPr>
  </w:style>
  <w:style w:type="character" w:customStyle="1" w:styleId="28">
    <w:name w:val="fontstyle171"/>
    <w:basedOn w:val="6"/>
    <w:uiPriority w:val="0"/>
    <w:rPr>
      <w:rFonts w:hint="default" w:ascii="FZSSK--GBK1-00+ZDKAJG-59" w:hAnsi="FZSSK--GBK1-00+ZDKAJG-59"/>
      <w:color w:val="000000"/>
      <w:sz w:val="16"/>
      <w:szCs w:val="16"/>
    </w:rPr>
  </w:style>
  <w:style w:type="character" w:customStyle="1" w:styleId="29">
    <w:name w:val="fontstyle181"/>
    <w:basedOn w:val="6"/>
    <w:uiPriority w:val="0"/>
    <w:rPr>
      <w:rFonts w:hint="default" w:ascii="FZSSK--GBK1-00+ZDKAIx-33" w:hAnsi="FZSSK--GBK1-00+ZDKAIx-33"/>
      <w:color w:val="000000"/>
      <w:sz w:val="16"/>
      <w:szCs w:val="16"/>
    </w:rPr>
  </w:style>
  <w:style w:type="character" w:customStyle="1" w:styleId="30">
    <w:name w:val="fontstyle191"/>
    <w:basedOn w:val="6"/>
    <w:uiPriority w:val="0"/>
    <w:rPr>
      <w:rFonts w:hint="default" w:ascii="FZSSK--GBK1-00+ZDKAI4-48" w:hAnsi="FZSSK--GBK1-00+ZDKAI4-48"/>
      <w:color w:val="000000"/>
      <w:sz w:val="16"/>
      <w:szCs w:val="16"/>
    </w:rPr>
  </w:style>
  <w:style w:type="character" w:customStyle="1" w:styleId="31">
    <w:name w:val="fontstyle201"/>
    <w:basedOn w:val="6"/>
    <w:uiPriority w:val="0"/>
    <w:rPr>
      <w:rFonts w:hint="default" w:ascii="FZSSK--GBK1-00+ZDKAJL-62" w:hAnsi="FZSSK--GBK1-00+ZDKAJL-62"/>
      <w:color w:val="000000"/>
      <w:sz w:val="16"/>
      <w:szCs w:val="16"/>
    </w:rPr>
  </w:style>
  <w:style w:type="character" w:customStyle="1" w:styleId="32">
    <w:name w:val="fontstyle211"/>
    <w:basedOn w:val="6"/>
    <w:uiPriority w:val="0"/>
    <w:rPr>
      <w:rFonts w:hint="default" w:ascii="FZSSK--GBK1-00+ZDKAIu-24" w:hAnsi="FZSSK--GBK1-00+ZDKAIu-24"/>
      <w:color w:val="000000"/>
      <w:sz w:val="16"/>
      <w:szCs w:val="16"/>
    </w:rPr>
  </w:style>
  <w:style w:type="character" w:customStyle="1" w:styleId="33">
    <w:name w:val="fontstyle221"/>
    <w:basedOn w:val="6"/>
    <w:uiPriority w:val="0"/>
    <w:rPr>
      <w:rFonts w:hint="default" w:ascii="FZSSK--GBK1-00+ZDKAJD-56" w:hAnsi="FZSSK--GBK1-00+ZDKAJD-56"/>
      <w:color w:val="000000"/>
      <w:sz w:val="16"/>
      <w:szCs w:val="16"/>
    </w:rPr>
  </w:style>
  <w:style w:type="character" w:customStyle="1" w:styleId="34">
    <w:name w:val="fontstyle231"/>
    <w:basedOn w:val="6"/>
    <w:uiPriority w:val="0"/>
    <w:rPr>
      <w:rFonts w:hint="default" w:ascii="DY1+ZDKAIq-6" w:hAnsi="DY1+ZDKAIq-6"/>
      <w:color w:val="808080"/>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488</Words>
  <Characters>2783</Characters>
  <Lines>23</Lines>
  <Paragraphs>6</Paragraphs>
  <TotalTime>47</TotalTime>
  <ScaleCrop>false</ScaleCrop>
  <LinksUpToDate>false</LinksUpToDate>
  <CharactersWithSpaces>3265</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2021-04-02T12:07:00Z</dcterms:created>
  <dc:creator>Gibran Chen</dc:creator>
  <cp:lastModifiedBy>mytrs</cp:lastModifiedBy>
  <dcterms:modified xsi:type="dcterms:W3CDTF">2021-04-03T14:29:24Z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4A4D4A0216DB4DF3A5A85BB0276FB368</vt:lpwstr>
  </property>
</Properties>
</file>