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IT行业薪酬变化的数据分析</w:t>
      </w:r>
    </w:p>
    <w:p>
      <w:pPr>
        <w:rPr>
          <w:rFonts w:hint="default" w:ascii="仿宋" w:hAnsi="仿宋" w:eastAsia="仿宋"/>
          <w:b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吴翔</w:t>
      </w:r>
    </w:p>
    <w:p>
      <w:pPr>
        <w:rPr>
          <w:rFonts w:hint="eastAsia" w:ascii="宋体" w:hAnsi="宋体" w:eastAsia="宋体"/>
          <w:b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b/>
          <w:sz w:val="18"/>
          <w:szCs w:val="18"/>
        </w:rPr>
        <w:t>关键词</w:t>
      </w:r>
      <w:r>
        <w:rPr>
          <w:rFonts w:hint="eastAsia" w:ascii="宋体" w:hAnsi="宋体" w:eastAsia="宋体"/>
          <w:b/>
          <w:sz w:val="18"/>
          <w:szCs w:val="18"/>
          <w:lang w:eastAsia="zh-CN"/>
        </w:rPr>
        <w:t>：</w:t>
      </w:r>
      <w:r>
        <w:rPr>
          <w:rFonts w:hint="eastAsia" w:ascii="宋体" w:hAnsi="宋体" w:eastAsia="宋体"/>
          <w:b/>
          <w:sz w:val="18"/>
          <w:szCs w:val="18"/>
          <w:lang w:val="en-US" w:eastAsia="zh-CN"/>
        </w:rPr>
        <w:t>IT行业；薪资变化</w:t>
      </w:r>
    </w:p>
    <w:p>
      <w:pPr>
        <w:pStyle w:val="2"/>
        <w:bidi w:val="0"/>
        <w:spacing w:line="240" w:lineRule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 引言</w:t>
      </w:r>
    </w:p>
    <w:p>
      <w:pPr>
        <w:pStyle w:val="4"/>
        <w:spacing w:after="0" w:line="400" w:lineRule="exact"/>
        <w:ind w:firstLine="360" w:firstLineChars="20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在中国经济转型的大背景下，政府大力鼓励高新产业发展，将继续带动IT（Internet Technology</w:t>
      </w:r>
      <w:r>
        <w:rPr>
          <w:rFonts w:hint="eastAsia" w:ascii="宋体" w:hAnsi="宋体"/>
          <w:sz w:val="18"/>
          <w:szCs w:val="18"/>
          <w:lang w:val="en-US" w:eastAsia="zh-CN"/>
        </w:rPr>
        <w:t>）行业发展。2015年5月，中国国务院印发了《中国制造2025》，明确指出全球产业竞争格局正在发生重大调整，新一代信息技术正被越来越多的国家所重视。2016年是“十三五”计划的实施年，“一带一路”的建设也在为IT行业开拓新市场，打造新格局，继续信息化建设。2017年7月，国务院又印发了《新代人工智能发展规划》，把人工智能上升到国家战略[1]。</w:t>
      </w:r>
    </w:p>
    <w:p>
      <w:pPr>
        <w:pStyle w:val="4"/>
        <w:spacing w:after="0" w:line="400" w:lineRule="exact"/>
        <w:ind w:firstLine="360" w:firstLineChars="20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在这些政策红利的不断释放下，中国企业整体出现业务</w:t>
      </w:r>
      <w:bookmarkStart w:id="0" w:name="_GoBack"/>
      <w:bookmarkEnd w:id="0"/>
      <w:r>
        <w:rPr>
          <w:rFonts w:hint="eastAsia" w:ascii="宋体" w:hAnsi="宋体"/>
          <w:sz w:val="18"/>
          <w:szCs w:val="18"/>
          <w:lang w:val="en-US" w:eastAsia="zh-CN"/>
        </w:rPr>
        <w:t>增长趋势和扩张，尤其在互联网、金融电商等领域，高端人才已是供不应求。未来一段时间内，软件行业将继续发挥其巨大影响力，如同大连金宇达科技发展有限公司这样的企业一定会越来越多。这些企业将以引领国民经济转型作为己任，用先进的软件产品服务于各行各业，创造出巨大的经济效益和社会效益[2]。同时薪资方面也是稳居榜首的存在。以此前提下具体分析IT行业薪资变化的数据来更了解IT行业的经济架构，显得尤为重要。</w:t>
      </w:r>
    </w:p>
    <w:p>
      <w:pPr>
        <w:pStyle w:val="2"/>
        <w:bidi w:val="0"/>
        <w:spacing w:line="240" w:lineRule="auto"/>
        <w:rPr>
          <w:rFonts w:hint="eastAsia" w:ascii="黑体" w:hAnsi="黑体" w:cs="黑体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t>2</w:t>
      </w:r>
      <w:r>
        <w:rPr>
          <w:rFonts w:hint="eastAsia" w:ascii="黑体" w:hAnsi="黑体" w:eastAsia="黑体" w:cs="黑体"/>
          <w:lang w:val="en-US" w:eastAsia="zh-CN"/>
        </w:rPr>
        <w:t xml:space="preserve"> </w:t>
      </w:r>
      <w:r>
        <w:rPr>
          <w:rFonts w:hint="eastAsia" w:ascii="黑体" w:hAnsi="黑体" w:cs="黑体"/>
          <w:lang w:val="en-US" w:eastAsia="zh-CN"/>
        </w:rPr>
        <w:t>分析结果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60" w:firstLineChars="200"/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虽然IT从业人员薪资总体水平与往年持平，但基础薪资加上绩效、奖金等方面的总薪酬却呈现稳步提升的态势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。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调查数据显示，虽然受到新冠疫情的影响，导致各行各业都产生了很大波动，但IT行业内大多数人的薪酬仍保持稳定。尽管2021年经济仍存在很大不稳定和不确定性，行业动态也经历着迅速成长变化，但IT行业从业人员的前景仍然乐观光明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60" w:firstLineChars="200"/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薪资涨幅下降，IT行业未来收入仍然乐观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。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新冠疫情为IT行业带来了一些巨大的改变，最大的影响是它使IT行业，在社会中的重要性凸显了出来，在这个过程中，也影响着IT行业从业人员的薪资结构和发展规划。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60" w:firstLineChars="200"/>
        <w:jc w:val="left"/>
        <w:rPr>
          <w:rFonts w:hint="default" w:ascii="宋体" w:hAnsi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不受形势影响，IT行业薪资不降反升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。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在疫情波及中，各行各业的薪资水平都不可避免地产生了下降，在整体下降的大背景中，IT行业仍能保持稳定，已属个例。虽然IT行业薪资水平的增长率受到影响，但行业内及外部市场对IT行业的期望值反而在疫情波及中水涨船高。</w:t>
      </w:r>
    </w:p>
    <w:p>
      <w:pPr>
        <w:pStyle w:val="2"/>
        <w:bidi w:val="0"/>
        <w:spacing w:line="240" w:lineRule="auto"/>
        <w:rPr>
          <w:rFonts w:hint="eastAsia" w:ascii="黑体" w:hAnsi="黑体" w:cs="黑体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t>3</w:t>
      </w:r>
      <w:r>
        <w:rPr>
          <w:rFonts w:hint="eastAsia" w:ascii="黑体" w:hAnsi="黑体" w:eastAsia="黑体" w:cs="黑体"/>
          <w:lang w:val="en-US" w:eastAsia="zh-CN"/>
        </w:rPr>
        <w:t xml:space="preserve"> </w:t>
      </w:r>
      <w:r>
        <w:rPr>
          <w:rFonts w:hint="eastAsia" w:ascii="黑体" w:hAnsi="黑体" w:cs="黑体"/>
          <w:lang w:val="en-US" w:eastAsia="zh-CN"/>
        </w:rPr>
        <w:t>分析方法</w:t>
      </w:r>
    </w:p>
    <w:p>
      <w:pPr>
        <w:ind w:firstLine="360" w:firstLineChars="200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2019年发布的全国平均工资的数据中显示，有6个行业的平均工资超过了10万，按照排名分别是：IT行业161,352元，科技行业33,459元，金融行业131,405元，卫生与社会108,903元，电力水利行业107,733元，文化体育娱乐业107,708元。从以上数据当中我们可以看到IT行业依然是大幅领先，平均工资达到了16万多。IT行业从2016年首次超过金融行业以后，一直到现在每年都是稳居第1名。互联网的发展已是大势所趋，互联网从业人员也更容易获得高起薪与良好发展空间，IT行业迎来新一轮的发展高潮。</w:t>
      </w:r>
    </w:p>
    <w:p>
      <w:pPr>
        <w:ind w:firstLine="360" w:firstLineChars="200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技术类相关岗位薪资涨幅明显。其中，算法工程师、研发工程师的企业支付薪资同比增长高达30%-40%。报告分析称，由于IT岗位的线上化程度较高，疫情对岗位影响较低，IT岗位员工能够顺利在线复工，收入能获得逐年提升(见图1)。</w:t>
      </w:r>
    </w:p>
    <w:p>
      <w:pPr>
        <w:ind w:firstLine="480" w:firstLineChars="20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94915" cy="2117090"/>
            <wp:effectExtent l="0" t="0" r="444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211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00" w:firstLineChars="200"/>
        <w:jc w:val="center"/>
        <w:rPr>
          <w:rFonts w:hint="default" w:ascii="宋体" w:hAnsi="宋体" w:eastAsia="宋体" w:cs="Times New Roman"/>
          <w:kern w:val="2"/>
          <w:sz w:val="15"/>
          <w:szCs w:val="15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5"/>
          <w:szCs w:val="15"/>
          <w:lang w:val="en-US" w:eastAsia="zh-CN" w:bidi="ar-SA"/>
        </w:rPr>
        <w:t>图1 2020年重点行业节后企业支付薪资</w:t>
      </w:r>
    </w:p>
    <w:p>
      <w:pPr>
        <w:ind w:firstLine="360" w:firstLineChars="200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2020年2月，中国大陆程序员平均工资13716员，比上个月增加。互联网职位类型中，占比最高的是技术职位，其次是市场销售、运营、设计、产品等岗位。从薪资比例来看，技术类和产品类的高薪占比较高。从不同薪资区间的均值来看，可以发现50k以上的薪资范围内均值是59.1k，25-25k的薪资范围内均值是28.1k，15-25k的薪资范围内均值是16.4k。一些企业表示：基于绝大多数公司对人才的要求，整体上总是超越市场能够供应的人才水平。所以大部分人能拿到的都是下限和中位值(见图2)。</w:t>
      </w:r>
    </w:p>
    <w:p>
      <w:pPr>
        <w:pStyle w:val="2"/>
        <w:bidi w:val="0"/>
        <w:spacing w:line="240" w:lineRule="auto"/>
        <w:jc w:val="center"/>
        <w:rPr>
          <w:rFonts w:hint="eastAsia" w:ascii="黑体" w:hAnsi="黑体" w:cs="黑体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drawing>
          <wp:inline distT="0" distB="0" distL="114300" distR="114300">
            <wp:extent cx="2811145" cy="2108835"/>
            <wp:effectExtent l="0" t="0" r="8255" b="9525"/>
            <wp:docPr id="9" name="图片 9" descr="V%RZJSSIU8~N]SIUVG4$5{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V%RZJSSIU8~N]SIUVG4$5{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00" w:firstLineChars="200"/>
        <w:jc w:val="center"/>
        <w:rPr>
          <w:rFonts w:hint="eastAsia" w:ascii="宋体" w:hAnsi="宋体" w:eastAsia="宋体" w:cs="Times New Roman"/>
          <w:kern w:val="2"/>
          <w:sz w:val="15"/>
          <w:szCs w:val="15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5"/>
          <w:szCs w:val="15"/>
          <w:lang w:val="en-US" w:eastAsia="zh-CN" w:bidi="ar-SA"/>
        </w:rPr>
        <w:t>图2 2020年互联网职位薪资范围</w:t>
      </w:r>
    </w:p>
    <w:p>
      <w:pPr>
        <w:ind w:firstLine="300" w:firstLineChars="200"/>
        <w:jc w:val="center"/>
        <w:rPr>
          <w:rFonts w:hint="eastAsia" w:ascii="宋体" w:hAnsi="宋体" w:eastAsia="宋体" w:cs="Times New Roman"/>
          <w:kern w:val="2"/>
          <w:sz w:val="15"/>
          <w:szCs w:val="15"/>
          <w:lang w:val="en-US" w:eastAsia="zh-CN" w:bidi="ar-SA"/>
        </w:rPr>
      </w:pPr>
    </w:p>
    <w:p>
      <w:pPr>
        <w:ind w:firstLine="360" w:firstLineChars="200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拉勾数据显示，2018 年以来，互联网行业的年度平均薪资稳步增长，2020 年度薪资较 2019 年同比增长 8.1%，2021 开年薪资同比去年增长 7%。与 2018 年相比，4 年间互联网薪资涨幅高达 22%（见图3）。</w:t>
      </w:r>
    </w:p>
    <w:p>
      <w:pPr>
        <w:ind w:firstLine="480" w:firstLineChars="20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15820" cy="1203960"/>
            <wp:effectExtent l="0" t="0" r="2540" b="0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00" w:firstLineChars="200"/>
        <w:jc w:val="center"/>
        <w:rPr>
          <w:rFonts w:hint="default" w:ascii="宋体" w:hAnsi="宋体" w:eastAsia="宋体" w:cs="Times New Roman"/>
          <w:kern w:val="2"/>
          <w:sz w:val="15"/>
          <w:szCs w:val="15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5"/>
          <w:szCs w:val="15"/>
          <w:lang w:val="en-US" w:eastAsia="zh-CN" w:bidi="ar-SA"/>
        </w:rPr>
        <w:t>图3 互联网行业平均薪资曲线</w:t>
      </w:r>
    </w:p>
    <w:p>
      <w:pPr>
        <w:ind w:firstLine="480" w:firstLineChars="20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360" w:firstLineChars="200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报告显示，受疫情影响，2020 年成为近 4 年来唯一开年后薪资走低的年份。一季度拉勾平台发布的职位平均薪资为 15700 元；二季度降至 14200 元；三季度跌至低谷，平台薪资平均薪资仅为 13900 元，相比一季度降幅 11.3%；四季度薪资回升至 14400 元。但随着疫情负面影响的消退，以及互联网行业的疫情抗风险作用不断发挥，2021 年度开年平均薪资回升至 15600 元，达到去年一季度水平。</w:t>
      </w:r>
    </w:p>
    <w:p>
      <w:pPr>
        <w:ind w:firstLine="360" w:firstLineChars="200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在第六届世界互联网大会举办期间，智联招聘发布的2019年互联网产业人才发展报告显示，2019年三季度互联网产业整体平均月薪达9296元[3]，领先全行业平均水平（见图4）。</w:t>
      </w:r>
    </w:p>
    <w:p>
      <w:pPr>
        <w:pStyle w:val="2"/>
        <w:bidi w:val="0"/>
        <w:spacing w:line="24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24965" cy="1122045"/>
            <wp:effectExtent l="0" t="0" r="5715" b="571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00" w:firstLineChars="200"/>
        <w:jc w:val="center"/>
        <w:rPr>
          <w:rFonts w:hint="eastAsia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15"/>
          <w:szCs w:val="15"/>
          <w:lang w:val="en-US" w:eastAsia="zh-CN" w:bidi="ar-SA"/>
        </w:rPr>
        <w:t>图4 2019年互联网子行业平均薪资及变化</w:t>
      </w:r>
    </w:p>
    <w:p>
      <w:pPr>
        <w:pStyle w:val="2"/>
        <w:bidi w:val="0"/>
        <w:spacing w:line="240" w:lineRule="auto"/>
        <w:rPr>
          <w:rFonts w:hint="eastAsia" w:ascii="黑体" w:hAnsi="黑体" w:cs="黑体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t>4</w:t>
      </w:r>
      <w:r>
        <w:rPr>
          <w:rFonts w:hint="eastAsia" w:ascii="黑体" w:hAnsi="黑体" w:eastAsia="黑体" w:cs="黑体"/>
          <w:lang w:val="en-US" w:eastAsia="zh-CN"/>
        </w:rPr>
        <w:t xml:space="preserve"> </w:t>
      </w:r>
      <w:r>
        <w:rPr>
          <w:rFonts w:hint="eastAsia" w:ascii="黑体" w:hAnsi="黑体" w:cs="黑体"/>
          <w:lang w:val="en-US" w:eastAsia="zh-CN"/>
        </w:rPr>
        <w:t>结论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60" w:firstLineChars="200"/>
        <w:jc w:val="left"/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IT行业仍然是一个充满活力，投资良好且在不断增长的行业。在过去的不断受到冲击的时间里，IT行业为适应变化，不断快速转型且成功迎合市场就已经证实了这一点。选择一个在风险和挑战下，仍然充满活力和未来的行业，是对我们未来发展就业的最基本保障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60" w:firstLineChars="200"/>
        <w:jc w:val="left"/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对IT行业薪资水平寄予厚望，主要源自行业整体在疫情中爆发的机会与活力，同时IT行业人员的薪资结构也对应产生着变化，在市场整体收入下降的大背景中，IT行业从业者仍能保持高薪，源于薪酬中绩效与奖金占比的持续增加，这种调整既能补足基础薪酬增幅不大的问题，同时也能从薪资层面更好的体现个人能力优势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60" w:firstLineChars="200"/>
        <w:jc w:val="left"/>
        <w:rPr>
          <w:rFonts w:hint="eastAsia"/>
          <w:lang w:val="en-US" w:eastAsia="zh-CN"/>
        </w:rPr>
      </w:pP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对所有人来说，过去的一年都是非常艰难。IT行业也经历了各种风风雨雨，但影响不仅没有削弱其他产业对IT的依赖，反而在不断提升IT类工作的占比，各行各业对IT技能的需求不断增长，云直播、云聚会、云医疗，再到远程办公、在线教育，远程项目实行等，IT行业在各行各业都得到了广泛应用，从事IT类工作仍是最快速达到个人期望报酬的最稳定方式。对于广大同学们而言，选择IT行业不仅能保证学以致用，更能保证自己以后依靠知识技能就能致富，实现个人梦想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。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选择IT，实现物质、理想双丰收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。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最新出炉的IT行业薪酬报告，在数据上给了IT就业者，以及准备选择IT行业的同学们一颗定心丸，不受疫情影响波动，IT行业前景广阔光明，选择IT行业改变自己的人生，仍然是无数家庭和孩子的期许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。</w:t>
      </w:r>
    </w:p>
    <w:p>
      <w:pPr>
        <w:pStyle w:val="2"/>
        <w:bidi w:val="0"/>
        <w:spacing w:line="240" w:lineRule="auto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黑体" w:hAnsi="黑体" w:cs="黑体"/>
          <w:lang w:val="en-US" w:eastAsia="zh-CN"/>
        </w:rPr>
        <w:t>5</w:t>
      </w:r>
      <w:r>
        <w:rPr>
          <w:rFonts w:hint="eastAsia" w:ascii="黑体" w:hAnsi="黑体" w:eastAsia="黑体" w:cs="黑体"/>
          <w:lang w:val="en-US" w:eastAsia="zh-CN"/>
        </w:rPr>
        <w:t xml:space="preserve"> </w:t>
      </w:r>
      <w:r>
        <w:rPr>
          <w:rFonts w:hint="eastAsia" w:ascii="黑体" w:hAnsi="黑体" w:cs="黑体"/>
          <w:lang w:val="en-US" w:eastAsia="zh-CN"/>
        </w:rPr>
        <w:t>参考文献</w:t>
      </w:r>
    </w:p>
    <w:p>
      <w:pPr>
        <w:widowControl/>
        <w:numPr>
          <w:ilvl w:val="0"/>
          <w:numId w:val="1"/>
        </w:numPr>
        <w:adjustRightInd w:val="0"/>
        <w:snapToGrid w:val="0"/>
        <w:spacing w:after="200"/>
        <w:jc w:val="both"/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instrText xml:space="preserve"> HYPERLINK "https://s.wanfangdata.com.cn/patent?q=%E5%8F%91%E6%98%8E%E4%BA%BA/%E8%AE%BE%E8%AE%A1%E4%BA%BA:"%E6%9D%8E%E5%8F%8C%E5%8F%8C"" \t "https://d.wanfangdata.com.cn/patent/_blank" </w:instrTex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李双双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,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instrText xml:space="preserve"> HYPERLINK "https://s.wanfangdata.com.cn/patent?q=%E5%8F%91%E6%98%8E%E4%BA%BA/%E8%AE%BE%E8%AE%A1%E4%BA%BA:"%E7%A8%8B%E5%81%A5"" \t "https://d.wanfangdata.com.cn/patent/_blank" </w:instrTex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程健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,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instrText xml:space="preserve"> HYPERLINK "https://s.wanfangdata.com.cn/patent?q=%E5%8F%91%E6%98%8E%E4%BA%BA/%E8%AE%BE%E8%AE%A1%E4%BA%BA:"%E8%B5%B5%E6%81%BA"" \t "https://d.wanfangdata.com.cn/patent/_blank" </w:instrTex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赵恺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,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instrText xml:space="preserve"> HYPERLINK "https://s.wanfangdata.com.cn/patent?q=%E5%8F%91%E6%98%8E%E4%BA%BA/%E8%AE%BE%E8%AE%A1%E4%BA%BA:"%E5%88%98%E5%8B%87"" \t "https://d.wanfangdata.com.cn/patent/_blank" </w:instrTex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刘勇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,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instrText xml:space="preserve"> HYPERLINK "https://s.wanfangdata.com.cn/patent?q=%E5%8F%91%E6%98%8E%E4%BA%BA/%E8%AE%BE%E8%AE%A1%E4%BA%BA:"%E4%BD%95%E6%BD%AD%E7%A2%A7"" \t "https://d.wanfangdata.com.cn/patent/_blank" </w:instrTex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何潭碧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.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instrText xml:space="preserve"> HYPERLINK "http://new.wanfangdata.com.cn/details/detail.do?_type=patent&amp;id=CN202010592273.5" \t "http://check.wanfangdata.com.cn/report/MD/2c436221-7648-46b4-9430-f9d9ddd811b7/_blank" </w:instrTex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自适应情境化人工智能教学系统、方法及装置:中国,202010592273.5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[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P].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instrText xml:space="preserve"> HYPERLINK "http://check.wanfangdata.com.cn/report/MD/2c436221-7648-46b4-9430-f9d9ddd811b7/javascript:void(0)" \t "http://check.wanfangdata.com.cn/report/MD/2c436221-7648-46b4-9430-f9d9ddd811b7/_blank" </w:instrTex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中国科学院自动化研究所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.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2020-06-22</w:t>
      </w:r>
    </w:p>
    <w:p>
      <w:pPr>
        <w:widowControl/>
        <w:numPr>
          <w:ilvl w:val="0"/>
          <w:numId w:val="1"/>
        </w:numPr>
        <w:adjustRightInd w:val="0"/>
        <w:snapToGrid w:val="0"/>
        <w:spacing w:after="200"/>
        <w:jc w:val="both"/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instrText xml:space="preserve"> HYPERLINK "http://check.wanfangdata.com.cn/report/MD/a164b3e2-57ed-4cb1-ab03-0dc35b356030/javascript:void(0)" \t "http://check.wanfangdata.com.cn/report/MD/a164b3e2-57ed-4cb1-ab03-0dc35b356030/_blank" </w:instrTex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ＩＴ行业引领传统行业转型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[N].北京：中国高新技术产业导报出版社.2017-11-06.</w:t>
      </w:r>
    </w:p>
    <w:p>
      <w:pPr>
        <w:widowControl/>
        <w:numPr>
          <w:ilvl w:val="0"/>
          <w:numId w:val="1"/>
        </w:numPr>
        <w:adjustRightInd w:val="0"/>
        <w:snapToGrid w:val="0"/>
        <w:spacing w:after="200"/>
        <w:jc w:val="both"/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instrText xml:space="preserve"> HYPERLINK "http://check.wanfangdata.com.cn/report/MD/2c436221-7648-46b4-9430-f9d9ddd811b7/javascript:void(0)" \t "http://check.wanfangdata.com.cn/report/MD/2c436221-7648-46b4-9430-f9d9ddd811b7/_blank" </w:instrTex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张珊珊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.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instrText xml:space="preserve"> HYPERLINK "http://check.wanfangdata.com.cn/report/MD/2c436221-7648-46b4-9430-f9d9ddd811b7/javascript:void(0)" \t "http://check.wanfangdata.com.cn/report/MD/2c436221-7648-46b4-9430-f9d9ddd811b7/_blank" </w:instrTex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互联网产业平均薪酬9296元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[N].天津：《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instrText xml:space="preserve"> HYPERLINK "https://baike.baidu.com/item/%E5%A4%A9%E6%B4%A5%E6%97%A5%E6%8A%A5/3456086" \t "https://baike.baidu.com/item/%E5%9F%8E%E5%B8%82%E5%BF%AB%E6%8A%A5/_blank" </w:instrTex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天津日报</w:t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fldChar w:fldCharType="end"/>
      </w:r>
      <w:r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  <w:t>》报业集团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.2019-10-29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Encrypt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F7CED3"/>
    <w:multiLevelType w:val="singleLevel"/>
    <w:tmpl w:val="F8F7CED3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C7D1D"/>
    <w:rsid w:val="0C245D30"/>
    <w:rsid w:val="102C3A5E"/>
    <w:rsid w:val="135B280B"/>
    <w:rsid w:val="1B184AEE"/>
    <w:rsid w:val="2FAB4BDE"/>
    <w:rsid w:val="43876B8F"/>
    <w:rsid w:val="4E9E18EC"/>
    <w:rsid w:val="51E624FB"/>
    <w:rsid w:val="5EAB0DBC"/>
    <w:rsid w:val="6786597B"/>
    <w:rsid w:val="716959A0"/>
    <w:rsid w:val="75E466FC"/>
    <w:rsid w:val="7E58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21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2021-04-04T07:33:00Z</dcterms:created>
  <dc:creator>asus.DESKTOP-OBRRFMK</dc:creator>
  <cp:lastModifiedBy>shuffle</cp:lastModifiedBy>
  <dcterms:modified xsi:type="dcterms:W3CDTF">2021-04-04T09:48:21Z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A932031F9649448D91BCBE7B352D936B</vt:lpwstr>
  </property>
</Properties>
</file>