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IT行业薪酬变化分析</w:t>
      </w:r>
    </w:p>
    <w:p>
      <w:pPr>
        <w:spacing w:line="240" w:lineRule="auto"/>
        <w:jc w:val="center"/>
        <w:rPr>
          <w:rFonts w:hint="eastAsia" w:ascii="黑体" w:hAnsi="黑体" w:eastAsia="黑体" w:cs="黑体"/>
          <w:sz w:val="21"/>
          <w:szCs w:val="21"/>
          <w:vertAlign w:val="superscript"/>
          <w:lang w:val="en-US" w:eastAsia="zh-CN"/>
        </w:rPr>
      </w:pPr>
      <w:r>
        <w:rPr>
          <w:rFonts w:hint="eastAsia" w:ascii="黑体" w:hAnsi="黑体" w:eastAsia="黑体" w:cs="黑体"/>
          <w:sz w:val="21"/>
          <w:szCs w:val="21"/>
          <w:lang w:val="en-US" w:eastAsia="zh-CN"/>
        </w:rPr>
        <w:t>孟冠辰</w:t>
      </w:r>
      <w:r>
        <w:rPr>
          <w:rFonts w:hint="eastAsia" w:ascii="黑体" w:hAnsi="黑体" w:eastAsia="黑体" w:cs="黑体"/>
          <w:sz w:val="21"/>
          <w:szCs w:val="21"/>
          <w:vertAlign w:val="superscript"/>
          <w:lang w:val="en-US" w:eastAsia="zh-CN"/>
        </w:rPr>
        <w:t>1</w:t>
      </w:r>
    </w:p>
    <w:p>
      <w:pPr>
        <w:spacing w:line="240" w:lineRule="auto"/>
        <w:jc w:val="center"/>
        <w:rPr>
          <w:rFonts w:hint="eastAsia" w:ascii="仿宋" w:hAnsi="仿宋" w:eastAsia="仿宋" w:cs="仿宋"/>
          <w:sz w:val="21"/>
          <w:szCs w:val="21"/>
          <w:vertAlign w:val="superscript"/>
          <w:lang w:val="en-US" w:eastAsia="zh-CN"/>
        </w:rPr>
      </w:pPr>
      <w:r>
        <w:rPr>
          <w:rFonts w:hint="eastAsia" w:ascii="仿宋" w:hAnsi="仿宋" w:eastAsia="仿宋" w:cs="仿宋"/>
          <w:sz w:val="21"/>
          <w:szCs w:val="21"/>
          <w:vertAlign w:val="baseline"/>
          <w:lang w:val="en-US" w:eastAsia="zh-CN"/>
        </w:rPr>
        <w:t>（大连理工大学大连116100）</w:t>
      </w:r>
      <w:r>
        <w:rPr>
          <w:rFonts w:hint="eastAsia" w:ascii="仿宋" w:hAnsi="仿宋" w:eastAsia="仿宋" w:cs="仿宋"/>
          <w:sz w:val="21"/>
          <w:szCs w:val="21"/>
          <w:vertAlign w:val="superscript"/>
          <w:lang w:val="en-US" w:eastAsia="zh-CN"/>
        </w:rPr>
        <w:t>1</w:t>
      </w:r>
    </w:p>
    <w:p>
      <w:pPr>
        <w:spacing w:line="240" w:lineRule="auto"/>
        <w:jc w:val="left"/>
        <w:rPr>
          <w:rFonts w:hint="eastAsia" w:ascii="楷体" w:hAnsi="楷体" w:eastAsia="楷体" w:cs="楷体"/>
          <w:b w:val="0"/>
          <w:bCs w:val="0"/>
          <w:color w:val="auto"/>
          <w:sz w:val="18"/>
          <w:szCs w:val="18"/>
          <w:vertAlign w:val="baseline"/>
          <w:lang w:val="en-US" w:eastAsia="zh-CN"/>
        </w:rPr>
      </w:pPr>
      <w:r>
        <w:rPr>
          <w:rFonts w:hint="eastAsia" w:ascii="黑体" w:hAnsi="黑体" w:eastAsia="黑体" w:cs="黑体"/>
          <w:sz w:val="21"/>
          <w:szCs w:val="21"/>
          <w:vertAlign w:val="baseline"/>
          <w:lang w:val="en-US" w:eastAsia="zh-CN"/>
        </w:rPr>
        <w:t>摘要</w:t>
      </w:r>
      <w:r>
        <w:rPr>
          <w:rFonts w:ascii="微软雅黑" w:hAnsi="微软雅黑" w:eastAsia="微软雅黑" w:cs="微软雅黑"/>
          <w:i w:val="0"/>
          <w:iCs w:val="0"/>
          <w:caps w:val="0"/>
          <w:color w:val="666666"/>
          <w:spacing w:val="0"/>
          <w:sz w:val="18"/>
          <w:szCs w:val="18"/>
          <w:shd w:val="clear" w:fill="FFFFFF"/>
        </w:rPr>
        <w:t> </w:t>
      </w:r>
      <w:r>
        <w:rPr>
          <w:rFonts w:hint="eastAsia" w:ascii="楷体" w:hAnsi="楷体" w:eastAsia="楷体" w:cs="楷体"/>
          <w:b w:val="0"/>
          <w:bCs w:val="0"/>
          <w:i w:val="0"/>
          <w:iCs w:val="0"/>
          <w:caps w:val="0"/>
          <w:color w:val="auto"/>
          <w:spacing w:val="0"/>
          <w:sz w:val="18"/>
          <w:szCs w:val="18"/>
          <w:shd w:val="clear" w:fill="FFFFFF"/>
        </w:rPr>
        <w:t>纵观世界经济的发展，经济全球化进程明显加快，信息化已成为全球化的迫切需要和必要保证。</w:t>
      </w:r>
      <w:r>
        <w:rPr>
          <w:rFonts w:hint="eastAsia" w:ascii="楷体" w:hAnsi="楷体" w:eastAsia="楷体" w:cs="楷体"/>
          <w:b w:val="0"/>
          <w:bCs w:val="0"/>
          <w:i w:val="0"/>
          <w:iCs w:val="0"/>
          <w:caps w:val="0"/>
          <w:color w:val="auto"/>
          <w:spacing w:val="0"/>
          <w:sz w:val="18"/>
          <w:szCs w:val="18"/>
          <w:shd w:val="clear" w:fill="FFFFFF"/>
          <w:lang w:val="en-US" w:eastAsia="zh-CN"/>
        </w:rPr>
        <w:t>IT产业作为国民经济的主导产业，近年来在世界各国都得到了蓬勃发展，吸引了众多人才。IT从业者的薪资收入情况也备受人们关注。</w:t>
      </w:r>
      <w:r>
        <w:rPr>
          <w:rFonts w:hint="eastAsia" w:ascii="楷体" w:hAnsi="楷体" w:eastAsia="楷体" w:cs="楷体"/>
          <w:b w:val="0"/>
          <w:bCs w:val="0"/>
          <w:color w:val="auto"/>
          <w:sz w:val="18"/>
          <w:szCs w:val="18"/>
          <w:vertAlign w:val="baseline"/>
          <w:lang w:val="en-US" w:eastAsia="zh-CN"/>
        </w:rPr>
        <w:t>本文主要通过</w:t>
      </w:r>
      <w:r>
        <w:rPr>
          <w:rFonts w:hint="eastAsia" w:ascii="楷体" w:hAnsi="楷体" w:eastAsia="楷体" w:cs="楷体"/>
          <w:b w:val="0"/>
          <w:bCs w:val="0"/>
          <w:i w:val="0"/>
          <w:iCs w:val="0"/>
          <w:caps w:val="0"/>
          <w:color w:val="auto"/>
          <w:spacing w:val="0"/>
          <w:sz w:val="18"/>
          <w:szCs w:val="18"/>
          <w:shd w:val="clear" w:fill="FFFFFF"/>
        </w:rPr>
        <w:t>IDGInsiderPro</w:t>
      </w:r>
      <w:r>
        <w:rPr>
          <w:rFonts w:hint="eastAsia" w:ascii="楷体" w:hAnsi="楷体" w:eastAsia="楷体" w:cs="楷体"/>
          <w:b w:val="0"/>
          <w:bCs w:val="0"/>
          <w:color w:val="auto"/>
          <w:sz w:val="18"/>
          <w:szCs w:val="18"/>
          <w:vertAlign w:val="baseline"/>
          <w:lang w:val="en-US" w:eastAsia="zh-CN"/>
        </w:rPr>
        <w:t>发布的IT行业薪酬调查报告分析近三年IT行业薪资变化情况，探索COVID-19对IT行业的整体薪资影响状况并对未来可能的薪酬变化做出预测，以供各大信息公司参考。</w:t>
      </w:r>
    </w:p>
    <w:p>
      <w:pPr>
        <w:spacing w:line="240" w:lineRule="auto"/>
        <w:jc w:val="left"/>
        <w:rPr>
          <w:rFonts w:hint="eastAsia" w:ascii="楷体" w:hAnsi="楷体" w:eastAsia="楷体" w:cs="楷体"/>
          <w:b w:val="0"/>
          <w:bCs w:val="0"/>
          <w:i w:val="0"/>
          <w:iCs w:val="0"/>
          <w:caps w:val="0"/>
          <w:color w:val="auto"/>
          <w:spacing w:val="0"/>
          <w:sz w:val="18"/>
          <w:szCs w:val="18"/>
          <w:shd w:val="clear" w:fill="FFFFFF"/>
          <w:lang w:val="en-US" w:eastAsia="zh-CN"/>
        </w:rPr>
      </w:pPr>
      <w:r>
        <w:rPr>
          <w:rFonts w:hint="eastAsia" w:ascii="黑体" w:hAnsi="黑体" w:eastAsia="黑体" w:cs="黑体"/>
          <w:sz w:val="21"/>
          <w:szCs w:val="21"/>
          <w:vertAlign w:val="baseline"/>
          <w:lang w:val="en-US" w:eastAsia="zh-CN"/>
        </w:rPr>
        <w:t>关键词</w:t>
      </w:r>
      <w:r>
        <w:rPr>
          <w:rFonts w:hint="eastAsia" w:ascii="楷体" w:hAnsi="楷体" w:eastAsia="楷体" w:cs="楷体"/>
          <w:b w:val="0"/>
          <w:bCs w:val="0"/>
          <w:i w:val="0"/>
          <w:iCs w:val="0"/>
          <w:caps w:val="0"/>
          <w:color w:val="auto"/>
          <w:spacing w:val="0"/>
          <w:sz w:val="18"/>
          <w:szCs w:val="18"/>
          <w:shd w:val="clear" w:fill="FFFFFF"/>
          <w:lang w:val="en-US" w:eastAsia="zh-CN"/>
        </w:rPr>
        <w:t>IT，薪酬报告</w:t>
      </w:r>
    </w:p>
    <w:p>
      <w:pPr>
        <w:bidi w:val="0"/>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1引言</w:t>
      </w:r>
    </w:p>
    <w:p>
      <w:pPr>
        <w:bidi w:val="0"/>
        <w:spacing w:line="240" w:lineRule="auto"/>
        <w:ind w:firstLine="4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rPr>
        <w:t>今世界，信息技术日新月异，正在有力地推动着社会生产力的发展。一是微电子技术的高速发展，导致芯片的运算能力及性能价格比继续按几何级数的定律增长，从而为大规模、多领域的数字化信息的加工处理、传递交流创造了条件；二是软件技术的高速发展，使芯片和计算机硬件具有了智能，从而成倍地扩大了计算机技术的功能和应用范围；三是在微电子、软件和激光三大技术的推动下，通信技术加快了从模拟向数字、从低速向高速、从单一语言媒体向多媒体的转变；四是计算机、通信与媒体技术的相互渗透与融合，正在将通信与信息技术的发展推向一个崭新的阶段。</w:t>
      </w:r>
    </w:p>
    <w:p>
      <w:pPr>
        <w:bidi w:val="0"/>
        <w:spacing w:line="240" w:lineRule="auto"/>
        <w:ind w:firstLine="420" w:firstLineChars="0"/>
        <w:rPr>
          <w:rFonts w:hint="eastAsia" w:asciiTheme="minorEastAsia" w:hAnsiTheme="minorEastAsia" w:eastAsiaTheme="minorEastAsia" w:cstheme="minorEastAsia"/>
          <w:i w:val="0"/>
          <w:iCs w:val="0"/>
          <w:caps w:val="0"/>
          <w:color w:val="121212"/>
          <w:spacing w:val="0"/>
          <w:sz w:val="18"/>
          <w:szCs w:val="18"/>
          <w:shd w:val="clear" w:fill="FFFFFF"/>
          <w:lang w:val="en-US" w:eastAsia="zh-CN"/>
        </w:rPr>
      </w:pPr>
      <w:r>
        <w:rPr>
          <w:rFonts w:hint="eastAsia" w:asciiTheme="minorEastAsia" w:hAnsiTheme="minorEastAsia" w:eastAsiaTheme="minorEastAsia" w:cstheme="minorEastAsia"/>
          <w:i w:val="0"/>
          <w:iCs w:val="0"/>
          <w:caps w:val="0"/>
          <w:color w:val="121212"/>
          <w:spacing w:val="0"/>
          <w:sz w:val="18"/>
          <w:szCs w:val="18"/>
          <w:shd w:val="clear" w:fill="FFFFFF"/>
        </w:rPr>
        <w:t>在过去5年的时间里，IT行业经历了28%的增长速度，</w:t>
      </w:r>
      <w:r>
        <w:rPr>
          <w:rFonts w:hint="eastAsia" w:asciiTheme="minorEastAsia" w:hAnsiTheme="minorEastAsia" w:eastAsiaTheme="minorEastAsia" w:cstheme="minorEastAsia"/>
          <w:i w:val="0"/>
          <w:iCs w:val="0"/>
          <w:caps w:val="0"/>
          <w:color w:val="121212"/>
          <w:spacing w:val="0"/>
          <w:sz w:val="18"/>
          <w:szCs w:val="18"/>
          <w:shd w:val="clear" w:fill="FFFFFF"/>
          <w:lang w:val="en-US" w:eastAsia="zh-CN"/>
        </w:rPr>
        <w:t>是</w:t>
      </w:r>
      <w:r>
        <w:rPr>
          <w:rFonts w:hint="eastAsia" w:asciiTheme="minorEastAsia" w:hAnsiTheme="minorEastAsia" w:eastAsiaTheme="minorEastAsia" w:cstheme="minorEastAsia"/>
          <w:i w:val="0"/>
          <w:iCs w:val="0"/>
          <w:caps w:val="0"/>
          <w:color w:val="121212"/>
          <w:spacing w:val="0"/>
          <w:sz w:val="18"/>
          <w:szCs w:val="18"/>
          <w:shd w:val="clear" w:fill="FFFFFF"/>
        </w:rPr>
        <w:t>同期的国家GDP增长速度的三倍，对我国国民经济增长的贡献率不断提高。IT产业占全国工业比重达到12.3%，占GDP的9.1%，成为第一大产业。</w:t>
      </w:r>
      <w:r>
        <w:rPr>
          <w:rFonts w:hint="eastAsia" w:asciiTheme="minorEastAsia" w:hAnsiTheme="minorEastAsia" w:eastAsiaTheme="minorEastAsia" w:cstheme="minorEastAsia"/>
          <w:i w:val="0"/>
          <w:iCs w:val="0"/>
          <w:caps w:val="0"/>
          <w:color w:val="121212"/>
          <w:spacing w:val="0"/>
          <w:sz w:val="18"/>
          <w:szCs w:val="18"/>
          <w:shd w:val="clear" w:fill="FFFFFF"/>
          <w:lang w:val="en-US" w:eastAsia="zh-CN"/>
        </w:rPr>
        <w:t>放眼国际，随着经济全球化进程的明显加快，全产业信息化的浪潮不可阻挡，IT行业在世界范围内的迅猛发展不仅提供了丰富的就业岗位也提供了丰厚的薪资报酬。</w:t>
      </w:r>
    </w:p>
    <w:p>
      <w:pPr>
        <w:bidi w:val="0"/>
        <w:spacing w:line="240" w:lineRule="auto"/>
        <w:ind w:firstLine="420" w:firstLineChars="0"/>
        <w:rPr>
          <w:rFonts w:hint="default" w:ascii="黑体" w:hAnsi="黑体" w:eastAsia="黑体" w:cs="黑体"/>
          <w:sz w:val="28"/>
          <w:szCs w:val="28"/>
          <w:lang w:val="en-US" w:eastAsia="zh-CN"/>
        </w:rPr>
      </w:pPr>
      <w:r>
        <w:rPr>
          <w:rFonts w:hint="eastAsia" w:asciiTheme="minorEastAsia" w:hAnsiTheme="minorEastAsia" w:eastAsiaTheme="minorEastAsia" w:cstheme="minorEastAsia"/>
          <w:i w:val="0"/>
          <w:iCs w:val="0"/>
          <w:caps w:val="0"/>
          <w:color w:val="121212"/>
          <w:spacing w:val="0"/>
          <w:sz w:val="18"/>
          <w:szCs w:val="18"/>
          <w:shd w:val="clear" w:fill="FFFFFF"/>
          <w:lang w:val="en-US" w:eastAsia="zh-CN"/>
        </w:rPr>
        <w:t>IDGInsiderPro网站连续三年对1800-2400名全职或兼职的IT专业人员进行了详细的调查，</w:t>
      </w:r>
      <w:r>
        <w:rPr>
          <w:rFonts w:hint="eastAsia" w:asciiTheme="minorEastAsia" w:hAnsiTheme="minorEastAsia" w:cstheme="minorEastAsia"/>
          <w:i w:val="0"/>
          <w:iCs w:val="0"/>
          <w:caps w:val="0"/>
          <w:color w:val="121212"/>
          <w:spacing w:val="0"/>
          <w:sz w:val="18"/>
          <w:szCs w:val="18"/>
          <w:shd w:val="clear" w:fill="FFFFFF"/>
          <w:lang w:val="en-US" w:eastAsia="zh-CN"/>
        </w:rPr>
        <w:t>指出了IT行业薪酬基本上涨的变化趋势。</w:t>
      </w:r>
      <w:r>
        <w:rPr>
          <w:rFonts w:hint="eastAsia" w:asciiTheme="minorEastAsia" w:hAnsiTheme="minorEastAsia" w:eastAsiaTheme="minorEastAsia" w:cstheme="minorEastAsia"/>
          <w:i w:val="0"/>
          <w:iCs w:val="0"/>
          <w:caps w:val="0"/>
          <w:color w:val="121212"/>
          <w:spacing w:val="0"/>
          <w:sz w:val="18"/>
          <w:szCs w:val="18"/>
          <w:shd w:val="clear" w:fill="FFFFFF"/>
          <w:lang w:val="en-US" w:eastAsia="zh-CN"/>
        </w:rPr>
        <w:t>本文将选取其中部分数据与报告进行分析，</w:t>
      </w:r>
      <w:r>
        <w:rPr>
          <w:rFonts w:hint="eastAsia" w:asciiTheme="minorEastAsia" w:hAnsiTheme="minorEastAsia" w:cstheme="minorEastAsia"/>
          <w:i w:val="0"/>
          <w:iCs w:val="0"/>
          <w:caps w:val="0"/>
          <w:color w:val="121212"/>
          <w:spacing w:val="0"/>
          <w:sz w:val="18"/>
          <w:szCs w:val="18"/>
          <w:shd w:val="clear" w:fill="FFFFFF"/>
          <w:lang w:val="en-US" w:eastAsia="zh-CN"/>
        </w:rPr>
        <w:t>对全球IT行业薪资变化趋势</w:t>
      </w:r>
      <w:r>
        <w:rPr>
          <w:rFonts w:hint="eastAsia" w:asciiTheme="minorEastAsia" w:hAnsiTheme="minorEastAsia" w:eastAsiaTheme="minorEastAsia" w:cstheme="minorEastAsia"/>
          <w:i w:val="0"/>
          <w:iCs w:val="0"/>
          <w:caps w:val="0"/>
          <w:color w:val="121212"/>
          <w:spacing w:val="0"/>
          <w:sz w:val="18"/>
          <w:szCs w:val="18"/>
          <w:shd w:val="clear" w:fill="FFFFFF"/>
          <w:lang w:val="en-US" w:eastAsia="zh-CN"/>
        </w:rPr>
        <w:t>得出结论。</w:t>
      </w: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r>
        <w:rPr>
          <w:rFonts w:hint="eastAsia" w:ascii="黑体" w:hAnsi="黑体" w:eastAsia="黑体" w:cs="黑体"/>
          <w:b w:val="0"/>
          <w:bCs w:val="0"/>
          <w:i w:val="0"/>
          <w:iCs w:val="0"/>
          <w:caps w:val="0"/>
          <w:color w:val="auto"/>
          <w:spacing w:val="0"/>
          <w:sz w:val="28"/>
          <w:szCs w:val="28"/>
          <w:shd w:val="clear" w:fill="FFFFFF"/>
          <w:lang w:val="en-US" w:eastAsia="zh-CN"/>
        </w:rPr>
        <w:t>2分析结果</w:t>
      </w:r>
    </w:p>
    <w:p>
      <w:pPr>
        <w:spacing w:line="240" w:lineRule="auto"/>
        <w:ind w:firstLine="420" w:firstLineChars="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lang w:val="en-US" w:eastAsia="zh-CN"/>
        </w:rPr>
        <w:t>通过对</w:t>
      </w:r>
      <w:r>
        <w:rPr>
          <w:rFonts w:hint="eastAsia" w:ascii="宋体" w:hAnsi="宋体" w:eastAsia="宋体" w:cs="宋体"/>
          <w:i w:val="0"/>
          <w:iCs w:val="0"/>
          <w:caps w:val="0"/>
          <w:color w:val="333333"/>
          <w:spacing w:val="0"/>
          <w:sz w:val="18"/>
          <w:szCs w:val="18"/>
          <w:shd w:val="clear" w:fill="FFFFFF"/>
        </w:rPr>
        <w:t>1172位IT专业人员进行的年度IT薪水调查发现，所有受访者的平均薪水已从2020年的112580美元下降到今年的104446美元。而且，在2020年的调查中，有70%的IT专业人士表示基本工资有所增长，但今年这一数据降至了56%</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lang w:val="en-US" w:eastAsia="zh-CN"/>
        </w:rPr>
        <w:t>见图1</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rPr>
        <w:t>。</w:t>
      </w:r>
    </w:p>
    <w:p>
      <w:pPr>
        <w:spacing w:line="240" w:lineRule="auto"/>
        <w:ind w:firstLine="420" w:firstLineChars="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但是，IT行业仍然是一个充满活力，投资良好且面向增长的行业。在过去的12个月中，数字化转型的快速加速已经证实了这一点，尽管与上一年相比，薪酬的性质和份额并不一定反映出这种增加的状况</w:t>
      </w:r>
      <w:r>
        <w:rPr>
          <w:rFonts w:hint="eastAsia" w:ascii="宋体" w:hAnsi="宋体" w:eastAsia="宋体" w:cs="宋体"/>
          <w:i w:val="0"/>
          <w:iCs w:val="0"/>
          <w:caps w:val="0"/>
          <w:color w:val="333333"/>
          <w:spacing w:val="0"/>
          <w:sz w:val="18"/>
          <w:szCs w:val="18"/>
          <w:shd w:val="clear" w:fill="FFFFFF"/>
          <w:vertAlign w:val="superscript"/>
          <w:lang w:val="en-US" w:eastAsia="zh-CN"/>
        </w:rPr>
        <w:t>[1]</w:t>
      </w:r>
      <w:r>
        <w:rPr>
          <w:rFonts w:hint="eastAsia" w:ascii="宋体" w:hAnsi="宋体" w:eastAsia="宋体" w:cs="宋体"/>
          <w:i w:val="0"/>
          <w:iCs w:val="0"/>
          <w:caps w:val="0"/>
          <w:color w:val="333333"/>
          <w:spacing w:val="0"/>
          <w:sz w:val="18"/>
          <w:szCs w:val="18"/>
          <w:shd w:val="clear" w:fill="FFFFFF"/>
        </w:rPr>
        <w:t>。</w:t>
      </w:r>
    </w:p>
    <w:p>
      <w:pPr>
        <w:spacing w:line="240" w:lineRule="auto"/>
        <w:ind w:firstLine="420" w:firstLineChars="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18"/>
          <w:szCs w:val="18"/>
          <w:shd w:val="clear" w:fill="FFFFFF"/>
        </w:rPr>
        <w:t>薪资涨幅最大的是高级IT管理人员（全职或兼职），他们的平均薪酬从去年的166768美元增长到173033美元。相比之下，中层管理人员的总体平均薪酬从107449美元降至99944美元，普通员工的薪酬从88571美元降至78662美元。在过去的四年中（2016-2020年），高级IT管理人员的薪水平均增长了40％，而中层管理人员和IT工人的薪资增长率则放慢了，分别为10％和5％。</w:t>
      </w:r>
    </w:p>
    <w:p>
      <w:pPr>
        <w:spacing w:line="240" w:lineRule="auto"/>
        <w:ind w:firstLine="420" w:firstLineChars="0"/>
        <w:jc w:val="left"/>
        <w:rPr>
          <w:rFonts w:hint="eastAsia" w:ascii="宋体" w:hAnsi="宋体" w:eastAsia="宋体" w:cs="宋体"/>
          <w:i w:val="0"/>
          <w:iCs w:val="0"/>
          <w:caps w:val="0"/>
          <w:color w:val="333333"/>
          <w:spacing w:val="0"/>
          <w:sz w:val="24"/>
          <w:szCs w:val="24"/>
          <w:shd w:val="clear" w:fill="FFFFFF"/>
        </w:rPr>
      </w:pPr>
    </w:p>
    <w:p>
      <w:pPr>
        <w:spacing w:line="240" w:lineRule="auto"/>
        <w:ind w:firstLine="420" w:firstLineChars="0"/>
        <w:jc w:val="center"/>
      </w:pPr>
      <w:r>
        <w:drawing>
          <wp:inline distT="0" distB="0" distL="114300" distR="114300">
            <wp:extent cx="3239770" cy="2520315"/>
            <wp:effectExtent l="0" t="0" r="17780" b="133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stretch>
                      <a:fillRect/>
                    </a:stretch>
                  </pic:blipFill>
                  <pic:spPr>
                    <a:xfrm>
                      <a:off x="0" y="0"/>
                      <a:ext cx="3239770" cy="2520315"/>
                    </a:xfrm>
                    <a:prstGeom prst="rect">
                      <a:avLst/>
                    </a:prstGeom>
                    <a:noFill/>
                    <a:ln>
                      <a:noFill/>
                    </a:ln>
                  </pic:spPr>
                </pic:pic>
              </a:graphicData>
            </a:graphic>
          </wp:inline>
        </w:drawing>
      </w:r>
    </w:p>
    <w:p>
      <w:pPr>
        <w:spacing w:line="240" w:lineRule="auto"/>
        <w:ind w:firstLine="420" w:firstLineChars="0"/>
        <w:jc w:val="center"/>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图1 2020年美国IT行业工资变化</w:t>
      </w:r>
    </w:p>
    <w:p>
      <w:pPr>
        <w:spacing w:line="240" w:lineRule="auto"/>
        <w:ind w:firstLine="420" w:firstLineChars="0"/>
        <w:jc w:val="center"/>
      </w:pPr>
      <w:r>
        <w:drawing>
          <wp:inline distT="0" distB="0" distL="114300" distR="114300">
            <wp:extent cx="3239770" cy="2520315"/>
            <wp:effectExtent l="0" t="0" r="17780" b="1333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stretch>
                      <a:fillRect/>
                    </a:stretch>
                  </pic:blipFill>
                  <pic:spPr>
                    <a:xfrm>
                      <a:off x="0" y="0"/>
                      <a:ext cx="3239770" cy="2520315"/>
                    </a:xfrm>
                    <a:prstGeom prst="rect">
                      <a:avLst/>
                    </a:prstGeom>
                    <a:noFill/>
                    <a:ln>
                      <a:noFill/>
                    </a:ln>
                  </pic:spPr>
                </pic:pic>
              </a:graphicData>
            </a:graphic>
          </wp:inline>
        </w:drawing>
      </w:r>
    </w:p>
    <w:p>
      <w:pPr>
        <w:spacing w:line="24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图2 2020年美国IT专业人员薪水变化及收入情况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240" w:lineRule="auto"/>
        <w:ind w:left="0" w:right="0" w:firstLine="420" w:firstLineChars="0"/>
        <w:jc w:val="both"/>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IT行业工资变化最明显的是合同工，其中18％的人称，在过去12个月中他们的日薪或基本收入有所下降，从2020年的125美元/小时降至109美元/小时。还有54%的人表示他们的基本工资没有改变，28%的人说自己的工资有所上涨</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lang w:val="en-US" w:eastAsia="zh-CN"/>
        </w:rPr>
        <w:t>见图2</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调查发现，高级IT管理人员对未来收入非常乐观。去年，高级管理人员预计奖金平均为20767美元，但今年已跃升至平均27480美元。其他职位的员工期望值相对较低，中层管理人员的平均期望为6768美元，上一年为6593美元。普通员工的期望为4865美元，低于去年的5099美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虽然IT行业标准工资的增长率下降了（从去年的调查的55％下降到44％），但更多的工资增长与绩效挂钩（从30％上升到38％），这也许可以解释大家为何对薪资有更多期望。对奖金的期望，尤其是对于决策者而言，与新职责、晋升机会和掌握新技能等因素相关。在当前的工作和经济环境下，这是可以理解的，因为在许多情况下，收入下降的背景下，越来越多的组织努力满足快速增长的数字化需求。毫无疑问，这是对该行业的积极反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left="0" w:right="0" w:firstLine="420" w:firstLineChars="0"/>
        <w:jc w:val="both"/>
        <w:textAlignment w:val="auto"/>
        <w:rPr>
          <w:rFonts w:hint="eastAsia" w:ascii="宋体" w:hAnsi="宋体" w:eastAsia="宋体" w:cs="宋体"/>
          <w:color w:val="333333"/>
          <w:sz w:val="18"/>
          <w:szCs w:val="18"/>
        </w:rPr>
      </w:pPr>
      <w:r>
        <w:rPr>
          <w:rFonts w:hint="eastAsia" w:ascii="宋体" w:hAnsi="宋体" w:eastAsia="宋体" w:cs="宋体"/>
          <w:i w:val="0"/>
          <w:iCs w:val="0"/>
          <w:caps w:val="0"/>
          <w:color w:val="333333"/>
          <w:spacing w:val="0"/>
          <w:sz w:val="18"/>
          <w:szCs w:val="18"/>
          <w:shd w:val="clear" w:fill="FFFFFF"/>
          <w:lang w:val="en-US" w:eastAsia="zh-CN"/>
        </w:rPr>
        <w:t>通过调查我们可以发现</w:t>
      </w:r>
      <w:r>
        <w:rPr>
          <w:rFonts w:hint="eastAsia" w:ascii="宋体" w:hAnsi="宋体" w:eastAsia="宋体" w:cs="宋体"/>
          <w:i w:val="0"/>
          <w:iCs w:val="0"/>
          <w:caps w:val="0"/>
          <w:color w:val="333333"/>
          <w:spacing w:val="0"/>
          <w:sz w:val="18"/>
          <w:szCs w:val="18"/>
          <w:shd w:val="clear" w:fill="FFFFFF"/>
        </w:rPr>
        <w:t>，</w:t>
      </w:r>
      <w:r>
        <w:rPr>
          <w:rFonts w:hint="eastAsia" w:ascii="宋体" w:hAnsi="宋体" w:eastAsia="宋体" w:cs="宋体"/>
          <w:i w:val="0"/>
          <w:iCs w:val="0"/>
          <w:caps w:val="0"/>
          <w:color w:val="333333"/>
          <w:spacing w:val="0"/>
          <w:sz w:val="18"/>
          <w:szCs w:val="18"/>
          <w:shd w:val="clear" w:fill="FFFFFF"/>
          <w:lang w:val="en-US" w:eastAsia="zh-CN"/>
        </w:rPr>
        <w:t>某些专业</w:t>
      </w:r>
      <w:r>
        <w:rPr>
          <w:rFonts w:hint="eastAsia" w:ascii="宋体" w:hAnsi="宋体" w:eastAsia="宋体" w:cs="宋体"/>
          <w:i w:val="0"/>
          <w:iCs w:val="0"/>
          <w:caps w:val="0"/>
          <w:color w:val="333333"/>
          <w:spacing w:val="0"/>
          <w:sz w:val="18"/>
          <w:szCs w:val="18"/>
          <w:shd w:val="clear" w:fill="FFFFFF"/>
        </w:rPr>
        <w:t>在保持长期薪水稳定和增长方面</w:t>
      </w:r>
      <w:r>
        <w:rPr>
          <w:rFonts w:hint="eastAsia" w:ascii="宋体" w:hAnsi="宋体" w:eastAsia="宋体" w:cs="宋体"/>
          <w:i w:val="0"/>
          <w:iCs w:val="0"/>
          <w:caps w:val="0"/>
          <w:color w:val="333333"/>
          <w:spacing w:val="0"/>
          <w:sz w:val="18"/>
          <w:szCs w:val="18"/>
          <w:shd w:val="clear" w:fill="FFFFFF"/>
          <w:lang w:val="en-US" w:eastAsia="zh-CN"/>
        </w:rPr>
        <w:t>有着突出又是</w:t>
      </w:r>
      <w:r>
        <w:rPr>
          <w:rFonts w:hint="eastAsia" w:ascii="宋体" w:hAnsi="宋体" w:eastAsia="宋体" w:cs="宋体"/>
          <w:i w:val="0"/>
          <w:iCs w:val="0"/>
          <w:caps w:val="0"/>
          <w:color w:val="333333"/>
          <w:spacing w:val="0"/>
          <w:sz w:val="18"/>
          <w:szCs w:val="18"/>
          <w:shd w:val="clear" w:fill="FFFFFF"/>
        </w:rPr>
        <w:t>。在过去的四年中，企业应用程序集成，安全性和ERP</w:t>
      </w:r>
      <w:r>
        <w:rPr>
          <w:rFonts w:hint="eastAsia" w:ascii="宋体" w:hAnsi="宋体" w:eastAsia="宋体" w:cs="宋体"/>
          <w:i w:val="0"/>
          <w:iCs w:val="0"/>
          <w:caps w:val="0"/>
          <w:color w:val="333333"/>
          <w:spacing w:val="0"/>
          <w:sz w:val="18"/>
          <w:szCs w:val="18"/>
          <w:shd w:val="clear" w:fill="FFFFFF"/>
          <w:lang w:val="en-US" w:eastAsia="zh-CN"/>
        </w:rPr>
        <w:t>相关职业</w:t>
      </w:r>
      <w:r>
        <w:rPr>
          <w:rFonts w:hint="eastAsia" w:ascii="宋体" w:hAnsi="宋体" w:eastAsia="宋体" w:cs="宋体"/>
          <w:i w:val="0"/>
          <w:iCs w:val="0"/>
          <w:caps w:val="0"/>
          <w:color w:val="333333"/>
          <w:spacing w:val="0"/>
          <w:sz w:val="18"/>
          <w:szCs w:val="18"/>
          <w:shd w:val="clear" w:fill="FFFFFF"/>
        </w:rPr>
        <w:t>的平均薪水实现了两位数的高增长</w:t>
      </w:r>
      <w:r>
        <w:rPr>
          <w:rFonts w:hint="eastAsia" w:ascii="宋体" w:hAnsi="宋体" w:eastAsia="宋体" w:cs="宋体"/>
          <w:i w:val="0"/>
          <w:iCs w:val="0"/>
          <w:caps w:val="0"/>
          <w:color w:val="333333"/>
          <w:spacing w:val="0"/>
          <w:sz w:val="18"/>
          <w:szCs w:val="18"/>
          <w:shd w:val="clear" w:fill="FFFFFF"/>
          <w:vertAlign w:val="superscript"/>
          <w:lang w:val="en-US" w:eastAsia="zh-CN"/>
        </w:rPr>
        <w:t>[2]</w:t>
      </w:r>
      <w:r>
        <w:rPr>
          <w:rFonts w:hint="eastAsia" w:ascii="宋体" w:hAnsi="宋体" w:eastAsia="宋体" w:cs="宋体"/>
          <w:i w:val="0"/>
          <w:iCs w:val="0"/>
          <w:caps w:val="0"/>
          <w:color w:val="333333"/>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420" w:firstLineChars="0"/>
        <w:jc w:val="both"/>
        <w:rPr>
          <w:rFonts w:hint="eastAsia" w:ascii="宋体" w:hAnsi="宋体" w:eastAsia="宋体" w:cs="宋体"/>
          <w:color w:val="333333"/>
          <w:sz w:val="18"/>
          <w:szCs w:val="18"/>
        </w:rPr>
      </w:pPr>
      <w:r>
        <w:rPr>
          <w:rFonts w:hint="eastAsia" w:ascii="宋体" w:hAnsi="宋体" w:eastAsia="宋体" w:cs="宋体"/>
          <w:i w:val="0"/>
          <w:iCs w:val="0"/>
          <w:caps w:val="0"/>
          <w:color w:val="333333"/>
          <w:spacing w:val="0"/>
          <w:sz w:val="18"/>
          <w:szCs w:val="18"/>
          <w:shd w:val="clear" w:fill="FFFFFF"/>
        </w:rPr>
        <w:t>自2016年以来，企业应用程序集成岗位的收入增长了32％，平均薪水为139913美元，位居收入榜首。专注于安全性的岗位紧随其后，自2016年以来增长了28％，2020年的平均年薪为134365美元。ERP岗位位居第三，自2016年以来增长了25％，2020年的平均薪资为130602美元</w:t>
      </w:r>
      <w:r>
        <w:rPr>
          <w:rFonts w:hint="eastAsia" w:ascii="宋体" w:hAnsi="宋体" w:eastAsia="宋体" w:cs="宋体"/>
          <w:i w:val="0"/>
          <w:iCs w:val="0"/>
          <w:caps w:val="0"/>
          <w:color w:val="333333"/>
          <w:spacing w:val="0"/>
          <w:sz w:val="18"/>
          <w:szCs w:val="18"/>
          <w:shd w:val="clear" w:fill="FFFFFF"/>
          <w:vertAlign w:val="superscript"/>
          <w:lang w:val="en-US" w:eastAsia="zh-CN"/>
        </w:rPr>
        <w:t>[3]</w:t>
      </w:r>
      <w:r>
        <w:rPr>
          <w:rFonts w:hint="eastAsia" w:ascii="宋体" w:hAnsi="宋体" w:eastAsia="宋体" w:cs="宋体"/>
          <w:i w:val="0"/>
          <w:iCs w:val="0"/>
          <w:caps w:val="0"/>
          <w:color w:val="333333"/>
          <w:spacing w:val="0"/>
          <w:sz w:val="18"/>
          <w:szCs w:val="18"/>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其他显著的增长包括云计算（自2016年以来增长了15％），商业智能/分析（增长了21％）和应用程序开发（增长了27％）。尽管与企业应用程序集成，安全性和ERP相比，这三个技能功能的薪水在2020年较低（分别为127025美元、118828美元和124017美元），但它们与</w:t>
      </w:r>
      <w:r>
        <w:rPr>
          <w:rFonts w:hint="eastAsia" w:ascii="宋体" w:hAnsi="宋体" w:eastAsia="宋体" w:cs="宋体"/>
          <w:i w:val="0"/>
          <w:iCs w:val="0"/>
          <w:caps w:val="0"/>
          <w:color w:val="333333"/>
          <w:spacing w:val="0"/>
          <w:sz w:val="18"/>
          <w:szCs w:val="18"/>
          <w:shd w:val="clear" w:fill="FFFFFF"/>
          <w:lang w:val="en-US" w:eastAsia="zh-CN"/>
        </w:rPr>
        <w:t>公司</w:t>
      </w:r>
      <w:r>
        <w:rPr>
          <w:rFonts w:hint="eastAsia" w:ascii="宋体" w:hAnsi="宋体" w:eastAsia="宋体" w:cs="宋体"/>
          <w:i w:val="0"/>
          <w:iCs w:val="0"/>
          <w:caps w:val="0"/>
          <w:color w:val="333333"/>
          <w:spacing w:val="0"/>
          <w:sz w:val="18"/>
          <w:szCs w:val="18"/>
          <w:shd w:val="clear" w:fill="FFFFFF"/>
        </w:rPr>
        <w:t>的未来</w:t>
      </w:r>
      <w:r>
        <w:rPr>
          <w:rFonts w:hint="eastAsia" w:ascii="宋体" w:hAnsi="宋体" w:eastAsia="宋体" w:cs="宋体"/>
          <w:i w:val="0"/>
          <w:iCs w:val="0"/>
          <w:caps w:val="0"/>
          <w:color w:val="333333"/>
          <w:spacing w:val="0"/>
          <w:sz w:val="18"/>
          <w:szCs w:val="18"/>
          <w:shd w:val="clear" w:fill="FFFFFF"/>
          <w:lang w:val="en-US" w:eastAsia="zh-CN"/>
        </w:rPr>
        <w:t>发展</w:t>
      </w:r>
      <w:r>
        <w:rPr>
          <w:rFonts w:hint="eastAsia" w:ascii="宋体" w:hAnsi="宋体" w:eastAsia="宋体" w:cs="宋体"/>
          <w:i w:val="0"/>
          <w:iCs w:val="0"/>
          <w:caps w:val="0"/>
          <w:color w:val="333333"/>
          <w:spacing w:val="0"/>
          <w:sz w:val="18"/>
          <w:szCs w:val="18"/>
          <w:shd w:val="clear" w:fill="FFFFFF"/>
        </w:rPr>
        <w:t>相关，在未来将持续增长</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lang w:val="en-US" w:eastAsia="zh-CN"/>
        </w:rPr>
        <w:t>见图3</w:t>
      </w:r>
      <w:r>
        <w:rPr>
          <w:rFonts w:hint="eastAsia" w:ascii="宋体" w:hAnsi="宋体" w:eastAsia="宋体" w:cs="宋体"/>
          <w:i w:val="0"/>
          <w:iCs w:val="0"/>
          <w:caps w:val="0"/>
          <w:color w:val="333333"/>
          <w:spacing w:val="0"/>
          <w:sz w:val="18"/>
          <w:szCs w:val="18"/>
          <w:shd w:val="clear" w:fill="FFFFFF"/>
          <w:lang w:eastAsia="zh-CN"/>
        </w:rPr>
        <w:t>）</w:t>
      </w:r>
      <w:r>
        <w:rPr>
          <w:rFonts w:hint="eastAsia" w:ascii="宋体" w:hAnsi="宋体" w:eastAsia="宋体" w:cs="宋体"/>
          <w:i w:val="0"/>
          <w:iCs w:val="0"/>
          <w:caps w:val="0"/>
          <w:color w:val="333333"/>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240" w:lineRule="auto"/>
        <w:ind w:left="0" w:right="0"/>
        <w:jc w:val="center"/>
      </w:pPr>
      <w:r>
        <w:drawing>
          <wp:inline distT="0" distB="0" distL="114300" distR="114300">
            <wp:extent cx="3239770" cy="2520315"/>
            <wp:effectExtent l="0" t="0" r="17780" b="1333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3239770" cy="2520315"/>
                    </a:xfrm>
                    <a:prstGeom prst="rect">
                      <a:avLst/>
                    </a:prstGeom>
                    <a:noFill/>
                    <a:ln>
                      <a:noFill/>
                    </a:ln>
                  </pic:spPr>
                </pic:pic>
              </a:graphicData>
            </a:graphic>
          </wp:inline>
        </w:drawing>
      </w:r>
    </w:p>
    <w:p>
      <w:pPr>
        <w:spacing w:line="24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图3 2016-2020岗位平均薪资变化</w:t>
      </w:r>
    </w:p>
    <w:p>
      <w:pPr>
        <w:spacing w:line="240" w:lineRule="auto"/>
        <w:ind w:firstLine="420" w:firstLineChars="0"/>
        <w:jc w:val="both"/>
        <w:rPr>
          <w:rFonts w:hint="default"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最后，类比国内总体内资企业劳动者报酬来看，IT行业薪酬收入基本呈现上升趋势（见表1），通过分析近10年的收入数据可以发现，我国IT行业薪资的上升幅度大致保持不变，稳中有进，前途向好。</w:t>
      </w:r>
    </w:p>
    <w:p>
      <w:pPr>
        <w:spacing w:line="240" w:lineRule="auto"/>
        <w:ind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表1 2006-2015我国软件行业薪资变化</w:t>
      </w:r>
      <w:r>
        <w:rPr>
          <w:rFonts w:hint="eastAsia" w:ascii="宋体" w:hAnsi="宋体" w:eastAsia="宋体" w:cs="宋体"/>
          <w:i w:val="0"/>
          <w:iCs w:val="0"/>
          <w:caps w:val="0"/>
          <w:color w:val="333333"/>
          <w:spacing w:val="0"/>
          <w:sz w:val="18"/>
          <w:szCs w:val="18"/>
          <w:shd w:val="clear" w:fill="FFFFFF"/>
          <w:vertAlign w:val="superscript"/>
          <w:lang w:val="en-US" w:eastAsia="zh-CN"/>
        </w:rPr>
        <w:t>[4]</w:t>
      </w:r>
    </w:p>
    <w:tbl>
      <w:tblPr>
        <w:tblStyle w:val="6"/>
        <w:tblpPr w:leftFromText="180" w:rightFromText="180" w:vertAnchor="text" w:horzAnchor="page" w:tblpX="4672" w:tblpY="13"/>
        <w:tblOverlap w:val="never"/>
        <w:tblW w:w="3156" w:type="dxa"/>
        <w:tblInd w:w="0" w:type="dxa"/>
        <w:shd w:val="clear" w:color="auto" w:fill="auto"/>
        <w:tblLayout w:type="autofit"/>
        <w:tblCellMar>
          <w:top w:w="0" w:type="dxa"/>
          <w:left w:w="108" w:type="dxa"/>
          <w:bottom w:w="0" w:type="dxa"/>
          <w:right w:w="108" w:type="dxa"/>
        </w:tblCellMar>
      </w:tblPr>
      <w:tblGrid>
        <w:gridCol w:w="960"/>
        <w:gridCol w:w="2196"/>
      </w:tblGrid>
      <w:tr>
        <w:tblPrEx>
          <w:shd w:val="clear" w:color="auto" w:fill="auto"/>
          <w:tblCellMar>
            <w:top w:w="0" w:type="dxa"/>
            <w:left w:w="108" w:type="dxa"/>
            <w:bottom w:w="0" w:type="dxa"/>
            <w:right w:w="108" w:type="dxa"/>
          </w:tblCellMar>
        </w:tblPrEx>
        <w:trPr>
          <w:trHeight w:val="312" w:hRule="atLeast"/>
        </w:trPr>
        <w:tc>
          <w:tcPr>
            <w:tcW w:w="960"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年份</w:t>
            </w:r>
          </w:p>
        </w:tc>
        <w:tc>
          <w:tcPr>
            <w:tcW w:w="2196"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劳动者报酬（万元）</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2006</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2023999</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2007</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1850217</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2008</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2729560</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2009</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4206538</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2010</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6961620</w:t>
            </w:r>
          </w:p>
        </w:tc>
      </w:tr>
      <w:tr>
        <w:tblPrEx>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2011</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9845291</w:t>
            </w:r>
          </w:p>
        </w:tc>
      </w:tr>
      <w:tr>
        <w:tblPrEx>
          <w:shd w:val="clear" w:color="auto" w:fill="auto"/>
          <w:tblCellMar>
            <w:top w:w="0" w:type="dxa"/>
            <w:left w:w="108" w:type="dxa"/>
            <w:bottom w:w="0" w:type="dxa"/>
            <w:right w:w="108" w:type="dxa"/>
          </w:tblCellMar>
        </w:tblPrEx>
        <w:trPr>
          <w:trHeight w:val="327"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2012</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12748632</w:t>
            </w:r>
          </w:p>
        </w:tc>
      </w:tr>
      <w:tr>
        <w:tblPrEx>
          <w:shd w:val="clear" w:color="auto" w:fill="auto"/>
          <w:tblCellMar>
            <w:top w:w="0" w:type="dxa"/>
            <w:left w:w="108" w:type="dxa"/>
            <w:bottom w:w="0" w:type="dxa"/>
            <w:right w:w="108" w:type="dxa"/>
          </w:tblCellMar>
        </w:tblPrEx>
        <w:trPr>
          <w:trHeight w:val="327"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2013</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15846967</w:t>
            </w:r>
          </w:p>
        </w:tc>
      </w:tr>
      <w:tr>
        <w:tblPrEx>
          <w:shd w:val="clear" w:color="auto" w:fill="auto"/>
          <w:tblCellMar>
            <w:top w:w="0" w:type="dxa"/>
            <w:left w:w="108" w:type="dxa"/>
            <w:bottom w:w="0" w:type="dxa"/>
            <w:right w:w="108" w:type="dxa"/>
          </w:tblCellMar>
        </w:tblPrEx>
        <w:trPr>
          <w:trHeight w:val="327"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2014</w:t>
            </w:r>
          </w:p>
        </w:tc>
        <w:tc>
          <w:tcPr>
            <w:tcW w:w="219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22578792</w:t>
            </w:r>
          </w:p>
        </w:tc>
      </w:tr>
      <w:tr>
        <w:tblPrEx>
          <w:shd w:val="clear" w:color="auto" w:fill="auto"/>
          <w:tblCellMar>
            <w:top w:w="0" w:type="dxa"/>
            <w:left w:w="108" w:type="dxa"/>
            <w:bottom w:w="0" w:type="dxa"/>
            <w:right w:w="108" w:type="dxa"/>
          </w:tblCellMar>
        </w:tblPrEx>
        <w:trPr>
          <w:trHeight w:val="327" w:hRule="atLeast"/>
        </w:trPr>
        <w:tc>
          <w:tcPr>
            <w:tcW w:w="960" w:type="dxa"/>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2015</w:t>
            </w:r>
          </w:p>
        </w:tc>
        <w:tc>
          <w:tcPr>
            <w:tcW w:w="2196" w:type="dxa"/>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18"/>
                <w:szCs w:val="18"/>
                <w:u w:val="none"/>
              </w:rPr>
            </w:pPr>
            <w:r>
              <w:rPr>
                <w:rFonts w:hint="eastAsia" w:ascii="黑体" w:hAnsi="黑体" w:eastAsia="黑体" w:cs="黑体"/>
                <w:i w:val="0"/>
                <w:iCs w:val="0"/>
                <w:color w:val="000000"/>
                <w:kern w:val="0"/>
                <w:sz w:val="18"/>
                <w:szCs w:val="18"/>
                <w:u w:val="none"/>
                <w:lang w:val="en-US" w:eastAsia="zh-CN" w:bidi="ar"/>
              </w:rPr>
              <w:t>19932933</w:t>
            </w:r>
          </w:p>
        </w:tc>
      </w:tr>
    </w:tbl>
    <w:p>
      <w:pPr>
        <w:spacing w:line="240" w:lineRule="auto"/>
        <w:ind w:firstLine="420" w:firstLineChars="0"/>
        <w:jc w:val="center"/>
        <w:rPr>
          <w:rFonts w:hint="default" w:ascii="宋体" w:hAnsi="宋体" w:eastAsia="宋体" w:cs="宋体"/>
          <w:sz w:val="15"/>
          <w:szCs w:val="15"/>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240" w:lineRule="auto"/>
        <w:ind w:left="0" w:right="0"/>
        <w:jc w:val="center"/>
        <w:rPr>
          <w:rFonts w:hint="eastAsia"/>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r>
        <w:rPr>
          <w:rFonts w:hint="eastAsia" w:ascii="黑体" w:hAnsi="黑体" w:eastAsia="黑体" w:cs="黑体"/>
          <w:b w:val="0"/>
          <w:bCs w:val="0"/>
          <w:i w:val="0"/>
          <w:iCs w:val="0"/>
          <w:caps w:val="0"/>
          <w:color w:val="auto"/>
          <w:spacing w:val="0"/>
          <w:sz w:val="28"/>
          <w:szCs w:val="28"/>
          <w:shd w:val="clear" w:fill="FFFFFF"/>
          <w:lang w:val="en-US" w:eastAsia="zh-CN"/>
        </w:rPr>
        <w:t>3分析方法</w:t>
      </w:r>
    </w:p>
    <w:p>
      <w:pPr>
        <w:spacing w:line="240" w:lineRule="auto"/>
        <w:ind w:firstLine="420" w:firstLineChars="0"/>
        <w:jc w:val="left"/>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sz w:val="18"/>
          <w:szCs w:val="18"/>
          <w:lang w:val="en-US" w:eastAsia="zh-CN"/>
        </w:rPr>
        <w:t>通过对近三年全职或兼职的约2000名IT专业人员进行薪资调查，在多专业，多领域对比分析三年来IT行业薪资变化，结合数据网站给出的IT行业报告，基于数据探究IT行业薪资变化趋势以及未来可能的发展前景。</w:t>
      </w:r>
    </w:p>
    <w:p>
      <w:pPr>
        <w:spacing w:line="240" w:lineRule="auto"/>
        <w:jc w:val="left"/>
        <w:rPr>
          <w:rFonts w:hint="eastAsia" w:ascii="黑体" w:hAnsi="黑体" w:eastAsia="黑体" w:cs="黑体"/>
          <w:b w:val="0"/>
          <w:bCs w:val="0"/>
          <w:i w:val="0"/>
          <w:iCs w:val="0"/>
          <w:caps w:val="0"/>
          <w:color w:val="auto"/>
          <w:spacing w:val="0"/>
          <w:sz w:val="28"/>
          <w:szCs w:val="28"/>
          <w:shd w:val="clear" w:fill="FFFFFF"/>
          <w:lang w:val="en-US" w:eastAsia="zh-CN"/>
        </w:rPr>
      </w:pPr>
      <w:r>
        <w:rPr>
          <w:rFonts w:hint="eastAsia" w:ascii="黑体" w:hAnsi="黑体" w:eastAsia="黑体" w:cs="黑体"/>
          <w:b w:val="0"/>
          <w:bCs w:val="0"/>
          <w:i w:val="0"/>
          <w:iCs w:val="0"/>
          <w:caps w:val="0"/>
          <w:color w:val="auto"/>
          <w:spacing w:val="0"/>
          <w:sz w:val="28"/>
          <w:szCs w:val="28"/>
          <w:shd w:val="clear" w:fill="FFFFFF"/>
          <w:lang w:val="en-US" w:eastAsia="zh-CN"/>
        </w:rPr>
        <w:t>4结论</w:t>
      </w:r>
    </w:p>
    <w:p>
      <w:pPr>
        <w:spacing w:line="240" w:lineRule="auto"/>
        <w:ind w:firstLine="420" w:firstLineChars="0"/>
        <w:jc w:val="left"/>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已经过去的2020年对各行各业来说都产生了一定影响，有的行业甚至遭遇了严重的打击面临着困境。但对于IT行业来说，这一年是机会与挑战并存的一年。这一点从IT从业人员总体收入和对未来收入的期望上也能看出。IT行业仍然是一个充满活力，投资良好且面向增长的行业。</w:t>
      </w:r>
    </w:p>
    <w:p>
      <w:pPr>
        <w:spacing w:line="240" w:lineRule="auto"/>
        <w:ind w:firstLine="420" w:firstLineChars="0"/>
        <w:jc w:val="left"/>
        <w:rPr>
          <w:rFonts w:hint="default"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随着经济全球化程度的进一步加深，各产业信息化需求的进一步增加，IT行业的人才需求也会继续加大，尽管目前可能在某些IT专业出现了薪资增长率下降甚至薪资下降的情况，长远来看前景仍是光明的，未来IT行业的总体薪资变化趋势仍是向好的。</w:t>
      </w:r>
    </w:p>
    <w:p>
      <w:pPr>
        <w:spacing w:line="240" w:lineRule="auto"/>
        <w:ind w:firstLine="420" w:firstLineChars="0"/>
        <w:jc w:val="left"/>
        <w:rPr>
          <w:rFonts w:hint="default" w:ascii="宋体" w:hAnsi="宋体" w:eastAsia="宋体" w:cs="宋体"/>
          <w:i w:val="0"/>
          <w:iCs w:val="0"/>
          <w:caps w:val="0"/>
          <w:color w:val="333333"/>
          <w:spacing w:val="0"/>
          <w:sz w:val="18"/>
          <w:szCs w:val="18"/>
          <w:shd w:val="clear" w:fill="FFFFFF"/>
          <w:lang w:val="en-US" w:eastAsia="zh-CN"/>
        </w:rPr>
      </w:pPr>
    </w:p>
    <w:p>
      <w:pPr>
        <w:spacing w:line="240" w:lineRule="auto"/>
        <w:ind w:firstLine="420" w:firstLineChars="0"/>
        <w:jc w:val="left"/>
        <w:rPr>
          <w:rFonts w:hint="eastAsia" w:ascii="宋体" w:hAnsi="宋体" w:eastAsia="宋体" w:cs="宋体"/>
          <w:i w:val="0"/>
          <w:iCs w:val="0"/>
          <w:caps w:val="0"/>
          <w:color w:val="333333"/>
          <w:spacing w:val="0"/>
          <w:sz w:val="18"/>
          <w:szCs w:val="18"/>
          <w:shd w:val="clear" w:fill="FFFFFF"/>
          <w:lang w:val="en-US" w:eastAsia="zh-CN"/>
        </w:rPr>
      </w:pPr>
    </w:p>
    <w:p>
      <w:pPr>
        <w:spacing w:line="240" w:lineRule="auto"/>
        <w:jc w:val="center"/>
        <w:rPr>
          <w:rFonts w:hint="default" w:ascii="黑体" w:hAnsi="黑体" w:eastAsia="黑体" w:cs="黑体"/>
          <w:b w:val="0"/>
          <w:bCs w:val="0"/>
          <w:i w:val="0"/>
          <w:iCs w:val="0"/>
          <w:caps w:val="0"/>
          <w:color w:val="auto"/>
          <w:spacing w:val="0"/>
          <w:sz w:val="28"/>
          <w:szCs w:val="28"/>
          <w:shd w:val="clear" w:fill="FFFFFF"/>
          <w:lang w:val="en-US" w:eastAsia="zh-CN"/>
        </w:rPr>
      </w:pPr>
      <w:r>
        <w:rPr>
          <w:rFonts w:hint="eastAsia" w:ascii="黑体" w:hAnsi="黑体" w:eastAsia="黑体" w:cs="黑体"/>
          <w:b w:val="0"/>
          <w:bCs w:val="0"/>
          <w:i w:val="0"/>
          <w:iCs w:val="0"/>
          <w:caps w:val="0"/>
          <w:color w:val="auto"/>
          <w:spacing w:val="0"/>
          <w:sz w:val="21"/>
          <w:szCs w:val="21"/>
          <w:shd w:val="clear" w:fill="FFFFFF"/>
          <w:lang w:val="en-US" w:eastAsia="zh-CN"/>
        </w:rPr>
        <w:t>参考文献</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jc w:val="left"/>
        <w:textAlignment w:val="auto"/>
        <w:rPr>
          <w:rFonts w:hint="default" w:ascii="宋体" w:hAnsi="宋体" w:eastAsia="宋体" w:cs="宋体"/>
          <w:b w:val="0"/>
          <w:bCs w:val="0"/>
          <w:i w:val="0"/>
          <w:iCs w:val="0"/>
          <w:caps w:val="0"/>
          <w:color w:val="auto"/>
          <w:spacing w:val="0"/>
          <w:sz w:val="15"/>
          <w:szCs w:val="15"/>
          <w:shd w:val="clear" w:fill="FFFFFF"/>
          <w:lang w:val="en-US" w:eastAsia="zh-CN"/>
        </w:rPr>
      </w:pPr>
      <w:r>
        <w:rPr>
          <w:rFonts w:hint="default" w:ascii="宋体" w:hAnsi="宋体" w:eastAsia="宋体" w:cs="宋体"/>
          <w:b w:val="0"/>
          <w:bCs w:val="0"/>
          <w:i w:val="0"/>
          <w:iCs w:val="0"/>
          <w:caps w:val="0"/>
          <w:color w:val="auto"/>
          <w:spacing w:val="0"/>
          <w:sz w:val="15"/>
          <w:szCs w:val="15"/>
          <w:shd w:val="clear" w:fill="FFFFFF"/>
          <w:lang w:val="en-US" w:eastAsia="zh-CN"/>
        </w:rPr>
        <w:t>IT</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Salary</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Survey</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2021:Compensation</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holds</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steady</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despite</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pandemic</w:t>
      </w:r>
      <w:r>
        <w:rPr>
          <w:rFonts w:hint="eastAsia" w:ascii="宋体" w:hAnsi="宋体" w:eastAsia="宋体" w:cs="宋体"/>
          <w:b w:val="0"/>
          <w:bCs w:val="0"/>
          <w:i w:val="0"/>
          <w:iCs w:val="0"/>
          <w:caps w:val="0"/>
          <w:color w:val="auto"/>
          <w:spacing w:val="0"/>
          <w:sz w:val="15"/>
          <w:szCs w:val="15"/>
          <w:shd w:val="clear" w:fill="FFFFFF"/>
          <w:lang w:val="en-US" w:eastAsia="zh-CN"/>
        </w:rPr>
        <w:t>(https://www.idginsiderpro.com/article/3607982/it-salary-survey-2021-compensation-holds-steady-despite-pandemic.html)</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jc w:val="left"/>
        <w:textAlignment w:val="auto"/>
        <w:rPr>
          <w:rFonts w:hint="eastAsia" w:ascii="宋体" w:hAnsi="宋体" w:eastAsia="宋体" w:cs="宋体"/>
          <w:b w:val="0"/>
          <w:bCs w:val="0"/>
          <w:i w:val="0"/>
          <w:iCs w:val="0"/>
          <w:caps w:val="0"/>
          <w:color w:val="auto"/>
          <w:spacing w:val="0"/>
          <w:sz w:val="15"/>
          <w:szCs w:val="15"/>
          <w:shd w:val="clear" w:fill="FFFFFF"/>
          <w:lang w:val="en-US" w:eastAsia="zh-CN"/>
        </w:rPr>
      </w:pPr>
      <w:r>
        <w:rPr>
          <w:rFonts w:hint="eastAsia" w:ascii="宋体" w:hAnsi="宋体" w:eastAsia="宋体" w:cs="宋体"/>
          <w:b w:val="0"/>
          <w:bCs w:val="0"/>
          <w:i w:val="0"/>
          <w:iCs w:val="0"/>
          <w:caps w:val="0"/>
          <w:color w:val="auto"/>
          <w:spacing w:val="0"/>
          <w:sz w:val="15"/>
          <w:szCs w:val="15"/>
          <w:shd w:val="clear" w:fill="FFFFFF"/>
          <w:lang w:val="en-US" w:eastAsia="zh-CN"/>
        </w:rPr>
        <w:t>IT Salary Survey:The forecast for techhiring is bright(https://www.idginsiderpro.com/article/3526436/it-salary-survey-the-forecast-for-tech-hiring-is-bright.html)</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jc w:val="left"/>
        <w:textAlignment w:val="auto"/>
        <w:rPr>
          <w:rFonts w:hint="default" w:ascii="宋体" w:hAnsi="宋体" w:eastAsia="宋体" w:cs="宋体"/>
          <w:b w:val="0"/>
          <w:bCs w:val="0"/>
          <w:i w:val="0"/>
          <w:iCs w:val="0"/>
          <w:caps w:val="0"/>
          <w:color w:val="auto"/>
          <w:spacing w:val="0"/>
          <w:sz w:val="15"/>
          <w:szCs w:val="15"/>
          <w:shd w:val="clear" w:fill="FFFFFF"/>
          <w:lang w:val="en-US" w:eastAsia="zh-CN"/>
        </w:rPr>
      </w:pPr>
      <w:r>
        <w:rPr>
          <w:rFonts w:hint="default" w:ascii="宋体" w:hAnsi="宋体" w:eastAsia="宋体" w:cs="宋体"/>
          <w:b w:val="0"/>
          <w:bCs w:val="0"/>
          <w:i w:val="0"/>
          <w:iCs w:val="0"/>
          <w:caps w:val="0"/>
          <w:color w:val="auto"/>
          <w:spacing w:val="0"/>
          <w:sz w:val="15"/>
          <w:szCs w:val="15"/>
          <w:shd w:val="clear" w:fill="FFFFFF"/>
          <w:lang w:val="en-US" w:eastAsia="zh-CN"/>
        </w:rPr>
        <w:t>IT</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Salary</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Survey:Compensation</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for</w:t>
      </w:r>
      <w:r>
        <w:rPr>
          <w:rFonts w:hint="eastAsia" w:ascii="宋体" w:hAnsi="宋体" w:eastAsia="宋体" w:cs="宋体"/>
          <w:b w:val="0"/>
          <w:bCs w:val="0"/>
          <w:i w:val="0"/>
          <w:iCs w:val="0"/>
          <w:caps w:val="0"/>
          <w:color w:val="auto"/>
          <w:spacing w:val="0"/>
          <w:sz w:val="15"/>
          <w:szCs w:val="15"/>
          <w:shd w:val="clear" w:fill="FFFFFF"/>
          <w:lang w:val="en-US" w:eastAsia="zh-CN"/>
        </w:rPr>
        <w:t xml:space="preserve"> (most) </w:t>
      </w:r>
      <w:r>
        <w:rPr>
          <w:rFonts w:hint="default" w:ascii="宋体" w:hAnsi="宋体" w:eastAsia="宋体" w:cs="宋体"/>
          <w:b w:val="0"/>
          <w:bCs w:val="0"/>
          <w:i w:val="0"/>
          <w:iCs w:val="0"/>
          <w:caps w:val="0"/>
          <w:color w:val="auto"/>
          <w:spacing w:val="0"/>
          <w:sz w:val="15"/>
          <w:szCs w:val="15"/>
          <w:shd w:val="clear" w:fill="FFFFFF"/>
          <w:lang w:val="en-US" w:eastAsia="zh-CN"/>
        </w:rPr>
        <w:t>tech</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pros</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continues</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to</w:t>
      </w:r>
      <w:r>
        <w:rPr>
          <w:rFonts w:hint="eastAsia" w:ascii="宋体" w:hAnsi="宋体" w:eastAsia="宋体" w:cs="宋体"/>
          <w:b w:val="0"/>
          <w:bCs w:val="0"/>
          <w:i w:val="0"/>
          <w:iCs w:val="0"/>
          <w:caps w:val="0"/>
          <w:color w:val="auto"/>
          <w:spacing w:val="0"/>
          <w:sz w:val="15"/>
          <w:szCs w:val="15"/>
          <w:shd w:val="clear" w:fill="FFFFFF"/>
          <w:lang w:val="en-US" w:eastAsia="zh-CN"/>
        </w:rPr>
        <w:t xml:space="preserve"> </w:t>
      </w:r>
      <w:r>
        <w:rPr>
          <w:rFonts w:hint="default" w:ascii="宋体" w:hAnsi="宋体" w:eastAsia="宋体" w:cs="宋体"/>
          <w:b w:val="0"/>
          <w:bCs w:val="0"/>
          <w:i w:val="0"/>
          <w:iCs w:val="0"/>
          <w:caps w:val="0"/>
          <w:color w:val="auto"/>
          <w:spacing w:val="0"/>
          <w:sz w:val="15"/>
          <w:szCs w:val="15"/>
          <w:shd w:val="clear" w:fill="FFFFFF"/>
          <w:lang w:val="en-US" w:eastAsia="zh-CN"/>
        </w:rPr>
        <w:t>rise</w:t>
      </w:r>
      <w:r>
        <w:rPr>
          <w:rFonts w:hint="eastAsia" w:ascii="宋体" w:hAnsi="宋体" w:eastAsia="宋体" w:cs="宋体"/>
          <w:b w:val="0"/>
          <w:bCs w:val="0"/>
          <w:i w:val="0"/>
          <w:iCs w:val="0"/>
          <w:caps w:val="0"/>
          <w:color w:val="auto"/>
          <w:spacing w:val="0"/>
          <w:sz w:val="15"/>
          <w:szCs w:val="15"/>
          <w:shd w:val="clear" w:fill="FFFFFF"/>
          <w:lang w:val="en-US" w:eastAsia="zh-CN"/>
        </w:rPr>
        <w:t>(https://www.idginsiderpro.com/article/3519409/it-salary-survey-compensation-for-most-tech-pros-continues-to-rise.html)</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jc w:val="left"/>
        <w:textAlignment w:val="auto"/>
        <w:rPr>
          <w:rFonts w:hint="default" w:ascii="宋体" w:hAnsi="宋体" w:eastAsia="宋体" w:cs="宋体"/>
          <w:b w:val="0"/>
          <w:bCs w:val="0"/>
          <w:i w:val="0"/>
          <w:iCs w:val="0"/>
          <w:caps w:val="0"/>
          <w:color w:val="auto"/>
          <w:spacing w:val="0"/>
          <w:sz w:val="15"/>
          <w:szCs w:val="15"/>
          <w:shd w:val="clear" w:fill="FFFFFF"/>
          <w:lang w:val="en-US" w:eastAsia="zh-CN"/>
        </w:rPr>
      </w:pPr>
      <w:r>
        <w:rPr>
          <w:rFonts w:hint="eastAsia" w:ascii="宋体" w:hAnsi="宋体" w:eastAsia="宋体" w:cs="宋体"/>
          <w:b w:val="0"/>
          <w:bCs w:val="0"/>
          <w:i w:val="0"/>
          <w:iCs w:val="0"/>
          <w:caps w:val="0"/>
          <w:color w:val="auto"/>
          <w:spacing w:val="0"/>
          <w:sz w:val="15"/>
          <w:szCs w:val="15"/>
          <w:shd w:val="clear" w:fill="FFFFFF"/>
          <w:lang w:val="en-US" w:eastAsia="zh-CN"/>
        </w:rPr>
        <w:t>国研网统计数据库(http://data.drcnet.com.cn/dataTable?id=50&amp;structureId=6</w:t>
      </w:r>
      <w:bookmarkStart w:id="0" w:name="_GoBack"/>
      <w:bookmarkEnd w:id="0"/>
      <w:r>
        <w:rPr>
          <w:rFonts w:hint="eastAsia" w:ascii="宋体" w:hAnsi="宋体" w:eastAsia="宋体" w:cs="宋体"/>
          <w:b w:val="0"/>
          <w:bCs w:val="0"/>
          <w:i w:val="0"/>
          <w:iCs w:val="0"/>
          <w:caps w:val="0"/>
          <w:color w:val="auto"/>
          <w:spacing w:val="0"/>
          <w:sz w:val="15"/>
          <w:szCs w:val="15"/>
          <w:shd w:val="clear" w:fill="FFFFFF"/>
          <w:lang w:val="en-US" w:eastAsia="zh-CN"/>
        </w:rPr>
        <w:t>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DA9BA"/>
    <w:multiLevelType w:val="singleLevel"/>
    <w:tmpl w:val="056DA9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F078A"/>
    <w:rsid w:val="50AF62D0"/>
    <w:rsid w:val="612A25D4"/>
    <w:rsid w:val="62C403F5"/>
    <w:rsid w:val="716A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2021-03-29T07:54:00Z</dcterms:created>
  <dc:creator>dell</dc:creator>
  <cp:lastModifiedBy>祥瑞</cp:lastModifiedBy>
  <dcterms:modified xsi:type="dcterms:W3CDTF">2021-04-04T09:27:48Z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435F48ACFC5948AF84433DEEFC928B2B</vt:lpwstr>
  </property>
</Properties>
</file>