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60" w:beforeLines="100" w:after="360" w:afterLines="100" w:line="220" w:lineRule="atLeast"/>
        <w:rPr>
          <w:rFonts w:hint="default" w:ascii="黑体" w:hAnsi="黑体" w:eastAsia="黑体"/>
          <w:color w:val="FF0000"/>
          <w:sz w:val="36"/>
          <w:szCs w:val="36"/>
          <w:lang w:val="en-US" w:eastAsia="zh-CN"/>
        </w:rPr>
      </w:pPr>
      <w:r>
        <w:rPr>
          <w:rFonts w:hint="eastAsia" w:ascii="黑体" w:hAnsi="黑体" w:eastAsia="黑体"/>
          <w:sz w:val="32"/>
          <w:szCs w:val="32"/>
          <w:lang w:val="en-US" w:eastAsia="zh-CN"/>
        </w:rPr>
        <w:t>IT行业薪资变化分析</w:t>
      </w:r>
    </w:p>
    <w:p>
      <w:pPr>
        <w:spacing w:after="180" w:afterLines="50" w:line="220" w:lineRule="atLeast"/>
        <w:rPr>
          <w:rFonts w:ascii="宋体" w:hAnsi="宋体" w:eastAsia="宋体"/>
          <w:sz w:val="21"/>
          <w:szCs w:val="21"/>
          <w:vertAlign w:val="superscript"/>
        </w:rPr>
      </w:pPr>
      <w:r>
        <w:rPr>
          <w:rFonts w:hint="eastAsia" w:ascii="宋体" w:hAnsi="宋体" w:eastAsia="宋体"/>
          <w:b/>
          <w:sz w:val="21"/>
          <w:szCs w:val="21"/>
          <w:lang w:val="en-US" w:eastAsia="zh-CN"/>
        </w:rPr>
        <w:t>张偲蔚</w:t>
      </w:r>
      <w:r>
        <w:rPr>
          <w:rFonts w:hint="eastAsia" w:ascii="宋体" w:hAnsi="宋体" w:eastAsia="宋体"/>
          <w:sz w:val="21"/>
          <w:szCs w:val="21"/>
          <w:vertAlign w:val="superscript"/>
        </w:rPr>
        <w:t>1</w:t>
      </w:r>
      <w:r>
        <w:rPr>
          <w:rFonts w:hint="eastAsia" w:ascii="宋体" w:hAnsi="宋体" w:eastAsia="宋体"/>
          <w:b/>
          <w:sz w:val="21"/>
          <w:szCs w:val="21"/>
        </w:rPr>
        <w:t xml:space="preserve"> </w:t>
      </w:r>
    </w:p>
    <w:p>
      <w:pPr>
        <w:spacing w:after="0" w:line="220" w:lineRule="atLeast"/>
        <w:rPr>
          <w:rFonts w:ascii="宋体" w:hAnsi="宋体" w:eastAsia="宋体"/>
          <w:sz w:val="18"/>
          <w:szCs w:val="18"/>
          <w:vertAlign w:val="superscript"/>
        </w:rPr>
      </w:pPr>
      <w:r>
        <w:rPr>
          <w:rFonts w:hint="eastAsia" w:ascii="仿宋" w:hAnsi="仿宋" w:eastAsia="仿宋"/>
          <w:sz w:val="18"/>
          <w:szCs w:val="18"/>
        </w:rPr>
        <w:t xml:space="preserve">1 </w:t>
      </w:r>
      <w:r>
        <w:rPr>
          <w:rFonts w:hint="eastAsia" w:ascii="仿宋" w:hAnsi="仿宋" w:eastAsia="仿宋"/>
          <w:sz w:val="18"/>
          <w:szCs w:val="18"/>
          <w:lang w:val="en-US" w:eastAsia="zh-CN"/>
        </w:rPr>
        <w:t>大连理工大学</w:t>
      </w:r>
      <w:r>
        <w:rPr>
          <w:rFonts w:hint="eastAsia" w:ascii="仿宋" w:hAnsi="仿宋" w:eastAsia="仿宋"/>
          <w:sz w:val="18"/>
          <w:szCs w:val="18"/>
        </w:rPr>
        <w:t xml:space="preserve"> </w:t>
      </w:r>
      <w:r>
        <w:rPr>
          <w:rFonts w:hint="eastAsia" w:ascii="仿宋" w:hAnsi="仿宋" w:eastAsia="仿宋"/>
          <w:sz w:val="18"/>
          <w:szCs w:val="18"/>
          <w:lang w:val="en-US" w:eastAsia="zh-CN"/>
        </w:rPr>
        <w:t>辽宁省</w:t>
      </w:r>
      <w:r>
        <w:rPr>
          <w:rFonts w:hint="eastAsia" w:ascii="仿宋" w:hAnsi="仿宋" w:eastAsia="仿宋"/>
          <w:sz w:val="18"/>
          <w:szCs w:val="18"/>
        </w:rPr>
        <w:t xml:space="preserve"> </w:t>
      </w:r>
      <w:r>
        <w:rPr>
          <w:rFonts w:hint="eastAsia" w:ascii="仿宋" w:hAnsi="仿宋" w:eastAsia="仿宋"/>
          <w:sz w:val="18"/>
          <w:szCs w:val="18"/>
          <w:lang w:val="en-US" w:eastAsia="zh-CN"/>
        </w:rPr>
        <w:t>金州区</w:t>
      </w:r>
      <w:r>
        <w:rPr>
          <w:rFonts w:hint="eastAsia" w:ascii="仿宋" w:hAnsi="仿宋" w:eastAsia="仿宋"/>
          <w:sz w:val="18"/>
          <w:szCs w:val="18"/>
        </w:rPr>
        <w:t xml:space="preserve"> </w:t>
      </w:r>
      <w:r>
        <w:rPr>
          <w:rFonts w:hint="eastAsia" w:ascii="仿宋" w:hAnsi="仿宋" w:eastAsia="仿宋"/>
          <w:sz w:val="18"/>
          <w:szCs w:val="18"/>
          <w:lang w:val="en-US" w:eastAsia="zh-CN"/>
        </w:rPr>
        <w:t>116121</w:t>
      </w:r>
    </w:p>
    <w:p>
      <w:pPr>
        <w:spacing w:after="0" w:line="220" w:lineRule="atLeast"/>
        <w:jc w:val="both"/>
        <w:rPr>
          <w:rFonts w:ascii="仿宋" w:hAnsi="仿宋" w:eastAsia="仿宋"/>
          <w:sz w:val="18"/>
          <w:szCs w:val="18"/>
        </w:rPr>
      </w:pPr>
      <w:r>
        <w:rPr>
          <w:rFonts w:hint="eastAsia" w:ascii="仿宋" w:hAnsi="仿宋" w:eastAsia="仿宋"/>
          <w:sz w:val="18"/>
          <w:szCs w:val="18"/>
        </w:rPr>
        <w:t>（第一作者</w:t>
      </w:r>
      <w:r>
        <w:rPr>
          <w:rFonts w:hint="eastAsia" w:ascii="仿宋" w:hAnsi="仿宋" w:eastAsia="仿宋"/>
          <w:sz w:val="18"/>
          <w:szCs w:val="18"/>
          <w:lang w:val="en-US" w:eastAsia="zh-CN"/>
        </w:rPr>
        <w:t>zhangsiwei@163.com</w:t>
      </w:r>
      <w:r>
        <w:rPr>
          <w:rFonts w:hint="eastAsia" w:ascii="仿宋" w:hAnsi="仿宋" w:eastAsia="仿宋"/>
          <w:sz w:val="18"/>
          <w:szCs w:val="18"/>
        </w:rPr>
        <w:t>）</w:t>
      </w:r>
    </w:p>
    <w:p>
      <w:pPr>
        <w:spacing w:after="0" w:line="220" w:lineRule="atLeast"/>
        <w:jc w:val="both"/>
        <w:rPr>
          <w:rFonts w:ascii="仿宋" w:hAnsi="仿宋" w:eastAsia="仿宋"/>
          <w:sz w:val="21"/>
          <w:szCs w:val="21"/>
        </w:rPr>
      </w:pPr>
    </w:p>
    <w:p>
      <w:pPr>
        <w:spacing w:before="180" w:beforeLines="50" w:after="180" w:afterLines="50" w:line="220" w:lineRule="atLeast"/>
        <w:rPr>
          <w:rFonts w:ascii="仿宋" w:hAnsi="仿宋" w:eastAsia="仿宋"/>
          <w:color w:val="FF0000"/>
          <w:sz w:val="18"/>
          <w:szCs w:val="18"/>
        </w:rPr>
      </w:pPr>
      <w:r>
        <w:rPr>
          <w:rFonts w:hint="eastAsia" w:ascii="仿宋" w:hAnsi="仿宋" w:eastAsia="仿宋"/>
          <w:b/>
          <w:sz w:val="18"/>
          <w:szCs w:val="18"/>
        </w:rPr>
        <w:t>摘 要</w:t>
      </w:r>
      <w:r>
        <w:rPr>
          <w:rFonts w:hint="eastAsia" w:ascii="仿宋" w:hAnsi="仿宋" w:eastAsia="仿宋"/>
          <w:color w:val="FF0000"/>
          <w:sz w:val="18"/>
          <w:szCs w:val="18"/>
        </w:rPr>
        <w:t xml:space="preserve"> </w:t>
      </w:r>
      <w:r>
        <w:rPr>
          <w:rFonts w:hint="eastAsia" w:ascii="仿宋" w:hAnsi="仿宋" w:eastAsia="仿宋"/>
          <w:color w:val="000000" w:themeColor="text1"/>
          <w:sz w:val="18"/>
          <w:szCs w:val="18"/>
          <w:lang w:val="en-US" w:eastAsia="zh-CN"/>
          <w14:textFill>
            <w14:solidFill>
              <w14:schemeClr w14:val="tx1"/>
            </w14:solidFill>
          </w14:textFill>
        </w:rPr>
        <w:t>近十年it行业的蓬勃发展下，it行业的薪资也在稳定增长，通过对于全球it行业薪资的变化趋势分析，首先通过往年数据分析了2016-2019年的it行业薪资变动情况，与行业发展增速成比例，接着考虑到两个影响薪资变化的因素（居家办公以及互联网行业需求量上升），预测了今后互联网行业的薪资变化趋势：后疫情时期居家办公成为全球的主流办公方式不会给互联网人的薪资造成过大的影响、生产以及日常沟通交流严重依赖互联网将对行业的扩张形成正面影响从而刺激互联网从业者的薪资增长，为从业者以及行业的招聘者提供了参考。</w:t>
      </w:r>
    </w:p>
    <w:p>
      <w:pPr>
        <w:spacing w:before="180" w:beforeLines="50" w:after="180" w:afterLines="50" w:line="220" w:lineRule="atLeast"/>
        <w:rPr>
          <w:rFonts w:hint="eastAsia"/>
        </w:rPr>
      </w:pPr>
      <w:r>
        <w:rPr>
          <w:rFonts w:hint="eastAsia" w:ascii="宋体" w:hAnsi="宋体" w:eastAsia="宋体"/>
          <w:b/>
          <w:sz w:val="18"/>
          <w:szCs w:val="18"/>
        </w:rPr>
        <w:t xml:space="preserve">关键词：  </w:t>
      </w:r>
      <w:r>
        <w:rPr>
          <w:rFonts w:hint="eastAsia" w:ascii="宋体" w:hAnsi="宋体" w:eastAsia="宋体"/>
          <w:sz w:val="18"/>
          <w:szCs w:val="18"/>
          <w:lang w:val="en-US" w:eastAsia="zh-CN"/>
        </w:rPr>
        <w:t>互联网</w:t>
      </w:r>
      <w:r>
        <w:rPr>
          <w:rFonts w:hint="eastAsia" w:ascii="宋体" w:hAnsi="宋体" w:eastAsia="宋体"/>
          <w:sz w:val="18"/>
          <w:szCs w:val="18"/>
        </w:rPr>
        <w:t>；</w:t>
      </w:r>
      <w:r>
        <w:rPr>
          <w:rFonts w:hint="eastAsia" w:ascii="宋体" w:hAnsi="宋体" w:eastAsia="宋体"/>
          <w:sz w:val="18"/>
          <w:szCs w:val="18"/>
          <w:lang w:val="en-US" w:eastAsia="zh-CN"/>
        </w:rPr>
        <w:t>新冠疫情时代</w:t>
      </w:r>
      <w:r>
        <w:rPr>
          <w:rFonts w:hint="eastAsia" w:ascii="宋体" w:hAnsi="宋体" w:eastAsia="宋体"/>
          <w:sz w:val="18"/>
          <w:szCs w:val="18"/>
        </w:rPr>
        <w:t>；</w:t>
      </w:r>
      <w:r>
        <w:rPr>
          <w:rFonts w:hint="eastAsia" w:ascii="宋体" w:hAnsi="宋体" w:eastAsia="宋体"/>
          <w:sz w:val="18"/>
          <w:szCs w:val="18"/>
          <w:lang w:val="en-US" w:eastAsia="zh-CN"/>
        </w:rPr>
        <w:t>薪资变动；居家办公</w:t>
      </w:r>
    </w:p>
    <w:p>
      <w:pPr>
        <w:pStyle w:val="2"/>
        <w:numPr>
          <w:numId w:val="0"/>
        </w:numPr>
      </w:pPr>
      <w:r>
        <w:rPr>
          <w:rFonts w:hint="eastAsia" w:ascii="黑体" w:hAnsi="黑体" w:eastAsia="黑体"/>
          <w:szCs w:val="21"/>
          <w:lang w:val="en-US" w:eastAsia="zh-CN"/>
        </w:rPr>
        <w:t>1  引言</w:t>
      </w:r>
    </w:p>
    <w:p>
      <w:pPr>
        <w:pStyle w:val="3"/>
        <w:spacing w:after="0" w:line="400" w:lineRule="exact"/>
        <w:ind w:firstLine="360" w:firstLineChars="200"/>
        <w:rPr>
          <w:rFonts w:hint="eastAsia" w:ascii="宋体" w:hAnsi="宋体"/>
          <w:sz w:val="18"/>
          <w:szCs w:val="18"/>
          <w:lang w:val="en-US" w:eastAsia="zh-CN"/>
        </w:rPr>
      </w:pPr>
      <w:r>
        <w:rPr>
          <w:rFonts w:hint="eastAsia" w:ascii="宋体" w:hAnsi="宋体"/>
          <w:sz w:val="18"/>
          <w:szCs w:val="18"/>
          <w:lang w:val="en-US" w:eastAsia="zh-CN"/>
        </w:rPr>
        <w:t>随着全球经济的发展，it行业正在以极快的速度膨胀，本文分析了it行业内各岗位薪资的变化、分析了各种内在因素及外在因素对于薪资的影响，为跨地区和跨行业的读者提供了对于职业机会的宝贵见解；另一方面，it行业的薪资调查和研究报告用数据的方式提供了对新技术行业招聘趋势的分析。在本报告中，我们分析了软件工程师、产品经理、DevOps工程师、设计师和数据科学家的薪酬，以使公司和求职者都能获得他们可以依赖的真实薪酬基准。不过该调查也有一些不可避免的缺陷，比如报告中的数据来源不同，并不完全具有一致性。</w:t>
      </w:r>
    </w:p>
    <w:p>
      <w:pPr>
        <w:pStyle w:val="3"/>
        <w:spacing w:after="0" w:line="400" w:lineRule="exact"/>
        <w:ind w:firstLine="360" w:firstLineChars="200"/>
        <w:rPr>
          <w:rFonts w:hint="eastAsia" w:ascii="宋体" w:hAnsi="宋体"/>
          <w:sz w:val="18"/>
          <w:szCs w:val="18"/>
          <w:lang w:val="en-US" w:eastAsia="zh-CN"/>
        </w:rPr>
      </w:pPr>
    </w:p>
    <w:p>
      <w:pPr>
        <w:pStyle w:val="2"/>
        <w:numPr>
          <w:numId w:val="0"/>
        </w:numPr>
        <w:ind w:leftChars="0"/>
      </w:pPr>
      <w:r>
        <w:rPr>
          <w:rFonts w:hint="eastAsia" w:ascii="黑体" w:hAnsi="黑体" w:eastAsia="黑体"/>
          <w:szCs w:val="21"/>
          <w:lang w:val="en-US" w:eastAsia="zh-CN"/>
        </w:rPr>
        <w:t>2  IT行业薪资整体变化趋势</w:t>
      </w:r>
    </w:p>
    <w:p>
      <w:pPr>
        <w:pStyle w:val="3"/>
        <w:spacing w:after="0" w:line="400" w:lineRule="exact"/>
        <w:rPr>
          <w:rFonts w:hint="eastAsia" w:asciiTheme="minorEastAsia" w:hAnsiTheme="minorEastAsia" w:eastAsiaTheme="minorEastAsia" w:cstheme="minorEastAsia"/>
          <w:sz w:val="18"/>
          <w:szCs w:val="18"/>
          <w:lang w:val="en-US" w:eastAsia="zh-CN"/>
        </w:rPr>
      </w:pPr>
      <w:r>
        <w:rPr>
          <w:rFonts w:hint="eastAsia" w:ascii="黑体" w:hAnsi="黑体" w:eastAsia="黑体"/>
          <w:szCs w:val="21"/>
          <w:lang w:val="en-US" w:eastAsia="zh-CN"/>
        </w:rPr>
        <w:t xml:space="preserve">   </w:t>
      </w:r>
      <w:r>
        <w:rPr>
          <w:rFonts w:hint="eastAsia" w:asciiTheme="minorEastAsia" w:hAnsiTheme="minorEastAsia" w:eastAsiaTheme="minorEastAsia" w:cstheme="minorEastAsia"/>
          <w:sz w:val="18"/>
          <w:szCs w:val="18"/>
          <w:lang w:val="en-US" w:eastAsia="zh-CN"/>
        </w:rPr>
        <w:t>在新冠疫情的背景下，techHQ关闭，全球性的居家工作已经成为了“新常态”，亚马逊和Netflix的使用率飙升，Uber、Lyft和Airbnb等知名科技公司裁员数千人，Facebook根据生活成本在全公司范围内浮动调整工资，以换取远程工作的能力。简单地说，现在判断2020年it行业薪酬趋势线是保持稳定还是会将永远分为新冠疫情“之前”和“之后”还为时过早。但我们可以断言的是，随着企业和科技人才在这一新常态中前行，提高薪资透明度比以往任何时候都更为重要。</w:t>
      </w:r>
    </w:p>
    <w:p>
      <w:pPr>
        <w:pStyle w:val="3"/>
        <w:spacing w:after="0" w:line="400" w:lineRule="exact"/>
        <w:rPr>
          <w:rFonts w:hint="eastAsia" w:ascii="黑体" w:hAnsi="黑体" w:eastAsia="黑体"/>
          <w:sz w:val="18"/>
          <w:szCs w:val="18"/>
          <w:lang w:val="en-US" w:eastAsia="zh-CN"/>
        </w:rPr>
      </w:pPr>
      <w:r>
        <w:rPr>
          <w:rFonts w:hint="eastAsia" w:ascii="黑体" w:hAnsi="黑体" w:eastAsia="黑体"/>
          <w:sz w:val="18"/>
          <w:szCs w:val="18"/>
          <w:lang w:val="en-US" w:eastAsia="zh-CN"/>
        </w:rPr>
        <w:t>2.1   新冠疫情前各岗位薪资变化</w:t>
      </w:r>
    </w:p>
    <w:p>
      <w:pPr>
        <w:pStyle w:val="9"/>
        <w:spacing w:line="400" w:lineRule="exact"/>
        <w:ind w:left="0" w:firstLine="360" w:firstLineChars="200"/>
        <w:rPr>
          <w:rFonts w:hint="default" w:ascii="黑体" w:hAnsi="黑体" w:eastAsia="黑体" w:cs="黑体"/>
          <w:b w:val="0"/>
          <w:bCs w:val="0"/>
          <w:sz w:val="21"/>
          <w:szCs w:val="21"/>
          <w:lang w:val="en-US" w:eastAsia="zh-CN"/>
        </w:rPr>
      </w:pPr>
      <w:r>
        <w:rPr>
          <w:rFonts w:hint="eastAsia" w:ascii="宋体" w:hAnsi="宋体"/>
          <w:sz w:val="18"/>
          <w:szCs w:val="18"/>
          <w:lang w:val="en-US" w:eastAsia="zh-CN"/>
        </w:rPr>
        <w:t>新冠疫情前，it行业薪资始终保持较平稳增长, 如图2， 2017年it行业的各起始薪资比2016年增长约3.8%，而对于一些岗位，如数据分析师、数据库开发人员等的起始工资增长甚至可高达5%左右，而其中，大数据、网络安全、数据库工程师位列行业薪资顶端。</w:t>
      </w:r>
      <w:r>
        <w:rPr>
          <w:rFonts w:hint="eastAsia" w:ascii="宋体" w:hAnsi="宋体" w:eastAsia="宋体" w:cs="宋体"/>
          <w:b w:val="0"/>
          <w:bCs w:val="0"/>
          <w:sz w:val="18"/>
          <w:szCs w:val="18"/>
          <w:lang w:val="en-US" w:eastAsia="zh-CN"/>
        </w:rPr>
        <w:t>从201</w:t>
      </w:r>
      <w:r>
        <w:rPr>
          <w:rFonts w:hint="eastAsia" w:ascii="宋体" w:hAnsi="宋体" w:cs="宋体"/>
          <w:b w:val="0"/>
          <w:bCs w:val="0"/>
          <w:sz w:val="18"/>
          <w:szCs w:val="18"/>
          <w:lang w:val="en-US" w:eastAsia="zh-CN"/>
        </w:rPr>
        <w:t>6</w:t>
      </w:r>
      <w:r>
        <w:rPr>
          <w:rFonts w:hint="eastAsia" w:ascii="宋体" w:hAnsi="宋体" w:eastAsia="宋体" w:cs="宋体"/>
          <w:b w:val="0"/>
          <w:bCs w:val="0"/>
          <w:sz w:val="18"/>
          <w:szCs w:val="18"/>
          <w:lang w:val="en-US" w:eastAsia="zh-CN"/>
        </w:rPr>
        <w:t>年到</w:t>
      </w:r>
      <w:r>
        <w:rPr>
          <w:rFonts w:hint="eastAsia" w:ascii="宋体" w:hAnsi="宋体" w:cs="宋体"/>
          <w:b w:val="0"/>
          <w:bCs w:val="0"/>
          <w:sz w:val="18"/>
          <w:szCs w:val="18"/>
          <w:lang w:val="en-US" w:eastAsia="zh-CN"/>
        </w:rPr>
        <w:t>2019年，it行业的平均薪资增长基本保持在4%左右，由此可以看出，新冠疫情前的it行业发展较为平稳和快速。[1]</w:t>
      </w:r>
    </w:p>
    <w:p>
      <w:pPr>
        <w:pStyle w:val="9"/>
        <w:spacing w:line="240" w:lineRule="auto"/>
        <w:ind w:left="0" w:firstLine="0" w:firstLineChars="0"/>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drawing>
          <wp:inline distT="0" distB="0" distL="114300" distR="114300">
            <wp:extent cx="4093210" cy="1941830"/>
            <wp:effectExtent l="0" t="0" r="6350" b="889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5"/>
                    <a:srcRect t="42771" b="35309"/>
                    <a:stretch>
                      <a:fillRect/>
                    </a:stretch>
                  </pic:blipFill>
                  <pic:spPr>
                    <a:xfrm>
                      <a:off x="0" y="0"/>
                      <a:ext cx="4093210" cy="1941830"/>
                    </a:xfrm>
                    <a:prstGeom prst="rect">
                      <a:avLst/>
                    </a:prstGeom>
                  </pic:spPr>
                </pic:pic>
              </a:graphicData>
            </a:graphic>
          </wp:inline>
        </w:drawing>
      </w:r>
    </w:p>
    <w:p>
      <w:pPr>
        <w:pStyle w:val="9"/>
        <w:spacing w:line="240" w:lineRule="auto"/>
        <w:ind w:left="0" w:firstLine="180" w:firstLineChars="100"/>
        <w:rPr>
          <w:rFonts w:hint="default" w:ascii="Cambria" w:hAnsi="Cambria" w:cs="Cambria"/>
          <w:b w:val="0"/>
          <w:bCs w:val="0"/>
          <w:sz w:val="18"/>
          <w:szCs w:val="18"/>
          <w:lang w:val="en-US" w:eastAsia="zh-CN"/>
        </w:rPr>
      </w:pPr>
      <w:r>
        <w:rPr>
          <w:rFonts w:hint="default" w:ascii="Cambria" w:hAnsi="Cambria" w:cs="Cambria"/>
          <w:b w:val="0"/>
          <w:bCs w:val="0"/>
          <w:sz w:val="18"/>
          <w:szCs w:val="18"/>
          <w:lang w:val="en-US" w:eastAsia="zh-CN"/>
        </w:rPr>
        <w:t>Table 1: Change in salary in it industry from 2016 to 2019</w:t>
      </w:r>
    </w:p>
    <w:p>
      <w:pPr>
        <w:pStyle w:val="9"/>
        <w:spacing w:line="240" w:lineRule="auto"/>
        <w:ind w:left="0" w:firstLine="0" w:firstLineChars="0"/>
        <w:rPr>
          <w:rFonts w:hint="eastAsia" w:ascii="宋体" w:hAnsi="宋体" w:cs="宋体"/>
          <w:b w:val="0"/>
          <w:bCs w:val="0"/>
          <w:sz w:val="18"/>
          <w:szCs w:val="18"/>
          <w:lang w:val="en-US" w:eastAsia="zh-CN"/>
        </w:rPr>
      </w:pPr>
    </w:p>
    <w:p>
      <w:pPr>
        <w:pStyle w:val="9"/>
        <w:spacing w:line="240" w:lineRule="auto"/>
        <w:ind w:left="0" w:firstLine="180" w:firstLineChars="100"/>
        <w:rPr>
          <w:rFonts w:hint="default" w:ascii="Cambria" w:hAnsi="Cambria" w:cs="Cambria"/>
          <w:b w:val="0"/>
          <w:bCs w:val="0"/>
          <w:sz w:val="18"/>
          <w:szCs w:val="18"/>
          <w:lang w:val="en-US" w:eastAsia="zh-CN"/>
        </w:rPr>
      </w:pPr>
      <w:r>
        <w:rPr>
          <w:rFonts w:hint="default" w:ascii="Cambria" w:hAnsi="Cambria" w:cs="Cambria"/>
          <w:b w:val="0"/>
          <w:bCs w:val="0"/>
          <w:sz w:val="18"/>
          <w:szCs w:val="18"/>
          <w:lang w:val="en-US" w:eastAsia="zh-CN"/>
        </w:rPr>
        <w:t xml:space="preserve">Table </w:t>
      </w:r>
      <w:r>
        <w:rPr>
          <w:rFonts w:hint="eastAsia" w:ascii="Cambria" w:hAnsi="Cambria" w:cs="Cambria"/>
          <w:b w:val="0"/>
          <w:bCs w:val="0"/>
          <w:sz w:val="18"/>
          <w:szCs w:val="18"/>
          <w:lang w:val="en-US" w:eastAsia="zh-CN"/>
        </w:rPr>
        <w:t>2</w:t>
      </w:r>
      <w:r>
        <w:rPr>
          <w:rFonts w:hint="default" w:ascii="Cambria" w:hAnsi="Cambria" w:cs="Cambria"/>
          <w:b w:val="0"/>
          <w:bCs w:val="0"/>
          <w:sz w:val="18"/>
          <w:szCs w:val="18"/>
          <w:lang w:val="en-US" w:eastAsia="zh-CN"/>
        </w:rPr>
        <w:t>: Starting salary in IT</w:t>
      </w:r>
      <w:r>
        <w:rPr>
          <w:rFonts w:hint="eastAsia" w:ascii="Cambria" w:hAnsi="Cambria" w:cs="Cambria"/>
          <w:b w:val="0"/>
          <w:bCs w:val="0"/>
          <w:sz w:val="18"/>
          <w:szCs w:val="18"/>
          <w:lang w:val="en-US" w:eastAsia="zh-CN"/>
        </w:rPr>
        <w:t xml:space="preserve"> (</w:t>
      </w:r>
      <w:r>
        <w:rPr>
          <w:rFonts w:hint="default" w:ascii="Cambria" w:hAnsi="Cambria" w:cs="Cambria"/>
          <w:b w:val="0"/>
          <w:bCs w:val="0"/>
          <w:sz w:val="18"/>
          <w:szCs w:val="18"/>
          <w:lang w:val="en-US" w:eastAsia="zh-CN"/>
        </w:rPr>
        <w:t>2017</w:t>
      </w:r>
      <w:r>
        <w:rPr>
          <w:rFonts w:hint="eastAsia" w:ascii="Cambria" w:hAnsi="Cambria" w:cs="Cambria"/>
          <w:b w:val="0"/>
          <w:bCs w:val="0"/>
          <w:sz w:val="18"/>
          <w:szCs w:val="18"/>
          <w:lang w:val="en-US" w:eastAsia="zh-CN"/>
        </w:rPr>
        <w:t>)</w:t>
      </w:r>
    </w:p>
    <w:p>
      <w:pPr>
        <w:pStyle w:val="9"/>
        <w:spacing w:line="240" w:lineRule="auto"/>
        <w:ind w:left="0" w:firstLine="0" w:firstLineChars="0"/>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drawing>
          <wp:inline distT="0" distB="0" distL="114300" distR="114300">
            <wp:extent cx="1951355" cy="4523105"/>
            <wp:effectExtent l="0" t="0" r="14605" b="317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6"/>
                    <a:srcRect l="11418" t="13807" r="11697" b="3871"/>
                    <a:stretch>
                      <a:fillRect/>
                    </a:stretch>
                  </pic:blipFill>
                  <pic:spPr>
                    <a:xfrm>
                      <a:off x="0" y="0"/>
                      <a:ext cx="1951355" cy="4523105"/>
                    </a:xfrm>
                    <a:prstGeom prst="rect">
                      <a:avLst/>
                    </a:prstGeom>
                  </pic:spPr>
                </pic:pic>
              </a:graphicData>
            </a:graphic>
          </wp:inline>
        </w:drawing>
      </w:r>
    </w:p>
    <w:p>
      <w:pPr>
        <w:pStyle w:val="9"/>
        <w:spacing w:line="240" w:lineRule="auto"/>
        <w:ind w:left="0" w:leftChars="0" w:firstLine="0" w:firstLineChars="0"/>
        <w:rPr>
          <w:rFonts w:hint="default" w:ascii="Cambria" w:hAnsi="Cambria" w:cs="Cambria"/>
          <w:b w:val="0"/>
          <w:bCs w:val="0"/>
          <w:sz w:val="18"/>
          <w:szCs w:val="18"/>
          <w:lang w:val="en-US" w:eastAsia="zh-CN"/>
        </w:rPr>
      </w:pPr>
      <w:r>
        <w:rPr>
          <w:rFonts w:hint="default" w:ascii="Cambria" w:hAnsi="Cambria" w:eastAsia="微软雅黑" w:cs="Cambria"/>
          <w:b/>
          <w:bCs/>
          <w:sz w:val="13"/>
          <w:szCs w:val="13"/>
          <w:lang w:val="en-US" w:eastAsia="zh-CN"/>
        </w:rPr>
        <w:t>Source: Robert Half Technology 2017 Salary Guide</w:t>
      </w:r>
    </w:p>
    <w:p>
      <w:pPr>
        <w:pStyle w:val="9"/>
        <w:spacing w:line="400" w:lineRule="exact"/>
        <w:ind w:left="0" w:firstLine="0" w:firstLineChars="0"/>
        <w:rPr>
          <w:rFonts w:hint="eastAsia" w:ascii="黑体" w:hAnsi="黑体" w:eastAsia="黑体" w:cs="黑体"/>
          <w:b w:val="0"/>
          <w:bCs w:val="0"/>
          <w:sz w:val="18"/>
          <w:szCs w:val="18"/>
          <w:lang w:val="en-US" w:eastAsia="zh-CN"/>
        </w:rPr>
      </w:pPr>
      <w:r>
        <w:rPr>
          <w:rFonts w:hint="eastAsia" w:ascii="黑体" w:hAnsi="黑体" w:eastAsia="黑体" w:cs="黑体"/>
          <w:b w:val="0"/>
          <w:bCs w:val="0"/>
          <w:sz w:val="18"/>
          <w:szCs w:val="18"/>
          <w:lang w:val="en-US" w:eastAsia="zh-CN"/>
        </w:rPr>
        <w:t>2.2    新冠疫情后it行业薪资变动预测</w:t>
      </w:r>
    </w:p>
    <w:p>
      <w:pPr>
        <w:pStyle w:val="9"/>
        <w:spacing w:line="400" w:lineRule="exact"/>
        <w:ind w:left="0" w:firstLine="0" w:firstLineChars="0"/>
        <w:rPr>
          <w:rFonts w:hint="default" w:ascii="黑体" w:hAnsi="黑体" w:eastAsia="黑体" w:cs="黑体"/>
          <w:b w:val="0"/>
          <w:bCs w:val="0"/>
          <w:sz w:val="18"/>
          <w:szCs w:val="18"/>
          <w:lang w:val="en-US" w:eastAsia="zh-CN"/>
        </w:rPr>
      </w:pPr>
      <w:r>
        <w:rPr>
          <w:rFonts w:hint="eastAsia" w:ascii="黑体" w:hAnsi="黑体" w:eastAsia="黑体" w:cs="黑体"/>
          <w:b w:val="0"/>
          <w:bCs w:val="0"/>
          <w:sz w:val="18"/>
          <w:szCs w:val="18"/>
          <w:lang w:val="en-US" w:eastAsia="zh-CN"/>
        </w:rPr>
        <w:t xml:space="preserve">2.2.1  </w:t>
      </w:r>
      <w:r>
        <w:rPr>
          <w:rFonts w:hint="eastAsia" w:ascii="楷体" w:hAnsi="楷体" w:eastAsia="楷体" w:cs="楷体"/>
          <w:b w:val="0"/>
          <w:bCs w:val="0"/>
          <w:sz w:val="18"/>
          <w:szCs w:val="18"/>
          <w:lang w:val="en-US" w:eastAsia="zh-CN"/>
        </w:rPr>
        <w:t>居家办公对于薪资的影响</w:t>
      </w:r>
    </w:p>
    <w:p>
      <w:pPr>
        <w:pStyle w:val="9"/>
        <w:spacing w:line="240" w:lineRule="auto"/>
        <w:ind w:left="0" w:firstLine="360" w:firstLineChars="200"/>
        <w:rPr>
          <w:rFonts w:hint="default" w:ascii="宋体" w:hAnsi="宋体" w:eastAsia="宋体" w:cs="宋体"/>
          <w:b w:val="0"/>
          <w:bCs w:val="0"/>
          <w:sz w:val="18"/>
          <w:szCs w:val="18"/>
          <w:lang w:val="en-US" w:eastAsia="zh-CN"/>
        </w:rPr>
      </w:pPr>
      <w:r>
        <w:rPr>
          <w:rFonts w:hint="eastAsia" w:ascii="宋体" w:hAnsi="宋体" w:cs="宋体"/>
          <w:b w:val="0"/>
          <w:bCs w:val="0"/>
          <w:sz w:val="18"/>
          <w:szCs w:val="18"/>
          <w:lang w:val="en-US" w:eastAsia="zh-CN"/>
        </w:rPr>
        <w:t>从调查结果（表3）来看</w:t>
      </w:r>
      <w:r>
        <w:rPr>
          <w:rFonts w:hint="eastAsia" w:ascii="宋体" w:hAnsi="宋体" w:eastAsia="宋体" w:cs="宋体"/>
          <w:b w:val="0"/>
          <w:bCs w:val="0"/>
          <w:sz w:val="18"/>
          <w:szCs w:val="18"/>
          <w:lang w:val="en-US" w:eastAsia="zh-CN"/>
        </w:rPr>
        <w:t>，科技人才几乎一致认为，无论</w:t>
      </w:r>
      <w:r>
        <w:rPr>
          <w:rFonts w:hint="eastAsia" w:ascii="宋体" w:hAnsi="宋体" w:cs="宋体"/>
          <w:b w:val="0"/>
          <w:bCs w:val="0"/>
          <w:sz w:val="18"/>
          <w:szCs w:val="18"/>
          <w:lang w:val="en-US" w:eastAsia="zh-CN"/>
        </w:rPr>
        <w:t>是否在家工作</w:t>
      </w:r>
      <w:r>
        <w:rPr>
          <w:rFonts w:hint="eastAsia" w:ascii="宋体" w:hAnsi="宋体" w:eastAsia="宋体" w:cs="宋体"/>
          <w:b w:val="0"/>
          <w:bCs w:val="0"/>
          <w:sz w:val="18"/>
          <w:szCs w:val="18"/>
          <w:lang w:val="en-US" w:eastAsia="zh-CN"/>
        </w:rPr>
        <w:t>，同一份工作都应该得到同等报酬。但在目前的环境下，</w:t>
      </w:r>
      <w:r>
        <w:rPr>
          <w:rFonts w:hint="eastAsia" w:ascii="宋体" w:hAnsi="宋体" w:cs="宋体"/>
          <w:b w:val="0"/>
          <w:bCs w:val="0"/>
          <w:sz w:val="18"/>
          <w:szCs w:val="18"/>
          <w:lang w:val="en-US" w:eastAsia="zh-CN"/>
        </w:rPr>
        <w:t>一些科技公司（如facebook)</w:t>
      </w:r>
      <w:r>
        <w:rPr>
          <w:rFonts w:hint="eastAsia" w:ascii="宋体" w:hAnsi="宋体" w:eastAsia="宋体" w:cs="宋体"/>
          <w:b w:val="0"/>
          <w:bCs w:val="0"/>
          <w:sz w:val="18"/>
          <w:szCs w:val="18"/>
          <w:lang w:val="en-US" w:eastAsia="zh-CN"/>
        </w:rPr>
        <w:t>正</w:t>
      </w:r>
      <w:r>
        <w:rPr>
          <w:rFonts w:hint="eastAsia" w:ascii="宋体" w:hAnsi="宋体" w:cs="宋体"/>
          <w:b w:val="0"/>
          <w:bCs w:val="0"/>
          <w:sz w:val="18"/>
          <w:szCs w:val="18"/>
          <w:lang w:val="en-US" w:eastAsia="zh-CN"/>
        </w:rPr>
        <w:t>在尝试建立另一种理念</w:t>
      </w:r>
      <w:r>
        <w:rPr>
          <w:rFonts w:hint="eastAsia" w:ascii="宋体" w:hAnsi="宋体" w:eastAsia="宋体" w:cs="宋体"/>
          <w:b w:val="0"/>
          <w:bCs w:val="0"/>
          <w:sz w:val="18"/>
          <w:szCs w:val="18"/>
          <w:lang w:val="en-US" w:eastAsia="zh-CN"/>
        </w:rPr>
        <w:t>，</w:t>
      </w:r>
      <w:r>
        <w:rPr>
          <w:rFonts w:hint="eastAsia" w:ascii="宋体" w:hAnsi="宋体" w:cs="宋体"/>
          <w:b w:val="0"/>
          <w:bCs w:val="0"/>
          <w:sz w:val="18"/>
          <w:szCs w:val="18"/>
          <w:lang w:val="en-US" w:eastAsia="zh-CN"/>
        </w:rPr>
        <w:t>即“</w:t>
      </w:r>
      <w:r>
        <w:rPr>
          <w:rFonts w:hint="eastAsia" w:ascii="宋体" w:hAnsi="宋体" w:eastAsia="宋体" w:cs="宋体"/>
          <w:b w:val="0"/>
          <w:bCs w:val="0"/>
          <w:sz w:val="18"/>
          <w:szCs w:val="18"/>
          <w:lang w:val="en-US" w:eastAsia="zh-CN"/>
        </w:rPr>
        <w:t>远程薪酬</w:t>
      </w:r>
      <w:r>
        <w:rPr>
          <w:rFonts w:hint="eastAsia" w:ascii="宋体" w:hAnsi="宋体" w:cs="宋体"/>
          <w:b w:val="0"/>
          <w:bCs w:val="0"/>
          <w:sz w:val="18"/>
          <w:szCs w:val="18"/>
          <w:lang w:val="en-US" w:eastAsia="zh-CN"/>
        </w:rPr>
        <w:t>”</w:t>
      </w:r>
      <w:r>
        <w:rPr>
          <w:rFonts w:hint="eastAsia" w:ascii="宋体" w:hAnsi="宋体" w:eastAsia="宋体" w:cs="宋体"/>
          <w:b w:val="0"/>
          <w:bCs w:val="0"/>
          <w:sz w:val="18"/>
          <w:szCs w:val="18"/>
          <w:lang w:val="en-US" w:eastAsia="zh-CN"/>
        </w:rPr>
        <w:t>理念，计划全面调整薪资的“生活成本”。</w:t>
      </w:r>
      <w:r>
        <w:rPr>
          <w:rFonts w:hint="eastAsia" w:ascii="宋体" w:hAnsi="宋体" w:cs="宋体"/>
          <w:b w:val="0"/>
          <w:bCs w:val="0"/>
          <w:sz w:val="18"/>
          <w:szCs w:val="18"/>
          <w:lang w:val="en-US" w:eastAsia="zh-CN"/>
        </w:rPr>
        <w:t>从表4来看</w:t>
      </w:r>
      <w:r>
        <w:rPr>
          <w:rFonts w:hint="eastAsia" w:ascii="宋体" w:hAnsi="宋体" w:eastAsia="宋体" w:cs="宋体"/>
          <w:b w:val="0"/>
          <w:bCs w:val="0"/>
          <w:sz w:val="18"/>
          <w:szCs w:val="18"/>
          <w:lang w:val="en-US" w:eastAsia="zh-CN"/>
        </w:rPr>
        <w:t>，对调整后工资的支持（或缺乏支持）分布相当均匀：支持的占40%，反对的占40%。所以，科技工作者</w:t>
      </w:r>
      <w:r>
        <w:rPr>
          <w:rFonts w:hint="eastAsia" w:ascii="宋体" w:hAnsi="宋体" w:cs="宋体"/>
          <w:b w:val="0"/>
          <w:bCs w:val="0"/>
          <w:sz w:val="18"/>
          <w:szCs w:val="18"/>
          <w:lang w:val="en-US" w:eastAsia="zh-CN"/>
        </w:rPr>
        <w:t>大多</w:t>
      </w:r>
      <w:r>
        <w:rPr>
          <w:rFonts w:hint="eastAsia" w:ascii="宋体" w:hAnsi="宋体" w:eastAsia="宋体" w:cs="宋体"/>
          <w:b w:val="0"/>
          <w:bCs w:val="0"/>
          <w:sz w:val="18"/>
          <w:szCs w:val="18"/>
          <w:lang w:val="en-US" w:eastAsia="zh-CN"/>
        </w:rPr>
        <w:t>同意</w:t>
      </w:r>
      <w:r>
        <w:rPr>
          <w:rFonts w:hint="eastAsia" w:ascii="宋体" w:hAnsi="宋体" w:cs="宋体"/>
          <w:b w:val="0"/>
          <w:bCs w:val="0"/>
          <w:sz w:val="18"/>
          <w:szCs w:val="18"/>
          <w:lang w:val="en-US" w:eastAsia="zh-CN"/>
        </w:rPr>
        <w:t>同工同酬（无论他们是否在家工作）这一概念</w:t>
      </w:r>
      <w:r>
        <w:rPr>
          <w:rFonts w:hint="eastAsia" w:ascii="宋体" w:hAnsi="宋体" w:eastAsia="宋体" w:cs="宋体"/>
          <w:b w:val="0"/>
          <w:bCs w:val="0"/>
          <w:sz w:val="18"/>
          <w:szCs w:val="18"/>
          <w:lang w:val="en-US" w:eastAsia="zh-CN"/>
        </w:rPr>
        <w:t>，但是</w:t>
      </w:r>
      <w:r>
        <w:rPr>
          <w:rFonts w:hint="eastAsia" w:ascii="宋体" w:hAnsi="宋体" w:cs="宋体"/>
          <w:b w:val="0"/>
          <w:bCs w:val="0"/>
          <w:sz w:val="18"/>
          <w:szCs w:val="18"/>
          <w:lang w:val="en-US" w:eastAsia="zh-CN"/>
        </w:rPr>
        <w:t>却</w:t>
      </w:r>
      <w:r>
        <w:rPr>
          <w:rFonts w:hint="eastAsia" w:ascii="宋体" w:hAnsi="宋体" w:eastAsia="宋体" w:cs="宋体"/>
          <w:b w:val="0"/>
          <w:bCs w:val="0"/>
          <w:sz w:val="18"/>
          <w:szCs w:val="18"/>
          <w:lang w:val="en-US" w:eastAsia="zh-CN"/>
        </w:rPr>
        <w:t>在生活成本</w:t>
      </w:r>
      <w:r>
        <w:rPr>
          <w:rFonts w:hint="eastAsia" w:ascii="宋体" w:hAnsi="宋体" w:cs="宋体"/>
          <w:b w:val="0"/>
          <w:bCs w:val="0"/>
          <w:sz w:val="18"/>
          <w:szCs w:val="18"/>
          <w:lang w:val="en-US" w:eastAsia="zh-CN"/>
        </w:rPr>
        <w:t>的</w:t>
      </w:r>
      <w:r>
        <w:rPr>
          <w:rFonts w:hint="eastAsia" w:ascii="宋体" w:hAnsi="宋体" w:eastAsia="宋体" w:cs="宋体"/>
          <w:b w:val="0"/>
          <w:bCs w:val="0"/>
          <w:sz w:val="18"/>
          <w:szCs w:val="18"/>
          <w:lang w:val="en-US" w:eastAsia="zh-CN"/>
        </w:rPr>
        <w:t>调整</w:t>
      </w:r>
      <w:r>
        <w:rPr>
          <w:rFonts w:hint="eastAsia" w:ascii="宋体" w:hAnsi="宋体" w:cs="宋体"/>
          <w:b w:val="0"/>
          <w:bCs w:val="0"/>
          <w:sz w:val="18"/>
          <w:szCs w:val="18"/>
          <w:lang w:val="en-US" w:eastAsia="zh-CN"/>
        </w:rPr>
        <w:t>上存在一些分歧。那么在企业允许从业者居家工作的情况下，有多少人愿意接受较低的工资？如表5所示，我们的调查结果显示虽然有32%的受访者表示他们愿意接受较低的薪水来远程工作，但意愿相对较低。同样，如果他们一家完全允许异地办公的企业中开始一份新工作，那么三分之二（67%）的技术专业人员的薪资预期不会改变，而三分之一（33%）的人表示会改变。[2]</w:t>
      </w:r>
    </w:p>
    <w:p>
      <w:pPr>
        <w:pStyle w:val="9"/>
        <w:spacing w:line="240" w:lineRule="auto"/>
        <w:ind w:left="0" w:firstLine="0" w:firstLine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drawing>
          <wp:inline distT="0" distB="0" distL="114300" distR="114300">
            <wp:extent cx="4093210" cy="1899285"/>
            <wp:effectExtent l="0" t="0" r="6350" b="5715"/>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7"/>
                    <a:srcRect t="27188" b="51373"/>
                    <a:stretch>
                      <a:fillRect/>
                    </a:stretch>
                  </pic:blipFill>
                  <pic:spPr>
                    <a:xfrm>
                      <a:off x="0" y="0"/>
                      <a:ext cx="4093210" cy="1899285"/>
                    </a:xfrm>
                    <a:prstGeom prst="rect">
                      <a:avLst/>
                    </a:prstGeom>
                  </pic:spPr>
                </pic:pic>
              </a:graphicData>
            </a:graphic>
          </wp:inline>
        </w:drawing>
      </w:r>
    </w:p>
    <w:p>
      <w:pPr>
        <w:pStyle w:val="9"/>
        <w:spacing w:line="400" w:lineRule="exact"/>
        <w:ind w:left="0" w:firstLine="0" w:firstLineChars="0"/>
        <w:rPr>
          <w:rFonts w:hint="default" w:ascii="Cambria" w:hAnsi="Cambria" w:eastAsia="黑体" w:cs="Cambria"/>
          <w:b/>
          <w:bCs/>
          <w:sz w:val="15"/>
          <w:szCs w:val="15"/>
          <w:lang w:val="en-US" w:eastAsia="zh-CN"/>
        </w:rPr>
      </w:pPr>
      <w:r>
        <w:rPr>
          <w:rFonts w:hint="default" w:ascii="Cambria" w:hAnsi="Cambria" w:eastAsia="黑体" w:cs="Cambria"/>
          <w:b/>
          <w:bCs/>
          <w:sz w:val="15"/>
          <w:szCs w:val="15"/>
          <w:lang w:val="en-US" w:eastAsia="zh-CN"/>
        </w:rPr>
        <w:t>Table 3: tech talent believe remote employees should be paid the same as their in-office counterparts</w:t>
      </w:r>
    </w:p>
    <w:p>
      <w:pPr>
        <w:pStyle w:val="9"/>
        <w:spacing w:line="240" w:lineRule="auto"/>
        <w:ind w:left="0" w:firstLine="0" w:firstLineChars="0"/>
        <w:rPr>
          <w:rFonts w:hint="default" w:ascii="宋体" w:hAnsi="宋体" w:cs="宋体"/>
          <w:b w:val="0"/>
          <w:bCs w:val="0"/>
          <w:sz w:val="18"/>
          <w:szCs w:val="18"/>
          <w:lang w:val="en-US" w:eastAsia="zh-CN"/>
        </w:rPr>
      </w:pPr>
    </w:p>
    <w:p>
      <w:pPr>
        <w:pStyle w:val="9"/>
        <w:spacing w:line="240" w:lineRule="auto"/>
        <w:ind w:left="0" w:firstLine="0" w:firstLineChars="0"/>
        <w:rPr>
          <w:rFonts w:hint="default" w:ascii="宋体" w:hAnsi="宋体" w:cs="宋体"/>
          <w:b w:val="0"/>
          <w:bCs w:val="0"/>
          <w:sz w:val="18"/>
          <w:szCs w:val="18"/>
          <w:lang w:val="en-US" w:eastAsia="zh-CN"/>
        </w:rPr>
      </w:pPr>
      <w:r>
        <w:rPr>
          <w:rFonts w:hint="default" w:ascii="宋体" w:hAnsi="宋体" w:cs="宋体"/>
          <w:b w:val="0"/>
          <w:bCs w:val="0"/>
          <w:sz w:val="18"/>
          <w:szCs w:val="18"/>
          <w:lang w:val="en-US" w:eastAsia="zh-CN"/>
        </w:rPr>
        <w:drawing>
          <wp:inline distT="0" distB="0" distL="114300" distR="114300">
            <wp:extent cx="3877310" cy="1885950"/>
            <wp:effectExtent l="0" t="0" r="8890" b="381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7"/>
                    <a:srcRect l="5275" t="54053" b="24658"/>
                    <a:stretch>
                      <a:fillRect/>
                    </a:stretch>
                  </pic:blipFill>
                  <pic:spPr>
                    <a:xfrm>
                      <a:off x="0" y="0"/>
                      <a:ext cx="3877310" cy="1885950"/>
                    </a:xfrm>
                    <a:prstGeom prst="rect">
                      <a:avLst/>
                    </a:prstGeom>
                  </pic:spPr>
                </pic:pic>
              </a:graphicData>
            </a:graphic>
          </wp:inline>
        </w:drawing>
      </w:r>
    </w:p>
    <w:p>
      <w:pPr>
        <w:pStyle w:val="9"/>
        <w:spacing w:line="240" w:lineRule="auto"/>
        <w:ind w:left="0" w:firstLine="0" w:firstLineChars="0"/>
        <w:rPr>
          <w:rFonts w:hint="default" w:ascii="Cambria" w:hAnsi="Cambria" w:cs="Cambria"/>
          <w:b/>
          <w:bCs/>
          <w:sz w:val="15"/>
          <w:szCs w:val="15"/>
          <w:lang w:val="en-US" w:eastAsia="zh-CN"/>
        </w:rPr>
      </w:pPr>
      <w:r>
        <w:rPr>
          <w:rFonts w:hint="default" w:ascii="Cambria" w:hAnsi="Cambria" w:cs="Cambria"/>
          <w:b/>
          <w:bCs/>
          <w:sz w:val="15"/>
          <w:szCs w:val="15"/>
          <w:lang w:val="en-US" w:eastAsia="zh-CN"/>
        </w:rPr>
        <w:t>Table 4: tech professionals are spilt on support for localized salaries</w:t>
      </w:r>
    </w:p>
    <w:p>
      <w:pPr>
        <w:pStyle w:val="9"/>
        <w:spacing w:line="240" w:lineRule="auto"/>
        <w:ind w:left="0" w:firstLine="0" w:firstLineChars="0"/>
        <w:rPr>
          <w:rFonts w:hint="default" w:ascii="Cambria" w:hAnsi="Cambria" w:cs="Cambria"/>
          <w:b/>
          <w:bCs/>
          <w:sz w:val="15"/>
          <w:szCs w:val="15"/>
          <w:lang w:val="en-US" w:eastAsia="zh-CN"/>
        </w:rPr>
      </w:pPr>
    </w:p>
    <w:p>
      <w:pPr>
        <w:rPr>
          <w:rFonts w:hint="eastAsia" w:eastAsia="微软雅黑"/>
          <w:lang w:eastAsia="zh-CN"/>
        </w:rPr>
      </w:pPr>
      <w:r>
        <w:rPr>
          <w:rFonts w:hint="eastAsia" w:eastAsia="微软雅黑"/>
          <w:lang w:eastAsia="zh-CN"/>
        </w:rPr>
        <w:drawing>
          <wp:inline distT="0" distB="0" distL="114300" distR="114300">
            <wp:extent cx="3360420" cy="3121660"/>
            <wp:effectExtent l="0" t="0" r="7620" b="254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8"/>
                    <a:srcRect t="26665" b="30414"/>
                    <a:stretch>
                      <a:fillRect/>
                    </a:stretch>
                  </pic:blipFill>
                  <pic:spPr>
                    <a:xfrm>
                      <a:off x="0" y="0"/>
                      <a:ext cx="3360420" cy="3121660"/>
                    </a:xfrm>
                    <a:prstGeom prst="rect">
                      <a:avLst/>
                    </a:prstGeom>
                  </pic:spPr>
                </pic:pic>
              </a:graphicData>
            </a:graphic>
          </wp:inline>
        </w:drawing>
      </w:r>
    </w:p>
    <w:p>
      <w:pPr>
        <w:rPr>
          <w:rFonts w:hint="default" w:ascii="Cambria" w:hAnsi="Cambria" w:cs="Cambria"/>
          <w:b/>
          <w:bCs/>
          <w:sz w:val="15"/>
          <w:szCs w:val="15"/>
          <w:lang w:val="en-US" w:eastAsia="zh-CN"/>
        </w:rPr>
      </w:pPr>
      <w:r>
        <w:rPr>
          <w:rFonts w:hint="eastAsia"/>
          <w:lang w:val="en-US" w:eastAsia="zh-CN"/>
        </w:rPr>
        <w:t xml:space="preserve"> </w:t>
      </w:r>
      <w:r>
        <w:rPr>
          <w:rFonts w:hint="default" w:ascii="Cambria" w:hAnsi="Cambria" w:cs="Cambria"/>
          <w:b/>
          <w:bCs/>
          <w:sz w:val="15"/>
          <w:szCs w:val="15"/>
          <w:lang w:val="en-US" w:eastAsia="zh-CN"/>
        </w:rPr>
        <w:t>Table 5: salary expectations of working remotely</w:t>
      </w:r>
    </w:p>
    <w:p>
      <w:pPr>
        <w:rPr>
          <w:rFonts w:hint="default" w:ascii="Cambria" w:hAnsi="Cambria" w:cs="Cambria"/>
          <w:b/>
          <w:bCs/>
          <w:sz w:val="15"/>
          <w:szCs w:val="15"/>
          <w:lang w:val="en-US" w:eastAsia="zh-CN"/>
        </w:rPr>
      </w:pPr>
    </w:p>
    <w:p>
      <w:pPr>
        <w:pStyle w:val="9"/>
        <w:spacing w:line="240" w:lineRule="auto"/>
        <w:ind w:left="0" w:firstLine="360" w:firstLineChars="200"/>
        <w:rPr>
          <w:rFonts w:hint="default" w:ascii="宋体" w:hAnsi="宋体" w:cs="宋体"/>
          <w:b w:val="0"/>
          <w:bCs w:val="0"/>
          <w:sz w:val="18"/>
          <w:szCs w:val="18"/>
          <w:lang w:val="en-US" w:eastAsia="zh-CN"/>
        </w:rPr>
      </w:pPr>
      <w:r>
        <w:rPr>
          <w:rFonts w:hint="eastAsia" w:ascii="宋体" w:hAnsi="宋体" w:cs="宋体"/>
          <w:b w:val="0"/>
          <w:bCs w:val="0"/>
          <w:sz w:val="18"/>
          <w:szCs w:val="18"/>
          <w:lang w:val="en-US" w:eastAsia="zh-CN"/>
        </w:rPr>
        <w:t>在调查的科技专业人士中，有三分之一的人希望远程工作，而11% 的人希望远程工作（但只能与他们的团队或公司在同一时区）。另一方面，整整一半的科技专业人士希望每周至少有一天在办公室工作，而只有7% 的人希望完全在办公室工作。当被明确问到是否想回到办公室后，35%的受访者说他们宁愿远程全职工作，56%的人说他们希望每周在办公室工作2-3次，其余9%的人希望全职在办公室工作。因此我们可以认为，公司接受远程工作是可行的，不仅如此，远程工作也是对他们的业务来说最高效的方式。[2][3]</w:t>
      </w:r>
    </w:p>
    <w:p>
      <w:pPr>
        <w:pStyle w:val="9"/>
        <w:spacing w:line="240" w:lineRule="auto"/>
        <w:rPr>
          <w:rFonts w:hint="eastAsia" w:ascii="宋体" w:hAnsi="宋体" w:cs="宋体"/>
          <w:b w:val="0"/>
          <w:bCs w:val="0"/>
          <w:sz w:val="18"/>
          <w:szCs w:val="18"/>
          <w:lang w:val="en-US" w:eastAsia="zh-CN"/>
        </w:rPr>
      </w:pPr>
      <w:r>
        <w:rPr>
          <w:rFonts w:hint="eastAsia" w:ascii="黑体" w:hAnsi="黑体" w:eastAsia="黑体" w:cs="黑体"/>
          <w:b w:val="0"/>
          <w:bCs w:val="0"/>
          <w:sz w:val="18"/>
          <w:szCs w:val="18"/>
          <w:lang w:val="en-US" w:eastAsia="zh-CN"/>
        </w:rPr>
        <w:t>2.1.2</w:t>
      </w:r>
      <w:r>
        <w:rPr>
          <w:rFonts w:hint="eastAsia" w:ascii="宋体" w:hAnsi="宋体" w:cs="宋体"/>
          <w:b w:val="0"/>
          <w:bCs w:val="0"/>
          <w:sz w:val="18"/>
          <w:szCs w:val="18"/>
          <w:lang w:val="en-US" w:eastAsia="zh-CN"/>
        </w:rPr>
        <w:t xml:space="preserve">  </w:t>
      </w:r>
      <w:r>
        <w:rPr>
          <w:rFonts w:hint="eastAsia" w:ascii="楷体" w:hAnsi="楷体" w:eastAsia="楷体" w:cs="楷体"/>
          <w:b w:val="0"/>
          <w:bCs w:val="0"/>
          <w:sz w:val="18"/>
          <w:szCs w:val="18"/>
          <w:lang w:val="en-US" w:eastAsia="zh-CN"/>
        </w:rPr>
        <w:t>互联网市场扩张对it行业的薪资影响</w:t>
      </w:r>
    </w:p>
    <w:p>
      <w:pPr>
        <w:pStyle w:val="9"/>
        <w:spacing w:line="240" w:lineRule="auto"/>
        <w:ind w:left="0" w:firstLine="360" w:firstLineChars="200"/>
        <w:rPr>
          <w:rFonts w:hint="default" w:ascii="宋体" w:hAnsi="宋体" w:cs="宋体"/>
          <w:b w:val="0"/>
          <w:bCs w:val="0"/>
          <w:sz w:val="18"/>
          <w:szCs w:val="18"/>
          <w:lang w:val="en-US" w:eastAsia="zh-CN"/>
        </w:rPr>
      </w:pPr>
      <w:r>
        <w:rPr>
          <w:rFonts w:hint="eastAsia" w:ascii="宋体" w:hAnsi="宋体" w:cs="宋体"/>
          <w:b w:val="0"/>
          <w:bCs w:val="0"/>
          <w:sz w:val="18"/>
          <w:szCs w:val="18"/>
          <w:lang w:val="en-US" w:eastAsia="zh-CN"/>
        </w:rPr>
        <w:t>在过去的一年里全球无线互联网服务市场已经从2019年的5692亿美元增长到2020年的约9687亿美元，因为新冠病毒的传播及其带来的封锁导致了无线互联网服务需求的急剧增长。人们整天待在家里，由于居家办公和必不可少的远程沟通的需要，越来越多地使用互联网服务进行工作和娱乐。预计到2023年，市场将稳定并达到7179亿美元，复合年增长率为6%。随着互联网服务的市场日益壮大，it行业平均薪资预计增长2%左右。[4]</w:t>
      </w:r>
    </w:p>
    <w:p>
      <w:pPr>
        <w:pStyle w:val="9"/>
        <w:spacing w:line="240" w:lineRule="auto"/>
        <w:ind w:left="0" w:firstLine="360" w:firstLineChars="200"/>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综上，在近期内it行业的薪资并不会因为居家办公而出现过大的影响，虽然企业的交通、餐饮补贴也许会因此减少，但这些经费会被更多的花在员工的健康和医疗保险方面，另一方面，互联网服务的拓宽使得it行业的平均薪资有所上升。</w:t>
      </w:r>
      <w:bookmarkStart w:id="0" w:name="_GoBack"/>
      <w:bookmarkEnd w:id="0"/>
    </w:p>
    <w:p>
      <w:pPr>
        <w:pStyle w:val="9"/>
        <w:spacing w:line="240" w:lineRule="auto"/>
        <w:ind w:left="0" w:firstLine="360" w:firstLineChars="200"/>
        <w:rPr>
          <w:rFonts w:hint="eastAsia" w:ascii="宋体" w:hAnsi="宋体" w:cs="宋体"/>
          <w:b w:val="0"/>
          <w:bCs w:val="0"/>
          <w:sz w:val="18"/>
          <w:szCs w:val="18"/>
          <w:lang w:val="en-US" w:eastAsia="zh-CN"/>
        </w:rPr>
      </w:pPr>
    </w:p>
    <w:p>
      <w:pPr>
        <w:pStyle w:val="9"/>
        <w:spacing w:line="400" w:lineRule="exact"/>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 结论</w:t>
      </w:r>
    </w:p>
    <w:p>
      <w:pPr>
        <w:pStyle w:val="9"/>
        <w:spacing w:line="400" w:lineRule="exact"/>
        <w:ind w:left="0" w:firstLine="360" w:firstLineChars="200"/>
        <w:rPr>
          <w:rFonts w:hint="default" w:ascii="宋体" w:hAnsi="宋体" w:cs="宋体"/>
          <w:b w:val="0"/>
          <w:bCs w:val="0"/>
          <w:sz w:val="18"/>
          <w:szCs w:val="18"/>
          <w:lang w:val="en-US" w:eastAsia="zh-CN"/>
        </w:rPr>
      </w:pPr>
      <w:r>
        <w:rPr>
          <w:rFonts w:hint="eastAsia" w:ascii="宋体" w:hAnsi="宋体" w:cs="宋体"/>
          <w:b w:val="0"/>
          <w:bCs w:val="0"/>
          <w:sz w:val="18"/>
          <w:szCs w:val="18"/>
          <w:lang w:val="en-US" w:eastAsia="zh-CN"/>
        </w:rPr>
        <w:t>新冠疫情的影响正在对技术部门产生重大影响，影响原材料供应，扰乱电子产品价值链，并对产品造成通胀风险。不过积极的是，这种工作的中断加速了互联网行业的发展，总的来说，新冠疫情并没有影响互联网行业的薪资增长趋势，it行业的薪资还是呈上升趋势的。</w:t>
      </w:r>
    </w:p>
    <w:p>
      <w:pPr>
        <w:pStyle w:val="9"/>
        <w:spacing w:line="240" w:lineRule="auto"/>
        <w:ind w:left="0" w:leftChars="0" w:firstLine="0" w:firstLineChars="0"/>
        <w:rPr>
          <w:rFonts w:hint="eastAsia" w:ascii="宋体" w:hAnsi="宋体" w:cs="宋体"/>
          <w:b w:val="0"/>
          <w:bCs w:val="0"/>
          <w:sz w:val="18"/>
          <w:szCs w:val="18"/>
          <w:lang w:val="en-US" w:eastAsia="zh-CN"/>
        </w:rPr>
      </w:pPr>
    </w:p>
    <w:p>
      <w:pPr>
        <w:pStyle w:val="9"/>
        <w:spacing w:line="240" w:lineRule="auto"/>
        <w:ind w:left="0" w:leftChars="0" w:firstLine="0" w:firstLineChars="0"/>
        <w:rPr>
          <w:rFonts w:hint="eastAsia" w:ascii="宋体" w:hAnsi="宋体" w:cs="宋体"/>
          <w:b w:val="0"/>
          <w:bCs w:val="0"/>
          <w:sz w:val="18"/>
          <w:szCs w:val="18"/>
          <w:lang w:val="en-US" w:eastAsia="zh-CN"/>
        </w:rPr>
      </w:pPr>
    </w:p>
    <w:p>
      <w:pPr>
        <w:pStyle w:val="9"/>
        <w:spacing w:line="240" w:lineRule="auto"/>
        <w:ind w:left="0" w:leftChars="0" w:firstLine="0" w:firstLineChars="0"/>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参考文献   </w:t>
      </w:r>
    </w:p>
    <w:p>
      <w:pPr>
        <w:pStyle w:val="9"/>
        <w:numPr>
          <w:ilvl w:val="0"/>
          <w:numId w:val="1"/>
        </w:numPr>
        <w:tabs>
          <w:tab w:val="clear" w:pos="312"/>
        </w:tabs>
        <w:spacing w:line="240" w:lineRule="auto"/>
        <w:ind w:left="0" w:leftChars="0" w:firstLine="0" w:firstLineChars="0"/>
        <w:jc w:val="left"/>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杜希双.服务业稳定回升显韧性[EB/OL].http://www.stats.gov.cn/ztjc/zthd/lhfw/2021/lh_sjjd/202102/t20210219_1813634.html,2021-01-19.</w:t>
      </w:r>
    </w:p>
    <w:p>
      <w:pPr>
        <w:pStyle w:val="9"/>
        <w:numPr>
          <w:ilvl w:val="0"/>
          <w:numId w:val="1"/>
        </w:numPr>
        <w:tabs>
          <w:tab w:val="clear" w:pos="312"/>
        </w:tabs>
        <w:spacing w:line="240" w:lineRule="auto"/>
        <w:ind w:left="0" w:leftChars="0" w:firstLine="0" w:firstLineChars="0"/>
        <w:jc w:val="left"/>
        <w:rPr>
          <w:rFonts w:hint="default" w:ascii="宋体" w:hAnsi="宋体" w:cs="宋体"/>
          <w:b w:val="0"/>
          <w:bCs w:val="0"/>
          <w:sz w:val="18"/>
          <w:szCs w:val="18"/>
          <w:lang w:val="en-US" w:eastAsia="zh-CN"/>
        </w:rPr>
      </w:pPr>
      <w:r>
        <w:rPr>
          <w:rFonts w:hint="default" w:ascii="宋体" w:hAnsi="宋体" w:cs="宋体"/>
          <w:b w:val="0"/>
          <w:bCs w:val="0"/>
          <w:sz w:val="18"/>
          <w:szCs w:val="18"/>
          <w:lang w:val="en-US" w:eastAsia="zh-CN"/>
        </w:rPr>
        <w:t>郭丽清,蓝康伟,朱思霖,等.基于大数据的互联网行业人才薪资影响因素分析[J].计算机时代,2020,000(002):21-29.</w:t>
      </w:r>
    </w:p>
    <w:p>
      <w:pPr>
        <w:pStyle w:val="9"/>
        <w:numPr>
          <w:ilvl w:val="0"/>
          <w:numId w:val="1"/>
        </w:numPr>
        <w:tabs>
          <w:tab w:val="clear" w:pos="312"/>
        </w:tabs>
        <w:spacing w:line="240" w:lineRule="auto"/>
        <w:ind w:left="0" w:leftChars="0" w:firstLine="0" w:firstLineChars="0"/>
        <w:jc w:val="left"/>
        <w:rPr>
          <w:rFonts w:hint="default" w:ascii="宋体" w:hAnsi="宋体" w:cs="宋体"/>
          <w:b w:val="0"/>
          <w:bCs w:val="0"/>
          <w:sz w:val="18"/>
          <w:szCs w:val="18"/>
          <w:lang w:val="en-US" w:eastAsia="zh-CN"/>
        </w:rPr>
      </w:pPr>
      <w:r>
        <w:rPr>
          <w:rFonts w:hint="default" w:ascii="宋体" w:hAnsi="宋体" w:cs="宋体"/>
          <w:b w:val="0"/>
          <w:bCs w:val="0"/>
          <w:sz w:val="18"/>
          <w:szCs w:val="18"/>
          <w:lang w:val="en-US" w:eastAsia="zh-CN"/>
        </w:rPr>
        <w:t>叶惠仙.基于Hadoop+Hive技术的招聘网站数据分析研究[J].网络安全技术与应用,2020(12):77-79.</w:t>
      </w:r>
    </w:p>
    <w:p>
      <w:pPr>
        <w:pStyle w:val="9"/>
        <w:numPr>
          <w:ilvl w:val="0"/>
          <w:numId w:val="1"/>
        </w:numPr>
        <w:tabs>
          <w:tab w:val="clear" w:pos="312"/>
        </w:tabs>
        <w:spacing w:line="240" w:lineRule="auto"/>
        <w:ind w:left="0" w:leftChars="0" w:firstLine="0" w:firstLineChars="0"/>
        <w:jc w:val="left"/>
        <w:rPr>
          <w:rFonts w:hint="default" w:ascii="宋体" w:hAnsi="宋体" w:cs="宋体"/>
          <w:b w:val="0"/>
          <w:bCs w:val="0"/>
          <w:sz w:val="18"/>
          <w:szCs w:val="18"/>
          <w:lang w:val="en-US" w:eastAsia="zh-CN"/>
        </w:rPr>
      </w:pPr>
      <w:r>
        <w:rPr>
          <w:rFonts w:hint="default" w:ascii="宋体" w:hAnsi="宋体" w:cs="宋体"/>
          <w:b w:val="0"/>
          <w:bCs w:val="0"/>
          <w:sz w:val="18"/>
          <w:szCs w:val="18"/>
          <w:lang w:val="en-US" w:eastAsia="zh-CN"/>
        </w:rPr>
        <w:t>张诗琪. G公司薪酬优化及应用研究[D].中山大学,2020.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华光黑体_CNKI">
    <w:panose1 w:val="02000500000000000000"/>
    <w:charset w:val="86"/>
    <w:family w:val="auto"/>
    <w:pitch w:val="default"/>
    <w:sig w:usb0="A00002BF" w:usb1="38CF7CFA" w:usb2="00000016" w:usb3="00000000" w:csb0="0004000F" w:csb1="00000000"/>
  </w:font>
  <w:font w:name="华光标题黑_CNKI">
    <w:panose1 w:val="02000500000000000000"/>
    <w:charset w:val="86"/>
    <w:family w:val="auto"/>
    <w:pitch w:val="default"/>
    <w:sig w:usb0="A00002BF" w:usb1="18CF7CFA" w:usb2="00000016" w:usb3="00000000" w:csb0="0004000F" w:csb1="00000000"/>
  </w:font>
  <w:font w:name="华光楷体一_CNKI">
    <w:panose1 w:val="02000500000000000000"/>
    <w:charset w:val="86"/>
    <w:family w:val="auto"/>
    <w:pitch w:val="default"/>
    <w:sig w:usb0="800002BF" w:usb1="38CF7CFA" w:usb2="00000016" w:usb3="00000000" w:csb0="0004000F" w:csb1="00000000"/>
  </w:font>
  <w:font w:name="华光细黑_CNKI">
    <w:panose1 w:val="02000500000000000000"/>
    <w:charset w:val="86"/>
    <w:family w:val="auto"/>
    <w:pitch w:val="default"/>
    <w:sig w:usb0="A00002BF" w:usb1="38CF7CFA" w:usb2="00000016" w:usb3="00000000" w:csb0="0004000F" w:csb1="00000000"/>
  </w:font>
  <w:font w:name="华光黑变_CNKI">
    <w:panose1 w:val="02000500000000000000"/>
    <w:charset w:val="86"/>
    <w:family w:val="auto"/>
    <w:pitch w:val="default"/>
    <w:sig w:usb0="A00002BF" w:usb1="18CF7CFA" w:usb2="00000016" w:usb3="00000000" w:csb0="0004000F" w:csb1="00000000"/>
  </w:font>
  <w:font w:name="华光粗黑_CNKI">
    <w:panose1 w:val="02000500000000000000"/>
    <w:charset w:val="86"/>
    <w:family w:val="auto"/>
    <w:pitch w:val="default"/>
    <w:sig w:usb0="A00002BF" w:usb1="38CF7CFA" w:usb2="00000016" w:usb3="00000000" w:csb0="0004000F" w:csb1="00000000"/>
  </w:font>
  <w:font w:name="华光大黑二_CNKI">
    <w:panose1 w:val="02000500000000000000"/>
    <w:charset w:val="86"/>
    <w:family w:val="auto"/>
    <w:pitch w:val="default"/>
    <w:sig w:usb0="800002BF" w:usb1="38CF7CFA" w:usb2="00000016" w:usb3="00000000" w:csb0="0004000F" w:csb1="00000000"/>
  </w:font>
  <w:font w:name="华光姚体_CNKI">
    <w:panose1 w:val="02000500000000000000"/>
    <w:charset w:val="86"/>
    <w:family w:val="auto"/>
    <w:pitch w:val="default"/>
    <w:sig w:usb0="A00002BF" w:usb1="38CF7CFA" w:usb2="00000016" w:usb3="00000000" w:csb0="0004000F" w:csb1="00000000"/>
  </w:font>
  <w:font w:name="Cambria">
    <w:panose1 w:val="02040503050406030204"/>
    <w:charset w:val="00"/>
    <w:family w:val="auto"/>
    <w:pitch w:val="default"/>
    <w:sig w:usb0="E00006FF" w:usb1="420024FF" w:usb2="02000000" w:usb3="00000000" w:csb0="2000019F" w:csb1="00000000"/>
  </w:font>
  <w:font w:name="Bahnschrift SemiBold">
    <w:panose1 w:val="020B0502040204020203"/>
    <w:charset w:val="00"/>
    <w:family w:val="auto"/>
    <w:pitch w:val="default"/>
    <w:sig w:usb0="A00002C7" w:usb1="00000002" w:usb2="00000000" w:usb3="00000000" w:csb0="2000019F" w:csb1="00000000"/>
  </w:font>
  <w:font w:name="Segoe UI Semilight">
    <w:panose1 w:val="020B0402040204020203"/>
    <w:charset w:val="00"/>
    <w:family w:val="auto"/>
    <w:pitch w:val="default"/>
    <w:sig w:usb0="E4002EFF" w:usb1="C000E47F" w:usb2="00000009" w:usb3="00000000" w:csb0="200001FF" w:csb1="00000000"/>
  </w:font>
  <w:font w:name="华光粗圆_CNKI">
    <w:panose1 w:val="02000500000000000000"/>
    <w:charset w:val="86"/>
    <w:family w:val="auto"/>
    <w:pitch w:val="default"/>
    <w:sig w:usb0="A00002BF" w:usb1="38CF7CFA" w:usb2="00000016" w:usb3="00000000" w:csb0="0004000F" w:csb1="00000000"/>
  </w:font>
  <w:font w:name="华光楷体_CNKI">
    <w:panose1 w:val="02000500000000000000"/>
    <w:charset w:val="86"/>
    <w:family w:val="auto"/>
    <w:pitch w:val="default"/>
    <w:sig w:usb0="A00002BF" w:usb1="38CF7CFA" w:usb2="00000016" w:usb3="00000000" w:csb0="0004000F" w:csb1="00000000"/>
  </w:font>
  <w:font w:name="华光方珊瑚_CNKI">
    <w:panose1 w:val="02000500000000000000"/>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D1DC81"/>
    <w:multiLevelType w:val="singleLevel"/>
    <w:tmpl w:val="CDD1DC8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CD2552B"/>
    <w:rsid w:val="46D8007B"/>
    <w:rsid w:val="4C426597"/>
    <w:rsid w:val="59CC1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imes New Roman"/>
      <w:sz w:val="22"/>
      <w:szCs w:val="22"/>
      <w:lang w:val="en-US" w:eastAsia="zh-CN" w:bidi="ar-SA"/>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2">
    <w:name w:val="annotation text"/>
    <w:basedOn w:val="1"/>
    <w:semiHidden/>
    <w:qFormat/>
    <w:uiPriority w:val="0"/>
    <w:pPr>
      <w:widowControl w:val="0"/>
      <w:adjustRightInd/>
      <w:snapToGrid/>
      <w:spacing w:after="0"/>
    </w:pPr>
    <w:rPr>
      <w:rFonts w:ascii="Times New Roman" w:hAnsi="Times New Roman" w:eastAsia="宋体" w:cs="Times New Roman"/>
      <w:kern w:val="2"/>
      <w:sz w:val="21"/>
      <w:szCs w:val="24"/>
    </w:rPr>
  </w:style>
  <w:style w:type="paragraph" w:styleId="3">
    <w:name w:val="Body Text"/>
    <w:basedOn w:val="1"/>
    <w:qFormat/>
    <w:uiPriority w:val="0"/>
    <w:pPr>
      <w:widowControl w:val="0"/>
      <w:adjustRightInd/>
      <w:snapToGrid/>
      <w:spacing w:after="120"/>
      <w:jc w:val="both"/>
    </w:pPr>
    <w:rPr>
      <w:rFonts w:ascii="Times New Roman" w:hAnsi="Times New Roman" w:eastAsia="宋体" w:cs="Times New Roman"/>
      <w:kern w:val="2"/>
      <w:sz w:val="21"/>
      <w:szCs w:val="24"/>
    </w:rPr>
  </w:style>
  <w:style w:type="paragraph" w:styleId="4">
    <w:name w:val="footer"/>
    <w:basedOn w:val="1"/>
    <w:unhideWhenUsed/>
    <w:qFormat/>
    <w:uiPriority w:val="99"/>
    <w:pPr>
      <w:tabs>
        <w:tab w:val="center" w:pos="4153"/>
        <w:tab w:val="right" w:pos="8306"/>
      </w:tabs>
    </w:pPr>
    <w:rPr>
      <w:sz w:val="18"/>
      <w:szCs w:val="18"/>
    </w:rPr>
  </w:style>
  <w:style w:type="paragraph" w:styleId="5">
    <w:name w:val="header"/>
    <w:basedOn w:val="1"/>
    <w:unhideWhenUsed/>
    <w:qFormat/>
    <w:uiPriority w:val="99"/>
    <w:pPr>
      <w:pBdr>
        <w:bottom w:val="single" w:color="auto" w:sz="6" w:space="1"/>
      </w:pBdr>
      <w:tabs>
        <w:tab w:val="center" w:pos="4153"/>
        <w:tab w:val="right" w:pos="8306"/>
      </w:tabs>
      <w:jc w:val="center"/>
    </w:pPr>
    <w:rPr>
      <w:sz w:val="18"/>
      <w:szCs w:val="18"/>
    </w:rPr>
  </w:style>
  <w:style w:type="paragraph" w:customStyle="1" w:styleId="8">
    <w:name w:val="Depart.Correspond"/>
    <w:basedOn w:val="1"/>
    <w:qFormat/>
    <w:uiPriority w:val="0"/>
    <w:pPr>
      <w:adjustRightInd/>
      <w:snapToGrid/>
      <w:spacing w:after="0"/>
      <w:ind w:left="66" w:hanging="66" w:hangingChars="66"/>
      <w:jc w:val="both"/>
    </w:pPr>
    <w:rPr>
      <w:rFonts w:ascii="Times New Roman" w:hAnsi="Times New Roman" w:eastAsia="宋体" w:cs="Times New Roman"/>
      <w:iCs/>
      <w:sz w:val="16"/>
      <w:szCs w:val="20"/>
    </w:rPr>
  </w:style>
  <w:style w:type="paragraph" w:customStyle="1" w:styleId="9">
    <w:name w:val="Text of 中文参考文献"/>
    <w:basedOn w:val="1"/>
    <w:qFormat/>
    <w:uiPriority w:val="0"/>
    <w:pPr>
      <w:tabs>
        <w:tab w:val="left" w:pos="346"/>
      </w:tabs>
      <w:adjustRightInd/>
      <w:snapToGrid/>
      <w:spacing w:after="0" w:line="260" w:lineRule="exact"/>
      <w:ind w:left="258" w:hanging="258" w:hangingChars="258"/>
      <w:jc w:val="both"/>
    </w:pPr>
    <w:rPr>
      <w:rFonts w:ascii="Times New Roman" w:hAnsi="Times New Roman" w:eastAsia="宋体" w:cs="Times New Roman"/>
      <w:sz w:val="15"/>
      <w:szCs w:val="20"/>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2021-04-01T02:03:43Z</dcterms:created>
  <dc:creator>makot</dc:creator>
  <cp:lastModifiedBy>rickettsshakebean</cp:lastModifiedBy>
  <dcterms:modified xsi:type="dcterms:W3CDTF">2021-04-08T01:07:24Z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8F57D260FCED4A989834302E04996B9F</vt:lpwstr>
  </property>
</Properties>
</file>