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CD8A6C" w14:textId="26359D14" w:rsidR="009F050C" w:rsidRDefault="005F255F">
      <w:pPr>
        <w:spacing w:beforeLines="100" w:before="360" w:afterLines="100" w:after="360" w:line="220" w:lineRule="atLeast"/>
        <w:rPr>
          <w:rFonts w:ascii="黑体" w:eastAsia="黑体" w:hAnsi="黑体"/>
          <w:color w:val="FF0000"/>
          <w:sz w:val="36"/>
          <w:szCs w:val="36"/>
        </w:rPr>
      </w:pPr>
      <w:bookmarkStart w:id="0" w:name="_Hlk68686931"/>
      <w:bookmarkEnd w:id="0"/>
      <w:r w:rsidRPr="005F255F">
        <w:rPr>
          <w:rFonts w:ascii="黑体" w:eastAsia="黑体" w:hAnsi="黑体" w:hint="eastAsia"/>
          <w:sz w:val="32"/>
          <w:szCs w:val="32"/>
        </w:rPr>
        <w:t>信息技术行业薪酬变化情况的统计与分析</w:t>
      </w:r>
    </w:p>
    <w:p w14:paraId="460FEB41" w14:textId="6F1369DC" w:rsidR="009F050C" w:rsidRPr="005F255F" w:rsidRDefault="005F255F">
      <w:pPr>
        <w:spacing w:afterLines="50" w:after="180" w:line="220" w:lineRule="atLeast"/>
        <w:rPr>
          <w:rFonts w:ascii="宋体" w:eastAsia="宋体" w:hAnsi="宋体"/>
          <w:sz w:val="21"/>
          <w:szCs w:val="21"/>
          <w:vertAlign w:val="superscript"/>
        </w:rPr>
      </w:pPr>
      <w:r>
        <w:rPr>
          <w:rFonts w:ascii="宋体" w:eastAsia="宋体" w:hAnsi="宋体" w:hint="eastAsia"/>
          <w:b/>
          <w:sz w:val="21"/>
          <w:szCs w:val="21"/>
        </w:rPr>
        <w:t>朴景麟</w:t>
      </w:r>
    </w:p>
    <w:p w14:paraId="66F1D855" w14:textId="57342752" w:rsidR="009F050C" w:rsidRDefault="005F255F" w:rsidP="005F255F">
      <w:pPr>
        <w:spacing w:after="0" w:line="220" w:lineRule="atLeast"/>
        <w:rPr>
          <w:rFonts w:ascii="仿宋" w:eastAsia="仿宋" w:hAnsi="仿宋"/>
          <w:sz w:val="18"/>
          <w:szCs w:val="18"/>
        </w:rPr>
      </w:pPr>
      <w:r>
        <w:rPr>
          <w:rFonts w:ascii="仿宋" w:eastAsia="仿宋" w:hAnsi="仿宋" w:hint="eastAsia"/>
          <w:sz w:val="18"/>
          <w:szCs w:val="18"/>
        </w:rPr>
        <w:t>大连理工大学</w:t>
      </w:r>
      <w:r w:rsidR="0029334A">
        <w:rPr>
          <w:rFonts w:ascii="仿宋" w:eastAsia="仿宋" w:hAnsi="仿宋" w:hint="eastAsia"/>
          <w:sz w:val="18"/>
          <w:szCs w:val="18"/>
        </w:rPr>
        <w:t xml:space="preserve"> </w:t>
      </w:r>
      <w:r>
        <w:rPr>
          <w:rFonts w:ascii="仿宋" w:eastAsia="仿宋" w:hAnsi="仿宋" w:hint="eastAsia"/>
          <w:sz w:val="18"/>
          <w:szCs w:val="18"/>
        </w:rPr>
        <w:t>辽宁</w:t>
      </w:r>
      <w:r w:rsidR="0029334A">
        <w:rPr>
          <w:rFonts w:ascii="仿宋" w:eastAsia="仿宋" w:hAnsi="仿宋" w:hint="eastAsia"/>
          <w:sz w:val="18"/>
          <w:szCs w:val="18"/>
        </w:rPr>
        <w:t xml:space="preserve"> </w:t>
      </w:r>
      <w:r>
        <w:rPr>
          <w:rFonts w:ascii="仿宋" w:eastAsia="仿宋" w:hAnsi="仿宋" w:hint="eastAsia"/>
          <w:sz w:val="18"/>
          <w:szCs w:val="18"/>
        </w:rPr>
        <w:t>大连</w:t>
      </w:r>
      <w:r w:rsidR="0029334A">
        <w:rPr>
          <w:rFonts w:ascii="仿宋" w:eastAsia="仿宋" w:hAnsi="仿宋" w:hint="eastAsia"/>
          <w:sz w:val="18"/>
          <w:szCs w:val="18"/>
        </w:rPr>
        <w:t xml:space="preserve"> </w:t>
      </w:r>
      <w:r w:rsidRPr="005F255F">
        <w:rPr>
          <w:rFonts w:ascii="仿宋" w:eastAsia="仿宋" w:hAnsi="仿宋"/>
          <w:sz w:val="18"/>
          <w:szCs w:val="18"/>
        </w:rPr>
        <w:t>116024</w:t>
      </w:r>
    </w:p>
    <w:p w14:paraId="67052E7C" w14:textId="2C78E96F" w:rsidR="009F050C" w:rsidRDefault="005F255F">
      <w:pPr>
        <w:spacing w:after="0" w:line="220" w:lineRule="atLeast"/>
        <w:jc w:val="both"/>
        <w:rPr>
          <w:rFonts w:ascii="仿宋" w:eastAsia="仿宋" w:hAnsi="仿宋"/>
          <w:sz w:val="18"/>
          <w:szCs w:val="18"/>
        </w:rPr>
      </w:pPr>
      <w:r>
        <w:rPr>
          <w:rFonts w:ascii="仿宋" w:eastAsia="仿宋" w:hAnsi="仿宋" w:hint="eastAsia"/>
          <w:sz w:val="18"/>
          <w:szCs w:val="18"/>
        </w:rPr>
        <w:t>pjl</w:t>
      </w:r>
      <w:r>
        <w:rPr>
          <w:rFonts w:ascii="仿宋" w:eastAsia="仿宋" w:hAnsi="仿宋"/>
          <w:sz w:val="18"/>
          <w:szCs w:val="18"/>
        </w:rPr>
        <w:t>@mail.dlut.edu.cn</w:t>
      </w:r>
    </w:p>
    <w:p w14:paraId="4CD543AE" w14:textId="77777777" w:rsidR="009F050C" w:rsidRDefault="009F050C">
      <w:pPr>
        <w:spacing w:after="0" w:line="220" w:lineRule="atLeast"/>
        <w:jc w:val="both"/>
        <w:rPr>
          <w:rFonts w:ascii="仿宋" w:eastAsia="仿宋" w:hAnsi="仿宋"/>
          <w:sz w:val="21"/>
          <w:szCs w:val="21"/>
        </w:rPr>
      </w:pPr>
    </w:p>
    <w:p w14:paraId="2C9254FC" w14:textId="26132784" w:rsidR="009F050C" w:rsidRPr="005F255F" w:rsidRDefault="0029334A">
      <w:pPr>
        <w:spacing w:beforeLines="50" w:before="180" w:afterLines="50" w:after="180" w:line="220" w:lineRule="atLeast"/>
        <w:rPr>
          <w:rFonts w:ascii="仿宋" w:eastAsia="仿宋" w:hAnsi="仿宋"/>
          <w:color w:val="FF0000"/>
          <w:sz w:val="18"/>
          <w:szCs w:val="18"/>
        </w:rPr>
      </w:pPr>
      <w:r>
        <w:rPr>
          <w:rFonts w:ascii="仿宋" w:eastAsia="仿宋" w:hAnsi="仿宋" w:hint="eastAsia"/>
          <w:b/>
          <w:sz w:val="18"/>
          <w:szCs w:val="18"/>
        </w:rPr>
        <w:t>摘 要</w:t>
      </w:r>
      <w:r>
        <w:rPr>
          <w:rFonts w:ascii="仿宋" w:eastAsia="仿宋" w:hAnsi="仿宋" w:hint="eastAsia"/>
          <w:color w:val="FF0000"/>
          <w:sz w:val="18"/>
          <w:szCs w:val="18"/>
        </w:rPr>
        <w:t xml:space="preserve"> </w:t>
      </w:r>
      <w:r w:rsidR="005F255F" w:rsidRPr="005F255F">
        <w:rPr>
          <w:rFonts w:ascii="仿宋" w:eastAsia="仿宋" w:hAnsi="仿宋" w:hint="eastAsia"/>
          <w:sz w:val="18"/>
          <w:szCs w:val="18"/>
        </w:rPr>
        <w:t>近年来，信息技术行业对人才的需求一直处于一个较高的水平。源源不断的用人需求，也使得互联网行业成为了目前就业薪资水平最高的行业之一。文中通过对国家统计局历年统计信息和相关论文数据的处理，分析了近年该行业从业者的薪资变化情况。</w:t>
      </w:r>
    </w:p>
    <w:p w14:paraId="6F4A9525" w14:textId="77777777" w:rsidR="00343EE5" w:rsidRDefault="0029334A" w:rsidP="00343EE5">
      <w:pPr>
        <w:spacing w:beforeLines="50" w:before="180" w:afterLines="50" w:after="180" w:line="220" w:lineRule="atLeast"/>
        <w:rPr>
          <w:rFonts w:ascii="仿宋" w:eastAsia="仿宋" w:hAnsi="仿宋"/>
          <w:sz w:val="18"/>
          <w:szCs w:val="18"/>
        </w:rPr>
      </w:pPr>
      <w:r>
        <w:rPr>
          <w:rFonts w:ascii="宋体" w:eastAsia="宋体" w:hAnsi="宋体" w:hint="eastAsia"/>
          <w:b/>
          <w:sz w:val="18"/>
          <w:szCs w:val="18"/>
        </w:rPr>
        <w:t>关键词：</w:t>
      </w:r>
      <w:r w:rsidR="005F255F" w:rsidRPr="00343EE5">
        <w:rPr>
          <w:rFonts w:ascii="仿宋" w:eastAsia="仿宋" w:hAnsi="仿宋" w:hint="eastAsia"/>
          <w:sz w:val="18"/>
          <w:szCs w:val="18"/>
        </w:rPr>
        <w:t>信息技术行业</w:t>
      </w:r>
      <w:r w:rsidRPr="00343EE5">
        <w:rPr>
          <w:rFonts w:ascii="仿宋" w:eastAsia="仿宋" w:hAnsi="仿宋" w:hint="eastAsia"/>
          <w:sz w:val="18"/>
          <w:szCs w:val="18"/>
        </w:rPr>
        <w:t>；</w:t>
      </w:r>
      <w:r w:rsidR="005F255F" w:rsidRPr="00343EE5">
        <w:rPr>
          <w:rFonts w:ascii="仿宋" w:eastAsia="仿宋" w:hAnsi="仿宋" w:hint="eastAsia"/>
          <w:sz w:val="18"/>
          <w:szCs w:val="18"/>
        </w:rPr>
        <w:t>薪酬</w:t>
      </w:r>
      <w:r w:rsidRPr="00343EE5">
        <w:rPr>
          <w:rFonts w:ascii="仿宋" w:eastAsia="仿宋" w:hAnsi="仿宋" w:hint="eastAsia"/>
          <w:sz w:val="18"/>
          <w:szCs w:val="18"/>
        </w:rPr>
        <w:t>；</w:t>
      </w:r>
      <w:r w:rsidR="005F255F" w:rsidRPr="00343EE5">
        <w:rPr>
          <w:rFonts w:ascii="仿宋" w:eastAsia="仿宋" w:hAnsi="仿宋" w:hint="eastAsia"/>
          <w:sz w:val="18"/>
          <w:szCs w:val="18"/>
        </w:rPr>
        <w:t>一元线性分析</w:t>
      </w:r>
    </w:p>
    <w:p w14:paraId="41E29BF3" w14:textId="77777777" w:rsidR="00343EE5" w:rsidRDefault="00343EE5" w:rsidP="00343EE5">
      <w:pPr>
        <w:spacing w:beforeLines="50" w:before="180" w:afterLines="50" w:after="180" w:line="220" w:lineRule="atLeast"/>
        <w:rPr>
          <w:rFonts w:ascii="仿宋" w:eastAsia="仿宋" w:hAnsi="仿宋"/>
          <w:sz w:val="18"/>
          <w:szCs w:val="18"/>
        </w:rPr>
      </w:pPr>
    </w:p>
    <w:p w14:paraId="71DB5A85" w14:textId="53D58881" w:rsidR="00343EE5" w:rsidRPr="00343EE5" w:rsidRDefault="00343EE5" w:rsidP="00343EE5">
      <w:pPr>
        <w:spacing w:beforeLines="50" w:before="180" w:afterLines="50" w:after="180" w:line="220" w:lineRule="atLeast"/>
        <w:rPr>
          <w:rFonts w:ascii="仿宋" w:eastAsia="仿宋" w:hAnsi="仿宋"/>
          <w:sz w:val="18"/>
          <w:szCs w:val="18"/>
        </w:rPr>
        <w:sectPr w:rsidR="00343EE5" w:rsidRPr="00343EE5" w:rsidSect="00343EE5">
          <w:headerReference w:type="even" r:id="rId8"/>
          <w:type w:val="continuous"/>
          <w:pgSz w:w="11906" w:h="16838"/>
          <w:pgMar w:top="1440" w:right="1080" w:bottom="1440" w:left="1080" w:header="708" w:footer="708" w:gutter="0"/>
          <w:cols w:space="708"/>
          <w:titlePg/>
          <w:docGrid w:type="lines" w:linePitch="360"/>
        </w:sectPr>
      </w:pPr>
    </w:p>
    <w:p w14:paraId="3FB26539" w14:textId="4A1A6682" w:rsidR="005F255F" w:rsidRPr="00445FB2" w:rsidRDefault="005F255F" w:rsidP="005F255F">
      <w:pPr>
        <w:pStyle w:val="ad"/>
        <w:numPr>
          <w:ilvl w:val="0"/>
          <w:numId w:val="1"/>
        </w:numPr>
        <w:rPr>
          <w:rFonts w:ascii="黑体" w:eastAsia="黑体" w:hAnsi="黑体"/>
          <w:szCs w:val="21"/>
        </w:rPr>
      </w:pPr>
      <w:r>
        <w:rPr>
          <w:rFonts w:ascii="黑体" w:eastAsia="黑体" w:hAnsi="黑体" w:hint="eastAsia"/>
          <w:szCs w:val="21"/>
        </w:rPr>
        <w:t>引言</w:t>
      </w:r>
    </w:p>
    <w:p w14:paraId="241F7B10" w14:textId="77777777" w:rsidR="005F255F" w:rsidRPr="005F255F" w:rsidRDefault="005F255F" w:rsidP="005F255F">
      <w:pPr>
        <w:pStyle w:val="Textof"/>
        <w:spacing w:line="400" w:lineRule="exact"/>
        <w:ind w:left="0" w:firstLineChars="200" w:firstLine="360"/>
        <w:rPr>
          <w:rFonts w:ascii="宋体" w:hAnsi="宋体"/>
          <w:kern w:val="2"/>
          <w:sz w:val="18"/>
          <w:szCs w:val="18"/>
        </w:rPr>
      </w:pPr>
      <w:r w:rsidRPr="005F255F">
        <w:rPr>
          <w:rFonts w:ascii="宋体" w:hAnsi="宋体" w:hint="eastAsia"/>
          <w:kern w:val="2"/>
          <w:sz w:val="18"/>
          <w:szCs w:val="18"/>
        </w:rPr>
        <w:t>以现代新兴的互联网技术为基础，专门从事网络资源搜集和互联网信息技术的研究、开发、利用、生产、贮存、传递和营销信息商品，可为经济发展提供有效服务的综合性生产活动的产业集合体，是现阶段国民经济结构的基本组成部分。利用互联网来提供服务以满足人类信息、消费、购物等各方面需求。互联网服务依赖但已独立于电信运营商提供的基础设施，随着电信基础设施的演进（窄带-&gt;宽带-&gt;移动互联网），互联网服务的信息量和丰富度也不断升级。</w:t>
      </w:r>
    </w:p>
    <w:p w14:paraId="66C0C9EF" w14:textId="607E1348" w:rsidR="005F255F" w:rsidRPr="00E819B5" w:rsidRDefault="005F255F" w:rsidP="005F255F">
      <w:pPr>
        <w:pStyle w:val="Textof"/>
        <w:spacing w:line="400" w:lineRule="exact"/>
        <w:ind w:left="0" w:firstLineChars="200" w:firstLine="360"/>
        <w:rPr>
          <w:rFonts w:ascii="宋体" w:hAnsi="宋体"/>
          <w:kern w:val="2"/>
          <w:sz w:val="18"/>
          <w:szCs w:val="18"/>
          <w:vertAlign w:val="superscript"/>
        </w:rPr>
      </w:pPr>
      <w:r w:rsidRPr="005F255F">
        <w:rPr>
          <w:rFonts w:ascii="宋体" w:hAnsi="宋体" w:hint="eastAsia"/>
          <w:kern w:val="2"/>
          <w:sz w:val="18"/>
          <w:szCs w:val="18"/>
        </w:rPr>
        <w:t>人才是企业发展的根本。在“互联网+”发展新业态下，企业对相关人才的需求呈现井喷趋势。2017年，中美两国的互联网人才需求量是供应量的10倍。</w:t>
      </w:r>
      <w:r w:rsidR="00E819B5">
        <w:rPr>
          <w:rFonts w:ascii="宋体" w:hAnsi="宋体" w:hint="eastAsia"/>
          <w:kern w:val="2"/>
          <w:sz w:val="18"/>
          <w:szCs w:val="18"/>
          <w:vertAlign w:val="superscript"/>
        </w:rPr>
        <w:t>[</w:t>
      </w:r>
      <w:r w:rsidR="00E819B5">
        <w:rPr>
          <w:rFonts w:ascii="宋体" w:hAnsi="宋体"/>
          <w:kern w:val="2"/>
          <w:sz w:val="18"/>
          <w:szCs w:val="18"/>
          <w:vertAlign w:val="superscript"/>
        </w:rPr>
        <w:t>1]</w:t>
      </w:r>
    </w:p>
    <w:p w14:paraId="4A77CF93" w14:textId="7C80D1C0" w:rsidR="005F255F" w:rsidRDefault="005F255F" w:rsidP="005F255F">
      <w:pPr>
        <w:pStyle w:val="Textof"/>
        <w:spacing w:line="400" w:lineRule="exact"/>
        <w:ind w:left="0" w:firstLineChars="200" w:firstLine="360"/>
        <w:rPr>
          <w:rFonts w:ascii="宋体" w:hAnsi="宋体"/>
          <w:kern w:val="2"/>
          <w:sz w:val="18"/>
          <w:szCs w:val="18"/>
        </w:rPr>
      </w:pPr>
      <w:r w:rsidRPr="005F255F">
        <w:rPr>
          <w:rFonts w:ascii="宋体" w:hAnsi="宋体" w:hint="eastAsia"/>
          <w:kern w:val="2"/>
          <w:sz w:val="18"/>
          <w:szCs w:val="18"/>
        </w:rPr>
        <w:t>随着信息技术与互联网行业的飞速发展，行业从业人员及其薪资水平也呈现出逐年上升的趋势。但是，就业市场也属于市场，受制于市场经济的发展规律。当行业从业</w:t>
      </w:r>
      <w:r w:rsidRPr="005F255F">
        <w:rPr>
          <w:rFonts w:ascii="宋体" w:hAnsi="宋体" w:hint="eastAsia"/>
          <w:kern w:val="2"/>
          <w:sz w:val="18"/>
          <w:szCs w:val="18"/>
        </w:rPr>
        <w:t>人员数量达到饱和时，就业市场从增量市场变为存量市场，在市场竞争加剧的情况下，从业人员的薪资是否还处于较高水平？本文分析了按经济类型划分的就业市场数据，给出分析结果的同时，提供了相关分析的实现方法。</w:t>
      </w:r>
    </w:p>
    <w:p w14:paraId="74FBA430" w14:textId="5112BD3F" w:rsidR="005F255F" w:rsidRDefault="005F255F" w:rsidP="00343EE5">
      <w:pPr>
        <w:pStyle w:val="Textof"/>
        <w:spacing w:line="400" w:lineRule="exact"/>
        <w:ind w:left="257" w:hangingChars="143" w:hanging="257"/>
        <w:rPr>
          <w:rFonts w:ascii="宋体" w:hAnsi="宋体"/>
          <w:kern w:val="2"/>
          <w:sz w:val="18"/>
          <w:szCs w:val="18"/>
        </w:rPr>
      </w:pPr>
    </w:p>
    <w:p w14:paraId="56F2EBEF" w14:textId="373F2A0B" w:rsidR="005F255F" w:rsidRPr="005F255F" w:rsidRDefault="005F255F" w:rsidP="005F255F">
      <w:pPr>
        <w:pStyle w:val="ad"/>
        <w:numPr>
          <w:ilvl w:val="0"/>
          <w:numId w:val="1"/>
        </w:numPr>
        <w:rPr>
          <w:rFonts w:ascii="黑体" w:eastAsia="黑体" w:hAnsi="黑体"/>
          <w:szCs w:val="21"/>
        </w:rPr>
      </w:pPr>
      <w:r w:rsidRPr="005F255F">
        <w:rPr>
          <w:rFonts w:ascii="黑体" w:eastAsia="黑体" w:hAnsi="黑体" w:hint="eastAsia"/>
          <w:szCs w:val="21"/>
        </w:rPr>
        <w:t>信息技术行业整体薪酬数据的统计与分析</w:t>
      </w:r>
    </w:p>
    <w:p w14:paraId="406D79C6" w14:textId="31A7C54C" w:rsidR="005F255F" w:rsidRPr="005F255F" w:rsidRDefault="005F255F" w:rsidP="005F255F">
      <w:pPr>
        <w:pStyle w:val="DepartCorrespond"/>
        <w:numPr>
          <w:ilvl w:val="1"/>
          <w:numId w:val="1"/>
        </w:numPr>
        <w:ind w:firstLineChars="0"/>
        <w:rPr>
          <w:rFonts w:ascii="黑体" w:eastAsia="黑体" w:hAnsi="黑体"/>
          <w:sz w:val="18"/>
          <w:szCs w:val="18"/>
        </w:rPr>
      </w:pPr>
      <w:r w:rsidRPr="005F255F">
        <w:rPr>
          <w:rFonts w:ascii="黑体" w:eastAsia="黑体" w:hAnsi="黑体" w:hint="eastAsia"/>
          <w:sz w:val="18"/>
          <w:szCs w:val="18"/>
        </w:rPr>
        <w:t>就业人员数量分析</w:t>
      </w:r>
    </w:p>
    <w:p w14:paraId="4B1CCEFC" w14:textId="79EADFB3" w:rsidR="009F050C" w:rsidRPr="005F255F" w:rsidRDefault="005F255F" w:rsidP="005F255F">
      <w:pPr>
        <w:pStyle w:val="a9"/>
        <w:spacing w:after="0" w:line="400" w:lineRule="exact"/>
        <w:ind w:firstLine="357"/>
        <w:rPr>
          <w:rFonts w:ascii="宋体" w:hAnsi="宋体"/>
          <w:color w:val="C00000"/>
          <w:sz w:val="18"/>
          <w:szCs w:val="18"/>
        </w:rPr>
      </w:pPr>
      <w:r w:rsidRPr="005F255F">
        <w:rPr>
          <w:rFonts w:ascii="宋体" w:hAnsi="宋体" w:hint="eastAsia"/>
          <w:sz w:val="18"/>
          <w:szCs w:val="18"/>
        </w:rPr>
        <w:t>根据国家统计局的按经济类型分城镇就业人员数据，城镇单位就业人员可分为国有单位就业人员、城镇集体单位就业人员和其他单位就业人员</w:t>
      </w:r>
      <w:r w:rsidR="00E819B5">
        <w:rPr>
          <w:rFonts w:ascii="宋体" w:hAnsi="宋体" w:hint="eastAsia"/>
          <w:sz w:val="18"/>
          <w:szCs w:val="18"/>
          <w:vertAlign w:val="superscript"/>
        </w:rPr>
        <w:t>[</w:t>
      </w:r>
      <w:r w:rsidR="00E819B5">
        <w:rPr>
          <w:rFonts w:ascii="宋体" w:hAnsi="宋体"/>
          <w:sz w:val="18"/>
          <w:szCs w:val="18"/>
          <w:vertAlign w:val="superscript"/>
        </w:rPr>
        <w:t>2]</w:t>
      </w:r>
      <w:r w:rsidRPr="005F255F">
        <w:rPr>
          <w:rFonts w:ascii="宋体" w:hAnsi="宋体" w:hint="eastAsia"/>
          <w:sz w:val="18"/>
          <w:szCs w:val="18"/>
        </w:rPr>
        <w:t>。在对比信息传输、软件和信息技术服务业（下简称“信息行业”）城镇单位就业人员与全部就业人员整体薪资、分析信息行业从业人员薪资变化前，比较就业人员数量变化情况，可以更全面地考虑信息行业在全部行业中的从业人数和薪资水平的变化情况</w:t>
      </w:r>
      <w:r w:rsidR="005C2348">
        <w:rPr>
          <w:rFonts w:ascii="宋体" w:hAnsi="宋体" w:hint="eastAsia"/>
          <w:sz w:val="18"/>
          <w:szCs w:val="18"/>
        </w:rPr>
        <w:t>（见表1</w:t>
      </w:r>
      <w:r w:rsidR="00C56ED4">
        <w:rPr>
          <w:rFonts w:ascii="宋体" w:hAnsi="宋体" w:hint="eastAsia"/>
          <w:sz w:val="18"/>
          <w:szCs w:val="18"/>
        </w:rPr>
        <w:t>、图1</w:t>
      </w:r>
      <w:r w:rsidR="005C2348">
        <w:rPr>
          <w:rFonts w:ascii="宋体" w:hAnsi="宋体" w:hint="eastAsia"/>
          <w:sz w:val="18"/>
          <w:szCs w:val="18"/>
        </w:rPr>
        <w:t>）</w:t>
      </w:r>
      <w:r w:rsidRPr="005F255F">
        <w:rPr>
          <w:rFonts w:ascii="宋体" w:hAnsi="宋体" w:hint="eastAsia"/>
          <w:sz w:val="18"/>
          <w:szCs w:val="18"/>
        </w:rPr>
        <w:t>。</w:t>
      </w:r>
    </w:p>
    <w:p w14:paraId="6EB52DBB" w14:textId="77777777" w:rsidR="005C2348" w:rsidRDefault="005C2348">
      <w:pPr>
        <w:pStyle w:val="a9"/>
        <w:spacing w:after="0" w:line="240" w:lineRule="atLeast"/>
        <w:jc w:val="center"/>
        <w:rPr>
          <w:rFonts w:ascii="宋体" w:hAnsi="宋体"/>
          <w:sz w:val="15"/>
          <w:szCs w:val="15"/>
        </w:rPr>
        <w:sectPr w:rsidR="005C2348" w:rsidSect="00343EE5">
          <w:type w:val="continuous"/>
          <w:pgSz w:w="11906" w:h="16838"/>
          <w:pgMar w:top="1440" w:right="1080" w:bottom="1440" w:left="1080" w:header="708" w:footer="708" w:gutter="0"/>
          <w:cols w:num="2" w:space="708"/>
          <w:titlePg/>
          <w:docGrid w:type="lines" w:linePitch="360"/>
        </w:sectPr>
      </w:pPr>
    </w:p>
    <w:p w14:paraId="3BD9A738" w14:textId="77777777" w:rsidR="00734163" w:rsidRDefault="00734163">
      <w:pPr>
        <w:pStyle w:val="a9"/>
        <w:spacing w:after="0" w:line="240" w:lineRule="atLeast"/>
        <w:jc w:val="center"/>
        <w:rPr>
          <w:rFonts w:ascii="宋体" w:hAnsi="宋体"/>
          <w:sz w:val="15"/>
          <w:szCs w:val="15"/>
        </w:rPr>
      </w:pPr>
    </w:p>
    <w:p w14:paraId="4CC60FCC" w14:textId="41678803" w:rsidR="005C2348" w:rsidRPr="005C2348" w:rsidRDefault="005C2348">
      <w:pPr>
        <w:pStyle w:val="a9"/>
        <w:spacing w:after="0" w:line="240" w:lineRule="atLeast"/>
        <w:jc w:val="center"/>
        <w:rPr>
          <w:rFonts w:ascii="宋体" w:hAnsi="宋体"/>
          <w:sz w:val="15"/>
          <w:szCs w:val="15"/>
        </w:rPr>
      </w:pPr>
      <w:r w:rsidRPr="005C2348">
        <w:rPr>
          <w:rFonts w:ascii="宋体" w:hAnsi="宋体" w:hint="eastAsia"/>
          <w:sz w:val="15"/>
          <w:szCs w:val="15"/>
        </w:rPr>
        <w:t>表1</w:t>
      </w:r>
      <w:r w:rsidRPr="005C2348">
        <w:rPr>
          <w:rFonts w:ascii="宋体" w:hAnsi="宋体"/>
          <w:sz w:val="15"/>
          <w:szCs w:val="15"/>
        </w:rPr>
        <w:t xml:space="preserve"> </w:t>
      </w:r>
      <w:r w:rsidRPr="005C2348">
        <w:rPr>
          <w:rFonts w:ascii="宋体" w:hAnsi="宋体" w:hint="eastAsia"/>
          <w:sz w:val="15"/>
          <w:szCs w:val="15"/>
        </w:rPr>
        <w:t>近1</w:t>
      </w:r>
      <w:r w:rsidRPr="005C2348">
        <w:rPr>
          <w:rFonts w:ascii="宋体" w:hAnsi="宋体"/>
          <w:sz w:val="15"/>
          <w:szCs w:val="15"/>
        </w:rPr>
        <w:t>0</w:t>
      </w:r>
      <w:r w:rsidRPr="005C2348">
        <w:rPr>
          <w:rFonts w:ascii="宋体" w:hAnsi="宋体" w:hint="eastAsia"/>
          <w:sz w:val="15"/>
          <w:szCs w:val="15"/>
        </w:rPr>
        <w:t>年城镇单位就业人员数量</w:t>
      </w:r>
    </w:p>
    <w:tbl>
      <w:tblPr>
        <w:tblStyle w:val="20"/>
        <w:tblW w:w="9828" w:type="dxa"/>
        <w:jc w:val="center"/>
        <w:tblLook w:val="0620" w:firstRow="1" w:lastRow="0" w:firstColumn="0" w:lastColumn="0" w:noHBand="1" w:noVBand="1"/>
      </w:tblPr>
      <w:tblGrid>
        <w:gridCol w:w="2944"/>
        <w:gridCol w:w="771"/>
        <w:gridCol w:w="771"/>
        <w:gridCol w:w="771"/>
        <w:gridCol w:w="771"/>
        <w:gridCol w:w="771"/>
        <w:gridCol w:w="771"/>
        <w:gridCol w:w="771"/>
        <w:gridCol w:w="771"/>
        <w:gridCol w:w="716"/>
      </w:tblGrid>
      <w:tr w:rsidR="005C2348" w:rsidRPr="005C2348" w14:paraId="419311EF" w14:textId="77777777" w:rsidTr="00343EE5">
        <w:trPr>
          <w:cnfStyle w:val="100000000000" w:firstRow="1" w:lastRow="0" w:firstColumn="0" w:lastColumn="0" w:oddVBand="0" w:evenVBand="0" w:oddHBand="0" w:evenHBand="0" w:firstRowFirstColumn="0" w:firstRowLastColumn="0" w:lastRowFirstColumn="0" w:lastRowLastColumn="0"/>
          <w:trHeight w:val="242"/>
          <w:jc w:val="center"/>
        </w:trPr>
        <w:tc>
          <w:tcPr>
            <w:tcW w:w="2944" w:type="dxa"/>
            <w:tcBorders>
              <w:top w:val="single" w:sz="8" w:space="0" w:color="auto"/>
            </w:tcBorders>
            <w:noWrap/>
            <w:vAlign w:val="center"/>
            <w:hideMark/>
          </w:tcPr>
          <w:p w14:paraId="422DDDEC" w14:textId="77777777" w:rsidR="005C2348" w:rsidRPr="001269A3" w:rsidRDefault="005C2348" w:rsidP="005C2348">
            <w:pPr>
              <w:jc w:val="center"/>
              <w:rPr>
                <w:rFonts w:ascii="宋体" w:eastAsia="宋体" w:hAnsi="宋体" w:cs="Arial"/>
                <w:b w:val="0"/>
                <w:bCs w:val="0"/>
                <w:kern w:val="0"/>
                <w:sz w:val="15"/>
                <w:szCs w:val="15"/>
              </w:rPr>
            </w:pPr>
            <w:r w:rsidRPr="005C2348">
              <w:rPr>
                <w:rFonts w:ascii="宋体" w:eastAsia="宋体" w:hAnsi="宋体" w:cs="Arial" w:hint="eastAsia"/>
                <w:b w:val="0"/>
                <w:bCs w:val="0"/>
                <w:kern w:val="0"/>
                <w:sz w:val="15"/>
                <w:szCs w:val="15"/>
              </w:rPr>
              <w:t>年份</w:t>
            </w:r>
          </w:p>
        </w:tc>
        <w:tc>
          <w:tcPr>
            <w:tcW w:w="771" w:type="dxa"/>
            <w:tcBorders>
              <w:top w:val="single" w:sz="8" w:space="0" w:color="auto"/>
            </w:tcBorders>
            <w:noWrap/>
            <w:vAlign w:val="center"/>
            <w:hideMark/>
          </w:tcPr>
          <w:p w14:paraId="74A7909B" w14:textId="77777777" w:rsidR="005C2348" w:rsidRPr="001269A3" w:rsidRDefault="005C2348" w:rsidP="005C2348">
            <w:pPr>
              <w:jc w:val="center"/>
              <w:rPr>
                <w:rFonts w:ascii="宋体" w:eastAsia="宋体" w:hAnsi="宋体" w:cs="Arial"/>
                <w:b w:val="0"/>
                <w:bCs w:val="0"/>
                <w:kern w:val="0"/>
                <w:sz w:val="15"/>
                <w:szCs w:val="15"/>
              </w:rPr>
            </w:pPr>
            <w:r w:rsidRPr="001269A3">
              <w:rPr>
                <w:rFonts w:ascii="宋体" w:eastAsia="宋体" w:hAnsi="宋体" w:cs="Arial" w:hint="eastAsia"/>
                <w:b w:val="0"/>
                <w:bCs w:val="0"/>
                <w:kern w:val="0"/>
                <w:sz w:val="15"/>
                <w:szCs w:val="15"/>
              </w:rPr>
              <w:t>2011</w:t>
            </w:r>
          </w:p>
        </w:tc>
        <w:tc>
          <w:tcPr>
            <w:tcW w:w="771" w:type="dxa"/>
            <w:tcBorders>
              <w:top w:val="single" w:sz="8" w:space="0" w:color="auto"/>
            </w:tcBorders>
            <w:noWrap/>
            <w:vAlign w:val="center"/>
            <w:hideMark/>
          </w:tcPr>
          <w:p w14:paraId="5B637D66" w14:textId="77777777" w:rsidR="005C2348" w:rsidRPr="001269A3" w:rsidRDefault="005C2348" w:rsidP="005C2348">
            <w:pPr>
              <w:jc w:val="center"/>
              <w:rPr>
                <w:rFonts w:ascii="宋体" w:eastAsia="宋体" w:hAnsi="宋体" w:cs="Arial"/>
                <w:b w:val="0"/>
                <w:bCs w:val="0"/>
                <w:kern w:val="0"/>
                <w:sz w:val="15"/>
                <w:szCs w:val="15"/>
              </w:rPr>
            </w:pPr>
            <w:r w:rsidRPr="001269A3">
              <w:rPr>
                <w:rFonts w:ascii="宋体" w:eastAsia="宋体" w:hAnsi="宋体" w:cs="Arial" w:hint="eastAsia"/>
                <w:b w:val="0"/>
                <w:bCs w:val="0"/>
                <w:kern w:val="0"/>
                <w:sz w:val="15"/>
                <w:szCs w:val="15"/>
              </w:rPr>
              <w:t>2012</w:t>
            </w:r>
          </w:p>
        </w:tc>
        <w:tc>
          <w:tcPr>
            <w:tcW w:w="771" w:type="dxa"/>
            <w:tcBorders>
              <w:top w:val="single" w:sz="8" w:space="0" w:color="auto"/>
            </w:tcBorders>
            <w:noWrap/>
            <w:vAlign w:val="center"/>
            <w:hideMark/>
          </w:tcPr>
          <w:p w14:paraId="12CE8BE6" w14:textId="77777777" w:rsidR="005C2348" w:rsidRPr="001269A3" w:rsidRDefault="005C2348" w:rsidP="005C2348">
            <w:pPr>
              <w:jc w:val="center"/>
              <w:rPr>
                <w:rFonts w:ascii="宋体" w:eastAsia="宋体" w:hAnsi="宋体" w:cs="Arial"/>
                <w:b w:val="0"/>
                <w:bCs w:val="0"/>
                <w:kern w:val="0"/>
                <w:sz w:val="15"/>
                <w:szCs w:val="15"/>
              </w:rPr>
            </w:pPr>
            <w:r w:rsidRPr="001269A3">
              <w:rPr>
                <w:rFonts w:ascii="宋体" w:eastAsia="宋体" w:hAnsi="宋体" w:cs="Arial" w:hint="eastAsia"/>
                <w:b w:val="0"/>
                <w:bCs w:val="0"/>
                <w:kern w:val="0"/>
                <w:sz w:val="15"/>
                <w:szCs w:val="15"/>
              </w:rPr>
              <w:t>2013</w:t>
            </w:r>
          </w:p>
        </w:tc>
        <w:tc>
          <w:tcPr>
            <w:tcW w:w="771" w:type="dxa"/>
            <w:tcBorders>
              <w:top w:val="single" w:sz="8" w:space="0" w:color="auto"/>
            </w:tcBorders>
            <w:noWrap/>
            <w:vAlign w:val="center"/>
            <w:hideMark/>
          </w:tcPr>
          <w:p w14:paraId="18D9A1DE" w14:textId="77777777" w:rsidR="005C2348" w:rsidRPr="001269A3" w:rsidRDefault="005C2348" w:rsidP="005C2348">
            <w:pPr>
              <w:jc w:val="center"/>
              <w:rPr>
                <w:rFonts w:ascii="宋体" w:eastAsia="宋体" w:hAnsi="宋体" w:cs="Arial"/>
                <w:b w:val="0"/>
                <w:bCs w:val="0"/>
                <w:kern w:val="0"/>
                <w:sz w:val="15"/>
                <w:szCs w:val="15"/>
              </w:rPr>
            </w:pPr>
            <w:r w:rsidRPr="001269A3">
              <w:rPr>
                <w:rFonts w:ascii="宋体" w:eastAsia="宋体" w:hAnsi="宋体" w:cs="Arial" w:hint="eastAsia"/>
                <w:b w:val="0"/>
                <w:bCs w:val="0"/>
                <w:kern w:val="0"/>
                <w:sz w:val="15"/>
                <w:szCs w:val="15"/>
              </w:rPr>
              <w:t>2014</w:t>
            </w:r>
          </w:p>
        </w:tc>
        <w:tc>
          <w:tcPr>
            <w:tcW w:w="771" w:type="dxa"/>
            <w:tcBorders>
              <w:top w:val="single" w:sz="8" w:space="0" w:color="auto"/>
            </w:tcBorders>
            <w:noWrap/>
            <w:vAlign w:val="center"/>
            <w:hideMark/>
          </w:tcPr>
          <w:p w14:paraId="702374AC" w14:textId="77777777" w:rsidR="005C2348" w:rsidRPr="001269A3" w:rsidRDefault="005C2348" w:rsidP="005C2348">
            <w:pPr>
              <w:jc w:val="center"/>
              <w:rPr>
                <w:rFonts w:ascii="宋体" w:eastAsia="宋体" w:hAnsi="宋体" w:cs="Arial"/>
                <w:b w:val="0"/>
                <w:bCs w:val="0"/>
                <w:kern w:val="0"/>
                <w:sz w:val="15"/>
                <w:szCs w:val="15"/>
              </w:rPr>
            </w:pPr>
            <w:r w:rsidRPr="001269A3">
              <w:rPr>
                <w:rFonts w:ascii="宋体" w:eastAsia="宋体" w:hAnsi="宋体" w:cs="Arial" w:hint="eastAsia"/>
                <w:b w:val="0"/>
                <w:bCs w:val="0"/>
                <w:kern w:val="0"/>
                <w:sz w:val="15"/>
                <w:szCs w:val="15"/>
              </w:rPr>
              <w:t>2015</w:t>
            </w:r>
          </w:p>
        </w:tc>
        <w:tc>
          <w:tcPr>
            <w:tcW w:w="771" w:type="dxa"/>
            <w:tcBorders>
              <w:top w:val="single" w:sz="8" w:space="0" w:color="auto"/>
            </w:tcBorders>
            <w:noWrap/>
            <w:vAlign w:val="center"/>
            <w:hideMark/>
          </w:tcPr>
          <w:p w14:paraId="1B3FDF13" w14:textId="77777777" w:rsidR="005C2348" w:rsidRPr="001269A3" w:rsidRDefault="005C2348" w:rsidP="005C2348">
            <w:pPr>
              <w:jc w:val="center"/>
              <w:rPr>
                <w:rFonts w:ascii="宋体" w:eastAsia="宋体" w:hAnsi="宋体" w:cs="Arial"/>
                <w:b w:val="0"/>
                <w:bCs w:val="0"/>
                <w:kern w:val="0"/>
                <w:sz w:val="15"/>
                <w:szCs w:val="15"/>
              </w:rPr>
            </w:pPr>
            <w:r w:rsidRPr="001269A3">
              <w:rPr>
                <w:rFonts w:ascii="宋体" w:eastAsia="宋体" w:hAnsi="宋体" w:cs="Arial" w:hint="eastAsia"/>
                <w:b w:val="0"/>
                <w:bCs w:val="0"/>
                <w:kern w:val="0"/>
                <w:sz w:val="15"/>
                <w:szCs w:val="15"/>
              </w:rPr>
              <w:t>2016</w:t>
            </w:r>
          </w:p>
        </w:tc>
        <w:tc>
          <w:tcPr>
            <w:tcW w:w="771" w:type="dxa"/>
            <w:tcBorders>
              <w:top w:val="single" w:sz="8" w:space="0" w:color="auto"/>
            </w:tcBorders>
            <w:noWrap/>
            <w:vAlign w:val="center"/>
            <w:hideMark/>
          </w:tcPr>
          <w:p w14:paraId="7C5DA7A7" w14:textId="77777777" w:rsidR="005C2348" w:rsidRPr="001269A3" w:rsidRDefault="005C2348" w:rsidP="005C2348">
            <w:pPr>
              <w:jc w:val="center"/>
              <w:rPr>
                <w:rFonts w:ascii="宋体" w:eastAsia="宋体" w:hAnsi="宋体" w:cs="Arial"/>
                <w:b w:val="0"/>
                <w:bCs w:val="0"/>
                <w:kern w:val="0"/>
                <w:sz w:val="15"/>
                <w:szCs w:val="15"/>
              </w:rPr>
            </w:pPr>
            <w:r w:rsidRPr="001269A3">
              <w:rPr>
                <w:rFonts w:ascii="宋体" w:eastAsia="宋体" w:hAnsi="宋体" w:cs="Arial" w:hint="eastAsia"/>
                <w:b w:val="0"/>
                <w:bCs w:val="0"/>
                <w:kern w:val="0"/>
                <w:sz w:val="15"/>
                <w:szCs w:val="15"/>
              </w:rPr>
              <w:t>2017</w:t>
            </w:r>
          </w:p>
        </w:tc>
        <w:tc>
          <w:tcPr>
            <w:tcW w:w="771" w:type="dxa"/>
            <w:tcBorders>
              <w:top w:val="single" w:sz="8" w:space="0" w:color="auto"/>
            </w:tcBorders>
            <w:noWrap/>
            <w:vAlign w:val="center"/>
            <w:hideMark/>
          </w:tcPr>
          <w:p w14:paraId="2FF5A403" w14:textId="77777777" w:rsidR="005C2348" w:rsidRPr="001269A3" w:rsidRDefault="005C2348" w:rsidP="005C2348">
            <w:pPr>
              <w:jc w:val="center"/>
              <w:rPr>
                <w:rFonts w:ascii="宋体" w:eastAsia="宋体" w:hAnsi="宋体" w:cs="Arial"/>
                <w:b w:val="0"/>
                <w:bCs w:val="0"/>
                <w:kern w:val="0"/>
                <w:sz w:val="15"/>
                <w:szCs w:val="15"/>
              </w:rPr>
            </w:pPr>
            <w:r w:rsidRPr="001269A3">
              <w:rPr>
                <w:rFonts w:ascii="宋体" w:eastAsia="宋体" w:hAnsi="宋体" w:cs="Arial" w:hint="eastAsia"/>
                <w:b w:val="0"/>
                <w:bCs w:val="0"/>
                <w:kern w:val="0"/>
                <w:sz w:val="15"/>
                <w:szCs w:val="15"/>
              </w:rPr>
              <w:t>2018</w:t>
            </w:r>
          </w:p>
        </w:tc>
        <w:tc>
          <w:tcPr>
            <w:tcW w:w="716" w:type="dxa"/>
            <w:tcBorders>
              <w:top w:val="single" w:sz="8" w:space="0" w:color="auto"/>
            </w:tcBorders>
            <w:noWrap/>
            <w:vAlign w:val="center"/>
            <w:hideMark/>
          </w:tcPr>
          <w:p w14:paraId="7DA1C1C1" w14:textId="77777777" w:rsidR="005C2348" w:rsidRPr="001269A3" w:rsidRDefault="005C2348" w:rsidP="005C2348">
            <w:pPr>
              <w:jc w:val="center"/>
              <w:rPr>
                <w:rFonts w:ascii="宋体" w:eastAsia="宋体" w:hAnsi="宋体" w:cs="Arial"/>
                <w:b w:val="0"/>
                <w:bCs w:val="0"/>
                <w:kern w:val="0"/>
                <w:sz w:val="15"/>
                <w:szCs w:val="15"/>
              </w:rPr>
            </w:pPr>
            <w:r w:rsidRPr="001269A3">
              <w:rPr>
                <w:rFonts w:ascii="宋体" w:eastAsia="宋体" w:hAnsi="宋体" w:cs="Arial" w:hint="eastAsia"/>
                <w:b w:val="0"/>
                <w:bCs w:val="0"/>
                <w:kern w:val="0"/>
                <w:sz w:val="15"/>
                <w:szCs w:val="15"/>
              </w:rPr>
              <w:t>2019</w:t>
            </w:r>
          </w:p>
        </w:tc>
      </w:tr>
      <w:tr w:rsidR="005C2348" w:rsidRPr="005C2348" w14:paraId="326E2F5F" w14:textId="77777777" w:rsidTr="00343EE5">
        <w:trPr>
          <w:trHeight w:val="242"/>
          <w:jc w:val="center"/>
        </w:trPr>
        <w:tc>
          <w:tcPr>
            <w:tcW w:w="2944" w:type="dxa"/>
            <w:noWrap/>
            <w:vAlign w:val="center"/>
            <w:hideMark/>
          </w:tcPr>
          <w:p w14:paraId="4223CB60" w14:textId="77777777" w:rsidR="005C2348" w:rsidRPr="001269A3" w:rsidRDefault="005C2348" w:rsidP="005C2348">
            <w:pPr>
              <w:jc w:val="center"/>
              <w:rPr>
                <w:rFonts w:ascii="宋体" w:eastAsia="宋体" w:hAnsi="宋体" w:cs="Arial"/>
                <w:kern w:val="0"/>
                <w:sz w:val="15"/>
                <w:szCs w:val="15"/>
              </w:rPr>
            </w:pPr>
            <w:r w:rsidRPr="001269A3">
              <w:rPr>
                <w:rFonts w:ascii="宋体" w:eastAsia="宋体" w:hAnsi="宋体" w:cs="Arial" w:hint="eastAsia"/>
                <w:kern w:val="0"/>
                <w:sz w:val="15"/>
                <w:szCs w:val="15"/>
              </w:rPr>
              <w:t>城镇单位就业人员(万人)</w:t>
            </w:r>
          </w:p>
        </w:tc>
        <w:tc>
          <w:tcPr>
            <w:tcW w:w="771" w:type="dxa"/>
            <w:noWrap/>
            <w:vAlign w:val="center"/>
            <w:hideMark/>
          </w:tcPr>
          <w:p w14:paraId="723DFBA3" w14:textId="77777777" w:rsidR="005C2348" w:rsidRPr="001269A3" w:rsidRDefault="005C2348" w:rsidP="005C2348">
            <w:pPr>
              <w:jc w:val="center"/>
              <w:rPr>
                <w:rFonts w:ascii="宋体" w:eastAsia="宋体" w:hAnsi="宋体" w:cs="Arial"/>
                <w:kern w:val="0"/>
                <w:sz w:val="15"/>
                <w:szCs w:val="15"/>
              </w:rPr>
            </w:pPr>
            <w:r w:rsidRPr="001269A3">
              <w:rPr>
                <w:rFonts w:ascii="宋体" w:eastAsia="宋体" w:hAnsi="宋体" w:cs="Arial" w:hint="eastAsia"/>
                <w:kern w:val="0"/>
                <w:sz w:val="15"/>
                <w:szCs w:val="15"/>
              </w:rPr>
              <w:t>14413</w:t>
            </w:r>
          </w:p>
        </w:tc>
        <w:tc>
          <w:tcPr>
            <w:tcW w:w="771" w:type="dxa"/>
            <w:noWrap/>
            <w:vAlign w:val="center"/>
            <w:hideMark/>
          </w:tcPr>
          <w:p w14:paraId="4EEB8D48" w14:textId="77777777" w:rsidR="005C2348" w:rsidRPr="001269A3" w:rsidRDefault="005C2348" w:rsidP="005C2348">
            <w:pPr>
              <w:jc w:val="center"/>
              <w:rPr>
                <w:rFonts w:ascii="宋体" w:eastAsia="宋体" w:hAnsi="宋体" w:cs="Arial"/>
                <w:kern w:val="0"/>
                <w:sz w:val="15"/>
                <w:szCs w:val="15"/>
              </w:rPr>
            </w:pPr>
            <w:r w:rsidRPr="001269A3">
              <w:rPr>
                <w:rFonts w:ascii="宋体" w:eastAsia="宋体" w:hAnsi="宋体" w:cs="Arial" w:hint="eastAsia"/>
                <w:kern w:val="0"/>
                <w:sz w:val="15"/>
                <w:szCs w:val="15"/>
              </w:rPr>
              <w:t>15236</w:t>
            </w:r>
          </w:p>
        </w:tc>
        <w:tc>
          <w:tcPr>
            <w:tcW w:w="771" w:type="dxa"/>
            <w:noWrap/>
            <w:vAlign w:val="center"/>
            <w:hideMark/>
          </w:tcPr>
          <w:p w14:paraId="3D97E0BE" w14:textId="77777777" w:rsidR="005C2348" w:rsidRPr="001269A3" w:rsidRDefault="005C2348" w:rsidP="005C2348">
            <w:pPr>
              <w:jc w:val="center"/>
              <w:rPr>
                <w:rFonts w:ascii="宋体" w:eastAsia="宋体" w:hAnsi="宋体" w:cs="Arial"/>
                <w:kern w:val="0"/>
                <w:sz w:val="15"/>
                <w:szCs w:val="15"/>
              </w:rPr>
            </w:pPr>
            <w:r w:rsidRPr="001269A3">
              <w:rPr>
                <w:rFonts w:ascii="宋体" w:eastAsia="宋体" w:hAnsi="宋体" w:cs="Arial" w:hint="eastAsia"/>
                <w:kern w:val="0"/>
                <w:sz w:val="15"/>
                <w:szCs w:val="15"/>
              </w:rPr>
              <w:t>18108</w:t>
            </w:r>
          </w:p>
        </w:tc>
        <w:tc>
          <w:tcPr>
            <w:tcW w:w="771" w:type="dxa"/>
            <w:noWrap/>
            <w:vAlign w:val="center"/>
            <w:hideMark/>
          </w:tcPr>
          <w:p w14:paraId="0695ADD9" w14:textId="77777777" w:rsidR="005C2348" w:rsidRPr="001269A3" w:rsidRDefault="005C2348" w:rsidP="005C2348">
            <w:pPr>
              <w:jc w:val="center"/>
              <w:rPr>
                <w:rFonts w:ascii="宋体" w:eastAsia="宋体" w:hAnsi="宋体" w:cs="Arial"/>
                <w:kern w:val="0"/>
                <w:sz w:val="15"/>
                <w:szCs w:val="15"/>
              </w:rPr>
            </w:pPr>
            <w:r w:rsidRPr="001269A3">
              <w:rPr>
                <w:rFonts w:ascii="宋体" w:eastAsia="宋体" w:hAnsi="宋体" w:cs="Arial" w:hint="eastAsia"/>
                <w:kern w:val="0"/>
                <w:sz w:val="15"/>
                <w:szCs w:val="15"/>
              </w:rPr>
              <w:t>18278</w:t>
            </w:r>
          </w:p>
        </w:tc>
        <w:tc>
          <w:tcPr>
            <w:tcW w:w="771" w:type="dxa"/>
            <w:noWrap/>
            <w:vAlign w:val="center"/>
            <w:hideMark/>
          </w:tcPr>
          <w:p w14:paraId="373B029F" w14:textId="77777777" w:rsidR="005C2348" w:rsidRPr="001269A3" w:rsidRDefault="005C2348" w:rsidP="005C2348">
            <w:pPr>
              <w:jc w:val="center"/>
              <w:rPr>
                <w:rFonts w:ascii="宋体" w:eastAsia="宋体" w:hAnsi="宋体" w:cs="Arial"/>
                <w:kern w:val="0"/>
                <w:sz w:val="15"/>
                <w:szCs w:val="15"/>
              </w:rPr>
            </w:pPr>
            <w:r w:rsidRPr="001269A3">
              <w:rPr>
                <w:rFonts w:ascii="宋体" w:eastAsia="宋体" w:hAnsi="宋体" w:cs="Arial" w:hint="eastAsia"/>
                <w:kern w:val="0"/>
                <w:sz w:val="15"/>
                <w:szCs w:val="15"/>
              </w:rPr>
              <w:t>18062</w:t>
            </w:r>
          </w:p>
        </w:tc>
        <w:tc>
          <w:tcPr>
            <w:tcW w:w="771" w:type="dxa"/>
            <w:noWrap/>
            <w:vAlign w:val="center"/>
            <w:hideMark/>
          </w:tcPr>
          <w:p w14:paraId="6DE06EB7" w14:textId="77777777" w:rsidR="005C2348" w:rsidRPr="001269A3" w:rsidRDefault="005C2348" w:rsidP="005C2348">
            <w:pPr>
              <w:jc w:val="center"/>
              <w:rPr>
                <w:rFonts w:ascii="宋体" w:eastAsia="宋体" w:hAnsi="宋体" w:cs="Arial"/>
                <w:kern w:val="0"/>
                <w:sz w:val="15"/>
                <w:szCs w:val="15"/>
              </w:rPr>
            </w:pPr>
            <w:r w:rsidRPr="001269A3">
              <w:rPr>
                <w:rFonts w:ascii="宋体" w:eastAsia="宋体" w:hAnsi="宋体" w:cs="Arial" w:hint="eastAsia"/>
                <w:kern w:val="0"/>
                <w:sz w:val="15"/>
                <w:szCs w:val="15"/>
              </w:rPr>
              <w:t>17888</w:t>
            </w:r>
          </w:p>
        </w:tc>
        <w:tc>
          <w:tcPr>
            <w:tcW w:w="771" w:type="dxa"/>
            <w:noWrap/>
            <w:vAlign w:val="center"/>
            <w:hideMark/>
          </w:tcPr>
          <w:p w14:paraId="56046455" w14:textId="77777777" w:rsidR="005C2348" w:rsidRPr="001269A3" w:rsidRDefault="005C2348" w:rsidP="005C2348">
            <w:pPr>
              <w:jc w:val="center"/>
              <w:rPr>
                <w:rFonts w:ascii="宋体" w:eastAsia="宋体" w:hAnsi="宋体" w:cs="Arial"/>
                <w:kern w:val="0"/>
                <w:sz w:val="15"/>
                <w:szCs w:val="15"/>
              </w:rPr>
            </w:pPr>
            <w:r w:rsidRPr="001269A3">
              <w:rPr>
                <w:rFonts w:ascii="宋体" w:eastAsia="宋体" w:hAnsi="宋体" w:cs="Arial" w:hint="eastAsia"/>
                <w:kern w:val="0"/>
                <w:sz w:val="15"/>
                <w:szCs w:val="15"/>
              </w:rPr>
              <w:t>17644</w:t>
            </w:r>
          </w:p>
        </w:tc>
        <w:tc>
          <w:tcPr>
            <w:tcW w:w="771" w:type="dxa"/>
            <w:noWrap/>
            <w:vAlign w:val="center"/>
            <w:hideMark/>
          </w:tcPr>
          <w:p w14:paraId="0189E27B" w14:textId="77777777" w:rsidR="005C2348" w:rsidRPr="001269A3" w:rsidRDefault="005C2348" w:rsidP="005C2348">
            <w:pPr>
              <w:jc w:val="center"/>
              <w:rPr>
                <w:rFonts w:ascii="宋体" w:eastAsia="宋体" w:hAnsi="宋体" w:cs="Arial"/>
                <w:kern w:val="0"/>
                <w:sz w:val="15"/>
                <w:szCs w:val="15"/>
              </w:rPr>
            </w:pPr>
            <w:r w:rsidRPr="001269A3">
              <w:rPr>
                <w:rFonts w:ascii="宋体" w:eastAsia="宋体" w:hAnsi="宋体" w:cs="Arial" w:hint="eastAsia"/>
                <w:kern w:val="0"/>
                <w:sz w:val="15"/>
                <w:szCs w:val="15"/>
              </w:rPr>
              <w:t>17258</w:t>
            </w:r>
          </w:p>
        </w:tc>
        <w:tc>
          <w:tcPr>
            <w:tcW w:w="716" w:type="dxa"/>
            <w:noWrap/>
            <w:vAlign w:val="center"/>
            <w:hideMark/>
          </w:tcPr>
          <w:p w14:paraId="21C234BE" w14:textId="77777777" w:rsidR="005C2348" w:rsidRPr="001269A3" w:rsidRDefault="005C2348" w:rsidP="005C2348">
            <w:pPr>
              <w:jc w:val="center"/>
              <w:rPr>
                <w:rFonts w:ascii="宋体" w:eastAsia="宋体" w:hAnsi="宋体" w:cs="Arial"/>
                <w:kern w:val="0"/>
                <w:sz w:val="15"/>
                <w:szCs w:val="15"/>
              </w:rPr>
            </w:pPr>
            <w:r w:rsidRPr="001269A3">
              <w:rPr>
                <w:rFonts w:ascii="宋体" w:eastAsia="宋体" w:hAnsi="宋体" w:cs="Arial" w:hint="eastAsia"/>
                <w:kern w:val="0"/>
                <w:sz w:val="15"/>
                <w:szCs w:val="15"/>
              </w:rPr>
              <w:t>17162</w:t>
            </w:r>
          </w:p>
        </w:tc>
      </w:tr>
      <w:tr w:rsidR="005C2348" w:rsidRPr="005C2348" w14:paraId="24C23FC1" w14:textId="77777777" w:rsidTr="00343EE5">
        <w:trPr>
          <w:trHeight w:val="242"/>
          <w:jc w:val="center"/>
        </w:trPr>
        <w:tc>
          <w:tcPr>
            <w:tcW w:w="2944" w:type="dxa"/>
            <w:noWrap/>
            <w:vAlign w:val="center"/>
            <w:hideMark/>
          </w:tcPr>
          <w:p w14:paraId="481C2664" w14:textId="77777777" w:rsidR="005C2348" w:rsidRPr="001269A3" w:rsidRDefault="005C2348" w:rsidP="005C2348">
            <w:pPr>
              <w:jc w:val="center"/>
              <w:rPr>
                <w:rFonts w:ascii="宋体" w:eastAsia="宋体" w:hAnsi="宋体" w:cs="Arial"/>
                <w:kern w:val="0"/>
                <w:sz w:val="15"/>
                <w:szCs w:val="15"/>
              </w:rPr>
            </w:pPr>
            <w:r w:rsidRPr="001269A3">
              <w:rPr>
                <w:rFonts w:ascii="宋体" w:eastAsia="宋体" w:hAnsi="宋体" w:cs="Arial" w:hint="eastAsia"/>
                <w:kern w:val="0"/>
                <w:sz w:val="15"/>
                <w:szCs w:val="15"/>
              </w:rPr>
              <w:t>信息传输、软件和信息技术服务业城镇单位就业人员(万人)</w:t>
            </w:r>
          </w:p>
        </w:tc>
        <w:tc>
          <w:tcPr>
            <w:tcW w:w="771" w:type="dxa"/>
            <w:noWrap/>
            <w:vAlign w:val="center"/>
            <w:hideMark/>
          </w:tcPr>
          <w:p w14:paraId="7AF9A879" w14:textId="77777777" w:rsidR="005C2348" w:rsidRPr="001269A3" w:rsidRDefault="005C2348" w:rsidP="005C2348">
            <w:pPr>
              <w:jc w:val="center"/>
              <w:rPr>
                <w:rFonts w:ascii="宋体" w:eastAsia="宋体" w:hAnsi="宋体" w:cs="Arial"/>
                <w:kern w:val="0"/>
                <w:sz w:val="15"/>
                <w:szCs w:val="15"/>
              </w:rPr>
            </w:pPr>
            <w:r w:rsidRPr="001269A3">
              <w:rPr>
                <w:rFonts w:ascii="宋体" w:eastAsia="宋体" w:hAnsi="宋体" w:cs="Arial" w:hint="eastAsia"/>
                <w:kern w:val="0"/>
                <w:sz w:val="15"/>
                <w:szCs w:val="15"/>
              </w:rPr>
              <w:t>213</w:t>
            </w:r>
          </w:p>
        </w:tc>
        <w:tc>
          <w:tcPr>
            <w:tcW w:w="771" w:type="dxa"/>
            <w:noWrap/>
            <w:vAlign w:val="center"/>
            <w:hideMark/>
          </w:tcPr>
          <w:p w14:paraId="56C11FE5" w14:textId="77777777" w:rsidR="005C2348" w:rsidRPr="001269A3" w:rsidRDefault="005C2348" w:rsidP="005C2348">
            <w:pPr>
              <w:jc w:val="center"/>
              <w:rPr>
                <w:rFonts w:ascii="宋体" w:eastAsia="宋体" w:hAnsi="宋体" w:cs="Arial"/>
                <w:kern w:val="0"/>
                <w:sz w:val="15"/>
                <w:szCs w:val="15"/>
              </w:rPr>
            </w:pPr>
            <w:r w:rsidRPr="001269A3">
              <w:rPr>
                <w:rFonts w:ascii="宋体" w:eastAsia="宋体" w:hAnsi="宋体" w:cs="Arial" w:hint="eastAsia"/>
                <w:kern w:val="0"/>
                <w:sz w:val="15"/>
                <w:szCs w:val="15"/>
              </w:rPr>
              <w:t>223</w:t>
            </w:r>
          </w:p>
        </w:tc>
        <w:tc>
          <w:tcPr>
            <w:tcW w:w="771" w:type="dxa"/>
            <w:noWrap/>
            <w:vAlign w:val="center"/>
            <w:hideMark/>
          </w:tcPr>
          <w:p w14:paraId="49F16A6F" w14:textId="77777777" w:rsidR="005C2348" w:rsidRPr="001269A3" w:rsidRDefault="005C2348" w:rsidP="005C2348">
            <w:pPr>
              <w:jc w:val="center"/>
              <w:rPr>
                <w:rFonts w:ascii="宋体" w:eastAsia="宋体" w:hAnsi="宋体" w:cs="Arial"/>
                <w:kern w:val="0"/>
                <w:sz w:val="15"/>
                <w:szCs w:val="15"/>
              </w:rPr>
            </w:pPr>
            <w:r w:rsidRPr="001269A3">
              <w:rPr>
                <w:rFonts w:ascii="宋体" w:eastAsia="宋体" w:hAnsi="宋体" w:cs="Arial" w:hint="eastAsia"/>
                <w:kern w:val="0"/>
                <w:sz w:val="15"/>
                <w:szCs w:val="15"/>
              </w:rPr>
              <w:t>327</w:t>
            </w:r>
          </w:p>
        </w:tc>
        <w:tc>
          <w:tcPr>
            <w:tcW w:w="771" w:type="dxa"/>
            <w:noWrap/>
            <w:vAlign w:val="center"/>
            <w:hideMark/>
          </w:tcPr>
          <w:p w14:paraId="4D8D00C9" w14:textId="77777777" w:rsidR="005C2348" w:rsidRPr="001269A3" w:rsidRDefault="005C2348" w:rsidP="005C2348">
            <w:pPr>
              <w:jc w:val="center"/>
              <w:rPr>
                <w:rFonts w:ascii="宋体" w:eastAsia="宋体" w:hAnsi="宋体" w:cs="Arial"/>
                <w:kern w:val="0"/>
                <w:sz w:val="15"/>
                <w:szCs w:val="15"/>
              </w:rPr>
            </w:pPr>
            <w:r w:rsidRPr="001269A3">
              <w:rPr>
                <w:rFonts w:ascii="宋体" w:eastAsia="宋体" w:hAnsi="宋体" w:cs="Arial" w:hint="eastAsia"/>
                <w:kern w:val="0"/>
                <w:sz w:val="15"/>
                <w:szCs w:val="15"/>
              </w:rPr>
              <w:t>336</w:t>
            </w:r>
          </w:p>
        </w:tc>
        <w:tc>
          <w:tcPr>
            <w:tcW w:w="771" w:type="dxa"/>
            <w:noWrap/>
            <w:vAlign w:val="center"/>
            <w:hideMark/>
          </w:tcPr>
          <w:p w14:paraId="3563FE67" w14:textId="77777777" w:rsidR="005C2348" w:rsidRPr="001269A3" w:rsidRDefault="005C2348" w:rsidP="005C2348">
            <w:pPr>
              <w:jc w:val="center"/>
              <w:rPr>
                <w:rFonts w:ascii="宋体" w:eastAsia="宋体" w:hAnsi="宋体" w:cs="Arial"/>
                <w:kern w:val="0"/>
                <w:sz w:val="15"/>
                <w:szCs w:val="15"/>
              </w:rPr>
            </w:pPr>
            <w:r w:rsidRPr="001269A3">
              <w:rPr>
                <w:rFonts w:ascii="宋体" w:eastAsia="宋体" w:hAnsi="宋体" w:cs="Arial" w:hint="eastAsia"/>
                <w:kern w:val="0"/>
                <w:sz w:val="15"/>
                <w:szCs w:val="15"/>
              </w:rPr>
              <w:t>350</w:t>
            </w:r>
          </w:p>
        </w:tc>
        <w:tc>
          <w:tcPr>
            <w:tcW w:w="771" w:type="dxa"/>
            <w:noWrap/>
            <w:vAlign w:val="center"/>
            <w:hideMark/>
          </w:tcPr>
          <w:p w14:paraId="58239806" w14:textId="77777777" w:rsidR="005C2348" w:rsidRPr="001269A3" w:rsidRDefault="005C2348" w:rsidP="005C2348">
            <w:pPr>
              <w:jc w:val="center"/>
              <w:rPr>
                <w:rFonts w:ascii="宋体" w:eastAsia="宋体" w:hAnsi="宋体" w:cs="Arial"/>
                <w:kern w:val="0"/>
                <w:sz w:val="15"/>
                <w:szCs w:val="15"/>
              </w:rPr>
            </w:pPr>
            <w:r w:rsidRPr="001269A3">
              <w:rPr>
                <w:rFonts w:ascii="宋体" w:eastAsia="宋体" w:hAnsi="宋体" w:cs="Arial" w:hint="eastAsia"/>
                <w:kern w:val="0"/>
                <w:sz w:val="15"/>
                <w:szCs w:val="15"/>
              </w:rPr>
              <w:t>364</w:t>
            </w:r>
          </w:p>
        </w:tc>
        <w:tc>
          <w:tcPr>
            <w:tcW w:w="771" w:type="dxa"/>
            <w:noWrap/>
            <w:vAlign w:val="center"/>
            <w:hideMark/>
          </w:tcPr>
          <w:p w14:paraId="688BF984" w14:textId="77777777" w:rsidR="005C2348" w:rsidRPr="001269A3" w:rsidRDefault="005C2348" w:rsidP="005C2348">
            <w:pPr>
              <w:jc w:val="center"/>
              <w:rPr>
                <w:rFonts w:ascii="宋体" w:eastAsia="宋体" w:hAnsi="宋体" w:cs="Arial"/>
                <w:kern w:val="0"/>
                <w:sz w:val="15"/>
                <w:szCs w:val="15"/>
              </w:rPr>
            </w:pPr>
            <w:r w:rsidRPr="001269A3">
              <w:rPr>
                <w:rFonts w:ascii="宋体" w:eastAsia="宋体" w:hAnsi="宋体" w:cs="Arial" w:hint="eastAsia"/>
                <w:kern w:val="0"/>
                <w:sz w:val="15"/>
                <w:szCs w:val="15"/>
              </w:rPr>
              <w:t>395</w:t>
            </w:r>
          </w:p>
        </w:tc>
        <w:tc>
          <w:tcPr>
            <w:tcW w:w="771" w:type="dxa"/>
            <w:noWrap/>
            <w:vAlign w:val="center"/>
            <w:hideMark/>
          </w:tcPr>
          <w:p w14:paraId="5CF026E6" w14:textId="77777777" w:rsidR="005C2348" w:rsidRPr="001269A3" w:rsidRDefault="005C2348" w:rsidP="005C2348">
            <w:pPr>
              <w:jc w:val="center"/>
              <w:rPr>
                <w:rFonts w:ascii="宋体" w:eastAsia="宋体" w:hAnsi="宋体" w:cs="Arial"/>
                <w:kern w:val="0"/>
                <w:sz w:val="15"/>
                <w:szCs w:val="15"/>
              </w:rPr>
            </w:pPr>
            <w:r w:rsidRPr="001269A3">
              <w:rPr>
                <w:rFonts w:ascii="宋体" w:eastAsia="宋体" w:hAnsi="宋体" w:cs="Arial" w:hint="eastAsia"/>
                <w:kern w:val="0"/>
                <w:sz w:val="15"/>
                <w:szCs w:val="15"/>
              </w:rPr>
              <w:t>424</w:t>
            </w:r>
          </w:p>
        </w:tc>
        <w:tc>
          <w:tcPr>
            <w:tcW w:w="716" w:type="dxa"/>
            <w:noWrap/>
            <w:vAlign w:val="center"/>
            <w:hideMark/>
          </w:tcPr>
          <w:p w14:paraId="04113F9E" w14:textId="77777777" w:rsidR="005C2348" w:rsidRPr="001269A3" w:rsidRDefault="005C2348" w:rsidP="005C2348">
            <w:pPr>
              <w:jc w:val="center"/>
              <w:rPr>
                <w:rFonts w:ascii="宋体" w:eastAsia="宋体" w:hAnsi="宋体" w:cs="Arial"/>
                <w:kern w:val="0"/>
                <w:sz w:val="15"/>
                <w:szCs w:val="15"/>
              </w:rPr>
            </w:pPr>
            <w:r w:rsidRPr="001269A3">
              <w:rPr>
                <w:rFonts w:ascii="宋体" w:eastAsia="宋体" w:hAnsi="宋体" w:cs="Arial" w:hint="eastAsia"/>
                <w:kern w:val="0"/>
                <w:sz w:val="15"/>
                <w:szCs w:val="15"/>
              </w:rPr>
              <w:t>455</w:t>
            </w:r>
          </w:p>
        </w:tc>
      </w:tr>
      <w:tr w:rsidR="005C2348" w:rsidRPr="005C2348" w14:paraId="5F8FB733" w14:textId="77777777" w:rsidTr="00343EE5">
        <w:trPr>
          <w:trHeight w:val="211"/>
          <w:jc w:val="center"/>
        </w:trPr>
        <w:tc>
          <w:tcPr>
            <w:tcW w:w="2944" w:type="dxa"/>
            <w:tcBorders>
              <w:bottom w:val="single" w:sz="8" w:space="0" w:color="auto"/>
            </w:tcBorders>
            <w:noWrap/>
            <w:vAlign w:val="center"/>
            <w:hideMark/>
          </w:tcPr>
          <w:p w14:paraId="4B14A129" w14:textId="77777777" w:rsidR="005C2348" w:rsidRPr="001269A3" w:rsidRDefault="005C2348" w:rsidP="005C2348">
            <w:pPr>
              <w:jc w:val="center"/>
              <w:rPr>
                <w:rFonts w:ascii="宋体" w:eastAsia="宋体" w:hAnsi="宋体" w:cs="Arial"/>
                <w:kern w:val="0"/>
                <w:sz w:val="15"/>
                <w:szCs w:val="15"/>
              </w:rPr>
            </w:pPr>
            <w:r w:rsidRPr="001269A3">
              <w:rPr>
                <w:rFonts w:ascii="宋体" w:eastAsia="宋体" w:hAnsi="宋体" w:cs="Arial" w:hint="eastAsia"/>
                <w:kern w:val="0"/>
                <w:sz w:val="15"/>
                <w:szCs w:val="15"/>
              </w:rPr>
              <w:t>信息行业就业人员占整体就业人员的比例</w:t>
            </w:r>
          </w:p>
        </w:tc>
        <w:tc>
          <w:tcPr>
            <w:tcW w:w="771" w:type="dxa"/>
            <w:tcBorders>
              <w:bottom w:val="single" w:sz="8" w:space="0" w:color="auto"/>
            </w:tcBorders>
            <w:noWrap/>
            <w:vAlign w:val="center"/>
            <w:hideMark/>
          </w:tcPr>
          <w:p w14:paraId="717777C2" w14:textId="77777777" w:rsidR="005C2348" w:rsidRPr="001269A3" w:rsidRDefault="005C2348" w:rsidP="005C2348">
            <w:pPr>
              <w:jc w:val="center"/>
              <w:rPr>
                <w:rFonts w:ascii="宋体" w:eastAsia="宋体" w:hAnsi="宋体" w:cs="Arial"/>
                <w:kern w:val="0"/>
                <w:sz w:val="15"/>
                <w:szCs w:val="15"/>
              </w:rPr>
            </w:pPr>
            <w:r w:rsidRPr="001269A3">
              <w:rPr>
                <w:rFonts w:ascii="宋体" w:eastAsia="宋体" w:hAnsi="宋体" w:cs="Arial" w:hint="eastAsia"/>
                <w:kern w:val="0"/>
                <w:sz w:val="15"/>
                <w:szCs w:val="15"/>
              </w:rPr>
              <w:t>1.48%</w:t>
            </w:r>
          </w:p>
        </w:tc>
        <w:tc>
          <w:tcPr>
            <w:tcW w:w="771" w:type="dxa"/>
            <w:tcBorders>
              <w:bottom w:val="single" w:sz="8" w:space="0" w:color="auto"/>
            </w:tcBorders>
            <w:noWrap/>
            <w:vAlign w:val="center"/>
            <w:hideMark/>
          </w:tcPr>
          <w:p w14:paraId="0F3A53D4" w14:textId="77777777" w:rsidR="005C2348" w:rsidRPr="001269A3" w:rsidRDefault="005C2348" w:rsidP="005C2348">
            <w:pPr>
              <w:jc w:val="center"/>
              <w:rPr>
                <w:rFonts w:ascii="宋体" w:eastAsia="宋体" w:hAnsi="宋体" w:cs="Arial"/>
                <w:kern w:val="0"/>
                <w:sz w:val="15"/>
                <w:szCs w:val="15"/>
              </w:rPr>
            </w:pPr>
            <w:r w:rsidRPr="001269A3">
              <w:rPr>
                <w:rFonts w:ascii="宋体" w:eastAsia="宋体" w:hAnsi="宋体" w:cs="Arial" w:hint="eastAsia"/>
                <w:kern w:val="0"/>
                <w:sz w:val="15"/>
                <w:szCs w:val="15"/>
              </w:rPr>
              <w:t>1.46%</w:t>
            </w:r>
          </w:p>
        </w:tc>
        <w:tc>
          <w:tcPr>
            <w:tcW w:w="771" w:type="dxa"/>
            <w:tcBorders>
              <w:bottom w:val="single" w:sz="8" w:space="0" w:color="auto"/>
            </w:tcBorders>
            <w:noWrap/>
            <w:vAlign w:val="center"/>
            <w:hideMark/>
          </w:tcPr>
          <w:p w14:paraId="4BAE935A" w14:textId="77777777" w:rsidR="005C2348" w:rsidRPr="001269A3" w:rsidRDefault="005C2348" w:rsidP="005C2348">
            <w:pPr>
              <w:jc w:val="center"/>
              <w:rPr>
                <w:rFonts w:ascii="宋体" w:eastAsia="宋体" w:hAnsi="宋体" w:cs="Arial"/>
                <w:kern w:val="0"/>
                <w:sz w:val="15"/>
                <w:szCs w:val="15"/>
              </w:rPr>
            </w:pPr>
            <w:r w:rsidRPr="001269A3">
              <w:rPr>
                <w:rFonts w:ascii="宋体" w:eastAsia="宋体" w:hAnsi="宋体" w:cs="Arial" w:hint="eastAsia"/>
                <w:kern w:val="0"/>
                <w:sz w:val="15"/>
                <w:szCs w:val="15"/>
              </w:rPr>
              <w:t>1.81%</w:t>
            </w:r>
          </w:p>
        </w:tc>
        <w:tc>
          <w:tcPr>
            <w:tcW w:w="771" w:type="dxa"/>
            <w:tcBorders>
              <w:bottom w:val="single" w:sz="8" w:space="0" w:color="auto"/>
            </w:tcBorders>
            <w:noWrap/>
            <w:vAlign w:val="center"/>
            <w:hideMark/>
          </w:tcPr>
          <w:p w14:paraId="0357CB66" w14:textId="77777777" w:rsidR="005C2348" w:rsidRPr="001269A3" w:rsidRDefault="005C2348" w:rsidP="005C2348">
            <w:pPr>
              <w:jc w:val="center"/>
              <w:rPr>
                <w:rFonts w:ascii="宋体" w:eastAsia="宋体" w:hAnsi="宋体" w:cs="Arial"/>
                <w:kern w:val="0"/>
                <w:sz w:val="15"/>
                <w:szCs w:val="15"/>
              </w:rPr>
            </w:pPr>
            <w:r w:rsidRPr="001269A3">
              <w:rPr>
                <w:rFonts w:ascii="宋体" w:eastAsia="宋体" w:hAnsi="宋体" w:cs="Arial" w:hint="eastAsia"/>
                <w:kern w:val="0"/>
                <w:sz w:val="15"/>
                <w:szCs w:val="15"/>
              </w:rPr>
              <w:t>1.84%</w:t>
            </w:r>
          </w:p>
        </w:tc>
        <w:tc>
          <w:tcPr>
            <w:tcW w:w="771" w:type="dxa"/>
            <w:tcBorders>
              <w:bottom w:val="single" w:sz="8" w:space="0" w:color="auto"/>
            </w:tcBorders>
            <w:noWrap/>
            <w:vAlign w:val="center"/>
            <w:hideMark/>
          </w:tcPr>
          <w:p w14:paraId="5A22CA84" w14:textId="77777777" w:rsidR="005C2348" w:rsidRPr="001269A3" w:rsidRDefault="005C2348" w:rsidP="005C2348">
            <w:pPr>
              <w:jc w:val="center"/>
              <w:rPr>
                <w:rFonts w:ascii="宋体" w:eastAsia="宋体" w:hAnsi="宋体" w:cs="Arial"/>
                <w:kern w:val="0"/>
                <w:sz w:val="15"/>
                <w:szCs w:val="15"/>
              </w:rPr>
            </w:pPr>
            <w:r w:rsidRPr="001269A3">
              <w:rPr>
                <w:rFonts w:ascii="宋体" w:eastAsia="宋体" w:hAnsi="宋体" w:cs="Arial" w:hint="eastAsia"/>
                <w:kern w:val="0"/>
                <w:sz w:val="15"/>
                <w:szCs w:val="15"/>
              </w:rPr>
              <w:t>1.94%</w:t>
            </w:r>
          </w:p>
        </w:tc>
        <w:tc>
          <w:tcPr>
            <w:tcW w:w="771" w:type="dxa"/>
            <w:tcBorders>
              <w:bottom w:val="single" w:sz="8" w:space="0" w:color="auto"/>
            </w:tcBorders>
            <w:noWrap/>
            <w:vAlign w:val="center"/>
            <w:hideMark/>
          </w:tcPr>
          <w:p w14:paraId="03C00838" w14:textId="77777777" w:rsidR="005C2348" w:rsidRPr="001269A3" w:rsidRDefault="005C2348" w:rsidP="005C2348">
            <w:pPr>
              <w:jc w:val="center"/>
              <w:rPr>
                <w:rFonts w:ascii="宋体" w:eastAsia="宋体" w:hAnsi="宋体" w:cs="Arial"/>
                <w:kern w:val="0"/>
                <w:sz w:val="15"/>
                <w:szCs w:val="15"/>
              </w:rPr>
            </w:pPr>
            <w:r w:rsidRPr="001269A3">
              <w:rPr>
                <w:rFonts w:ascii="宋体" w:eastAsia="宋体" w:hAnsi="宋体" w:cs="Arial" w:hint="eastAsia"/>
                <w:kern w:val="0"/>
                <w:sz w:val="15"/>
                <w:szCs w:val="15"/>
              </w:rPr>
              <w:t>2.03%</w:t>
            </w:r>
          </w:p>
        </w:tc>
        <w:tc>
          <w:tcPr>
            <w:tcW w:w="771" w:type="dxa"/>
            <w:tcBorders>
              <w:bottom w:val="single" w:sz="8" w:space="0" w:color="auto"/>
            </w:tcBorders>
            <w:noWrap/>
            <w:vAlign w:val="center"/>
            <w:hideMark/>
          </w:tcPr>
          <w:p w14:paraId="7907ECC9" w14:textId="77777777" w:rsidR="005C2348" w:rsidRPr="001269A3" w:rsidRDefault="005C2348" w:rsidP="005C2348">
            <w:pPr>
              <w:jc w:val="center"/>
              <w:rPr>
                <w:rFonts w:ascii="宋体" w:eastAsia="宋体" w:hAnsi="宋体" w:cs="Arial"/>
                <w:kern w:val="0"/>
                <w:sz w:val="15"/>
                <w:szCs w:val="15"/>
              </w:rPr>
            </w:pPr>
            <w:r w:rsidRPr="001269A3">
              <w:rPr>
                <w:rFonts w:ascii="宋体" w:eastAsia="宋体" w:hAnsi="宋体" w:cs="Arial" w:hint="eastAsia"/>
                <w:kern w:val="0"/>
                <w:sz w:val="15"/>
                <w:szCs w:val="15"/>
              </w:rPr>
              <w:t>2.24%</w:t>
            </w:r>
          </w:p>
        </w:tc>
        <w:tc>
          <w:tcPr>
            <w:tcW w:w="771" w:type="dxa"/>
            <w:tcBorders>
              <w:bottom w:val="single" w:sz="8" w:space="0" w:color="auto"/>
            </w:tcBorders>
            <w:noWrap/>
            <w:vAlign w:val="center"/>
            <w:hideMark/>
          </w:tcPr>
          <w:p w14:paraId="4013CDCF" w14:textId="77777777" w:rsidR="005C2348" w:rsidRPr="001269A3" w:rsidRDefault="005C2348" w:rsidP="005C2348">
            <w:pPr>
              <w:jc w:val="center"/>
              <w:rPr>
                <w:rFonts w:ascii="宋体" w:eastAsia="宋体" w:hAnsi="宋体" w:cs="Arial"/>
                <w:kern w:val="0"/>
                <w:sz w:val="15"/>
                <w:szCs w:val="15"/>
              </w:rPr>
            </w:pPr>
            <w:r w:rsidRPr="001269A3">
              <w:rPr>
                <w:rFonts w:ascii="宋体" w:eastAsia="宋体" w:hAnsi="宋体" w:cs="Arial" w:hint="eastAsia"/>
                <w:kern w:val="0"/>
                <w:sz w:val="15"/>
                <w:szCs w:val="15"/>
              </w:rPr>
              <w:t>2.46%</w:t>
            </w:r>
          </w:p>
        </w:tc>
        <w:tc>
          <w:tcPr>
            <w:tcW w:w="716" w:type="dxa"/>
            <w:tcBorders>
              <w:bottom w:val="single" w:sz="8" w:space="0" w:color="auto"/>
            </w:tcBorders>
            <w:noWrap/>
            <w:vAlign w:val="center"/>
            <w:hideMark/>
          </w:tcPr>
          <w:p w14:paraId="52CB6287" w14:textId="77777777" w:rsidR="005C2348" w:rsidRPr="001269A3" w:rsidRDefault="005C2348" w:rsidP="005C2348">
            <w:pPr>
              <w:jc w:val="center"/>
              <w:rPr>
                <w:rFonts w:ascii="宋体" w:eastAsia="宋体" w:hAnsi="宋体" w:cs="Arial"/>
                <w:kern w:val="0"/>
                <w:sz w:val="15"/>
                <w:szCs w:val="15"/>
              </w:rPr>
            </w:pPr>
            <w:r w:rsidRPr="001269A3">
              <w:rPr>
                <w:rFonts w:ascii="宋体" w:eastAsia="宋体" w:hAnsi="宋体" w:cs="Arial" w:hint="eastAsia"/>
                <w:kern w:val="0"/>
                <w:sz w:val="15"/>
                <w:szCs w:val="15"/>
              </w:rPr>
              <w:t>2.65%</w:t>
            </w:r>
          </w:p>
        </w:tc>
      </w:tr>
    </w:tbl>
    <w:p w14:paraId="4EF80EAD" w14:textId="77777777" w:rsidR="005C2348" w:rsidRDefault="005C2348">
      <w:pPr>
        <w:sectPr w:rsidR="005C2348" w:rsidSect="00343EE5">
          <w:type w:val="continuous"/>
          <w:pgSz w:w="11906" w:h="16838"/>
          <w:pgMar w:top="1440" w:right="1080" w:bottom="1440" w:left="1080" w:header="708" w:footer="708" w:gutter="0"/>
          <w:cols w:space="708"/>
          <w:titlePg/>
          <w:docGrid w:type="lines" w:linePitch="360"/>
        </w:sectPr>
      </w:pPr>
    </w:p>
    <w:p w14:paraId="2DC51274" w14:textId="77777777" w:rsidR="005C2348" w:rsidRDefault="005C2348">
      <w:pPr>
        <w:pStyle w:val="a9"/>
        <w:spacing w:after="0"/>
        <w:jc w:val="center"/>
        <w:rPr>
          <w:rFonts w:ascii="宋体" w:hAnsi="宋体"/>
          <w:sz w:val="15"/>
          <w:szCs w:val="15"/>
        </w:rPr>
      </w:pPr>
    </w:p>
    <w:p w14:paraId="5EAFE20A" w14:textId="77777777" w:rsidR="00C56ED4" w:rsidRDefault="00C56ED4">
      <w:pPr>
        <w:pStyle w:val="a9"/>
        <w:spacing w:after="0"/>
        <w:jc w:val="center"/>
        <w:sectPr w:rsidR="00C56ED4" w:rsidSect="00343EE5">
          <w:type w:val="continuous"/>
          <w:pgSz w:w="11906" w:h="16838"/>
          <w:pgMar w:top="1440" w:right="1080" w:bottom="1440" w:left="1080" w:header="708" w:footer="708" w:gutter="0"/>
          <w:cols w:num="2" w:space="708"/>
          <w:titlePg/>
          <w:docGrid w:type="lines" w:linePitch="360"/>
        </w:sectPr>
      </w:pPr>
    </w:p>
    <w:p w14:paraId="64189A44" w14:textId="459CCACB" w:rsidR="00E66E46" w:rsidRDefault="00445FB2" w:rsidP="00E66E46">
      <w:pPr>
        <w:pStyle w:val="a9"/>
        <w:spacing w:after="0"/>
        <w:jc w:val="center"/>
      </w:pPr>
      <w:r w:rsidRPr="00606886">
        <w:rPr>
          <w:noProof/>
        </w:rPr>
        <w:lastRenderedPageBreak/>
        <w:drawing>
          <wp:inline distT="0" distB="0" distL="0" distR="0" wp14:anchorId="7D3ABF1E" wp14:editId="0F518660">
            <wp:extent cx="4772025" cy="2867660"/>
            <wp:effectExtent l="0" t="0" r="0" b="0"/>
            <wp:docPr id="293" name="对象 29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CEB3763" w14:textId="63A77E9C" w:rsidR="009F050C" w:rsidRDefault="0029334A">
      <w:pPr>
        <w:pStyle w:val="a9"/>
        <w:spacing w:after="0"/>
        <w:jc w:val="center"/>
        <w:rPr>
          <w:rFonts w:ascii="宋体" w:hAnsi="宋体"/>
          <w:sz w:val="15"/>
          <w:szCs w:val="15"/>
        </w:rPr>
      </w:pPr>
      <w:r>
        <w:rPr>
          <w:rFonts w:ascii="宋体" w:hAnsi="宋体" w:hint="eastAsia"/>
          <w:sz w:val="15"/>
          <w:szCs w:val="15"/>
        </w:rPr>
        <w:t xml:space="preserve">图1  </w:t>
      </w:r>
      <w:r w:rsidR="005C2348" w:rsidRPr="005C2348">
        <w:rPr>
          <w:rFonts w:ascii="宋体" w:hAnsi="宋体" w:hint="eastAsia"/>
          <w:sz w:val="15"/>
          <w:szCs w:val="15"/>
        </w:rPr>
        <w:t>近10年信息行业就业人员与所占比例的变化情况</w:t>
      </w:r>
    </w:p>
    <w:p w14:paraId="2BB10708" w14:textId="77777777" w:rsidR="00734163" w:rsidRDefault="00734163">
      <w:pPr>
        <w:pStyle w:val="a9"/>
        <w:spacing w:after="0"/>
        <w:jc w:val="center"/>
        <w:rPr>
          <w:rFonts w:ascii="宋体" w:hAnsi="宋体"/>
          <w:sz w:val="15"/>
          <w:szCs w:val="15"/>
        </w:rPr>
      </w:pPr>
    </w:p>
    <w:p w14:paraId="7AF642FB" w14:textId="73BEC7EE" w:rsidR="00343EE5" w:rsidRDefault="00445FB2" w:rsidP="00343EE5">
      <w:pPr>
        <w:pStyle w:val="a9"/>
        <w:spacing w:after="0"/>
        <w:jc w:val="center"/>
      </w:pPr>
      <w:r w:rsidRPr="00606886">
        <w:rPr>
          <w:noProof/>
        </w:rPr>
        <w:drawing>
          <wp:inline distT="0" distB="0" distL="0" distR="0" wp14:anchorId="651BEA3E" wp14:editId="0AA19431">
            <wp:extent cx="5275580" cy="2348230"/>
            <wp:effectExtent l="0" t="0" r="0" b="0"/>
            <wp:docPr id="401" name="对象 40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8E05721" w14:textId="30FB86FF" w:rsidR="00343EE5" w:rsidRPr="00343EE5" w:rsidRDefault="00343EE5" w:rsidP="00343EE5">
      <w:pPr>
        <w:pStyle w:val="a9"/>
        <w:spacing w:after="0"/>
        <w:jc w:val="center"/>
        <w:sectPr w:rsidR="00343EE5" w:rsidRPr="00343EE5" w:rsidSect="00343EE5">
          <w:type w:val="continuous"/>
          <w:pgSz w:w="11906" w:h="16838"/>
          <w:pgMar w:top="1440" w:right="1080" w:bottom="1440" w:left="1080" w:header="708" w:footer="708" w:gutter="0"/>
          <w:cols w:space="708"/>
          <w:titlePg/>
          <w:docGrid w:type="lines" w:linePitch="360"/>
        </w:sectPr>
      </w:pPr>
      <w:r>
        <w:rPr>
          <w:rFonts w:ascii="宋体" w:hAnsi="宋体" w:hint="eastAsia"/>
          <w:sz w:val="15"/>
          <w:szCs w:val="15"/>
        </w:rPr>
        <w:t>图2</w:t>
      </w:r>
      <w:r>
        <w:rPr>
          <w:rFonts w:ascii="宋体" w:hAnsi="宋体"/>
          <w:sz w:val="15"/>
          <w:szCs w:val="15"/>
        </w:rPr>
        <w:t xml:space="preserve"> </w:t>
      </w:r>
      <w:r w:rsidRPr="00E66E46">
        <w:rPr>
          <w:rFonts w:ascii="宋体" w:hAnsi="宋体" w:hint="eastAsia"/>
          <w:sz w:val="15"/>
          <w:szCs w:val="15"/>
        </w:rPr>
        <w:t>近10年信息行业就业人员与所占比例的变化情况</w:t>
      </w:r>
    </w:p>
    <w:p w14:paraId="477EAAC1" w14:textId="77777777" w:rsidR="00343EE5" w:rsidRDefault="00343EE5" w:rsidP="00E66E46">
      <w:pPr>
        <w:pStyle w:val="a9"/>
        <w:spacing w:after="0"/>
        <w:rPr>
          <w:sz w:val="15"/>
          <w:szCs w:val="15"/>
        </w:rPr>
      </w:pPr>
    </w:p>
    <w:p w14:paraId="63383B33" w14:textId="1E6FF109" w:rsidR="00343EE5" w:rsidRPr="00343EE5" w:rsidRDefault="00343EE5" w:rsidP="00E66E46">
      <w:pPr>
        <w:pStyle w:val="a9"/>
        <w:spacing w:after="0"/>
        <w:rPr>
          <w:sz w:val="15"/>
          <w:szCs w:val="15"/>
        </w:rPr>
        <w:sectPr w:rsidR="00343EE5" w:rsidRPr="00343EE5" w:rsidSect="00343EE5">
          <w:type w:val="continuous"/>
          <w:pgSz w:w="11906" w:h="16838"/>
          <w:pgMar w:top="1440" w:right="1080" w:bottom="1440" w:left="1080" w:header="708" w:footer="708" w:gutter="0"/>
          <w:cols w:space="708"/>
          <w:titlePg/>
          <w:docGrid w:type="lines" w:linePitch="360"/>
        </w:sectPr>
      </w:pPr>
    </w:p>
    <w:p w14:paraId="7CC38CCF" w14:textId="7F3BBF29" w:rsidR="00C56ED4" w:rsidRDefault="00C56ED4" w:rsidP="00C56ED4">
      <w:pPr>
        <w:pStyle w:val="a9"/>
        <w:spacing w:after="0" w:line="400" w:lineRule="exact"/>
        <w:ind w:firstLine="357"/>
        <w:rPr>
          <w:rFonts w:ascii="宋体" w:hAnsi="宋体"/>
          <w:sz w:val="18"/>
          <w:szCs w:val="18"/>
        </w:rPr>
      </w:pPr>
      <w:r w:rsidRPr="00C56ED4">
        <w:rPr>
          <w:rFonts w:ascii="宋体" w:hAnsi="宋体" w:hint="eastAsia"/>
          <w:sz w:val="18"/>
          <w:szCs w:val="18"/>
        </w:rPr>
        <w:t>根据图表不难看出，近十年信息行业就业人员占整体就业人员的比例程逐年上升的趋势。可以说明，信息行业对从业人员数量上的需求目前还未处于完全饱和的状态。</w:t>
      </w:r>
    </w:p>
    <w:p w14:paraId="32217D15" w14:textId="19EE0008" w:rsidR="00343EE5" w:rsidRDefault="00343EE5" w:rsidP="00343EE5">
      <w:pPr>
        <w:pStyle w:val="a9"/>
        <w:spacing w:after="0" w:line="400" w:lineRule="exact"/>
        <w:rPr>
          <w:rFonts w:ascii="宋体" w:hAnsi="宋体"/>
          <w:sz w:val="18"/>
          <w:szCs w:val="18"/>
        </w:rPr>
      </w:pPr>
    </w:p>
    <w:p w14:paraId="5B9971FA" w14:textId="417C62A8" w:rsidR="00C56ED4" w:rsidRPr="00C56ED4" w:rsidRDefault="00C56ED4" w:rsidP="00C56ED4">
      <w:pPr>
        <w:pStyle w:val="DepartCorrespond"/>
        <w:numPr>
          <w:ilvl w:val="1"/>
          <w:numId w:val="1"/>
        </w:numPr>
        <w:ind w:firstLineChars="0"/>
        <w:rPr>
          <w:rFonts w:ascii="黑体" w:eastAsia="黑体" w:hAnsi="黑体"/>
          <w:sz w:val="18"/>
          <w:szCs w:val="18"/>
        </w:rPr>
      </w:pPr>
      <w:r w:rsidRPr="00C56ED4">
        <w:rPr>
          <w:rFonts w:ascii="黑体" w:eastAsia="黑体" w:hAnsi="黑体" w:hint="eastAsia"/>
          <w:sz w:val="18"/>
          <w:szCs w:val="18"/>
        </w:rPr>
        <w:t>不同经济类型单位信息行业的薪酬情况统计</w:t>
      </w:r>
    </w:p>
    <w:p w14:paraId="0B10E1AD" w14:textId="1B26E6BE" w:rsidR="00C56ED4" w:rsidRPr="00C56ED4" w:rsidRDefault="00C56ED4" w:rsidP="00C56ED4">
      <w:pPr>
        <w:pStyle w:val="a9"/>
        <w:numPr>
          <w:ilvl w:val="2"/>
          <w:numId w:val="1"/>
        </w:numPr>
        <w:spacing w:after="0" w:line="400" w:lineRule="exact"/>
        <w:rPr>
          <w:rFonts w:ascii="楷体" w:eastAsia="楷体" w:hAnsi="楷体"/>
          <w:iCs/>
          <w:kern w:val="0"/>
          <w:sz w:val="18"/>
          <w:szCs w:val="18"/>
        </w:rPr>
      </w:pPr>
      <w:r w:rsidRPr="00C56ED4">
        <w:rPr>
          <w:rFonts w:ascii="楷体" w:eastAsia="楷体" w:hAnsi="楷体" w:hint="eastAsia"/>
          <w:iCs/>
          <w:kern w:val="0"/>
          <w:sz w:val="18"/>
          <w:szCs w:val="18"/>
        </w:rPr>
        <w:t>城镇单位整体薪酬情况</w:t>
      </w:r>
    </w:p>
    <w:p w14:paraId="0386A653" w14:textId="720C0BFE" w:rsidR="00225C4D" w:rsidRDefault="00225C4D" w:rsidP="00225C4D">
      <w:pPr>
        <w:pStyle w:val="a9"/>
        <w:spacing w:after="0" w:line="400" w:lineRule="exact"/>
        <w:ind w:firstLine="357"/>
        <w:rPr>
          <w:rFonts w:ascii="宋体" w:hAnsi="宋体"/>
          <w:sz w:val="18"/>
          <w:szCs w:val="18"/>
        </w:rPr>
      </w:pPr>
      <w:r w:rsidRPr="00225C4D">
        <w:rPr>
          <w:rFonts w:ascii="宋体" w:hAnsi="宋体" w:hint="eastAsia"/>
          <w:sz w:val="18"/>
          <w:szCs w:val="18"/>
        </w:rPr>
        <w:t>由图</w:t>
      </w:r>
      <w:r>
        <w:rPr>
          <w:rFonts w:ascii="宋体" w:hAnsi="宋体" w:hint="eastAsia"/>
          <w:sz w:val="18"/>
          <w:szCs w:val="18"/>
        </w:rPr>
        <w:t>2</w:t>
      </w:r>
      <w:r w:rsidRPr="00225C4D">
        <w:rPr>
          <w:rFonts w:ascii="宋体" w:hAnsi="宋体" w:hint="eastAsia"/>
          <w:sz w:val="18"/>
          <w:szCs w:val="18"/>
        </w:rPr>
        <w:t>可知，近10年间，信息行业就业人员薪资始终远高于全部行业整体平均薪资。但是从增幅上看，信息行业的薪资增幅从始终高于全部行业（2012-2015年），</w:t>
      </w:r>
      <w:r w:rsidRPr="00225C4D">
        <w:rPr>
          <w:rFonts w:ascii="宋体" w:hAnsi="宋体" w:hint="eastAsia"/>
          <w:sz w:val="18"/>
          <w:szCs w:val="18"/>
        </w:rPr>
        <w:t>到波动在全部行业增幅附近（2015-2019年），可以得知，市场上对信息行业从业人员提供的薪资涨幅已经趋于平稳，信息行业的薪资从较高增幅逐渐下降到相近于其他行业的位置。</w:t>
      </w:r>
    </w:p>
    <w:p w14:paraId="50C9A90D" w14:textId="5B9F50FF" w:rsidR="00445FB2" w:rsidRPr="00734163" w:rsidRDefault="00225C4D" w:rsidP="00445FB2">
      <w:pPr>
        <w:pStyle w:val="a9"/>
        <w:numPr>
          <w:ilvl w:val="2"/>
          <w:numId w:val="1"/>
        </w:numPr>
        <w:spacing w:after="0" w:line="400" w:lineRule="exact"/>
        <w:rPr>
          <w:rFonts w:ascii="楷体" w:eastAsia="楷体" w:hAnsi="楷体"/>
          <w:iCs/>
          <w:kern w:val="0"/>
          <w:sz w:val="18"/>
          <w:szCs w:val="18"/>
        </w:rPr>
      </w:pPr>
      <w:r w:rsidRPr="00225C4D">
        <w:rPr>
          <w:rFonts w:ascii="楷体" w:eastAsia="楷体" w:hAnsi="楷体" w:hint="eastAsia"/>
          <w:iCs/>
          <w:kern w:val="0"/>
          <w:sz w:val="18"/>
          <w:szCs w:val="18"/>
        </w:rPr>
        <w:t>国有单位、城镇集体单位与其他单位信息行业的薪酬情况统计</w:t>
      </w:r>
    </w:p>
    <w:p w14:paraId="311C3469" w14:textId="5B5CEDE6" w:rsidR="00343EE5" w:rsidRDefault="00445FB2" w:rsidP="00734163">
      <w:pPr>
        <w:pStyle w:val="a9"/>
        <w:spacing w:after="0"/>
        <w:jc w:val="center"/>
        <w:rPr>
          <w:rFonts w:ascii="宋体" w:hAnsi="宋体"/>
          <w:sz w:val="18"/>
          <w:szCs w:val="18"/>
        </w:rPr>
      </w:pPr>
      <w:r>
        <w:rPr>
          <w:rFonts w:ascii="宋体" w:hAnsi="宋体"/>
          <w:noProof/>
          <w:sz w:val="18"/>
          <w:szCs w:val="18"/>
        </w:rPr>
        <w:lastRenderedPageBreak/>
        <w:drawing>
          <wp:inline distT="0" distB="0" distL="0" distR="0" wp14:anchorId="171F6F91" wp14:editId="2C07CD71">
            <wp:extent cx="2572385" cy="1178560"/>
            <wp:effectExtent l="0" t="0" r="0"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72385" cy="1178560"/>
                    </a:xfrm>
                    <a:prstGeom prst="rect">
                      <a:avLst/>
                    </a:prstGeom>
                    <a:noFill/>
                  </pic:spPr>
                </pic:pic>
              </a:graphicData>
            </a:graphic>
          </wp:inline>
        </w:drawing>
      </w:r>
    </w:p>
    <w:p w14:paraId="13DDBA2A" w14:textId="3290BB50" w:rsidR="00343EE5" w:rsidRDefault="00343EE5" w:rsidP="00343EE5">
      <w:pPr>
        <w:pStyle w:val="a9"/>
        <w:spacing w:after="0"/>
        <w:jc w:val="center"/>
        <w:rPr>
          <w:rFonts w:ascii="宋体" w:hAnsi="宋体"/>
          <w:sz w:val="15"/>
          <w:szCs w:val="15"/>
        </w:rPr>
      </w:pPr>
      <w:r w:rsidRPr="00343EE5">
        <w:rPr>
          <w:rFonts w:ascii="宋体" w:hAnsi="宋体" w:hint="eastAsia"/>
          <w:sz w:val="15"/>
          <w:szCs w:val="15"/>
        </w:rPr>
        <w:t>图3 近10年国有单位就业人员薪资变化情况</w:t>
      </w:r>
    </w:p>
    <w:p w14:paraId="756EA7A1" w14:textId="3121B4D7" w:rsidR="00343EE5" w:rsidRDefault="00343EE5" w:rsidP="00343EE5">
      <w:pPr>
        <w:pStyle w:val="a9"/>
        <w:spacing w:after="0"/>
        <w:jc w:val="center"/>
        <w:rPr>
          <w:rFonts w:ascii="宋体" w:hAnsi="宋体"/>
          <w:sz w:val="15"/>
          <w:szCs w:val="15"/>
        </w:rPr>
      </w:pPr>
    </w:p>
    <w:p w14:paraId="75235E90" w14:textId="04148E05" w:rsidR="00343EE5" w:rsidRDefault="00445FB2" w:rsidP="00343EE5">
      <w:pPr>
        <w:pStyle w:val="a9"/>
        <w:spacing w:after="0"/>
        <w:jc w:val="center"/>
        <w:rPr>
          <w:rFonts w:ascii="宋体" w:hAnsi="宋体"/>
          <w:sz w:val="15"/>
          <w:szCs w:val="15"/>
        </w:rPr>
      </w:pPr>
      <w:r>
        <w:rPr>
          <w:rFonts w:ascii="宋体" w:hAnsi="宋体"/>
          <w:noProof/>
          <w:sz w:val="15"/>
          <w:szCs w:val="15"/>
        </w:rPr>
        <w:drawing>
          <wp:inline distT="0" distB="0" distL="0" distR="0" wp14:anchorId="3A258A00" wp14:editId="32410975">
            <wp:extent cx="2794635" cy="12319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94635" cy="1231900"/>
                    </a:xfrm>
                    <a:prstGeom prst="rect">
                      <a:avLst/>
                    </a:prstGeom>
                    <a:noFill/>
                  </pic:spPr>
                </pic:pic>
              </a:graphicData>
            </a:graphic>
          </wp:inline>
        </w:drawing>
      </w:r>
    </w:p>
    <w:p w14:paraId="3986839C" w14:textId="6F075394" w:rsidR="00343EE5" w:rsidRDefault="00343EE5" w:rsidP="00343EE5">
      <w:pPr>
        <w:pStyle w:val="a9"/>
        <w:spacing w:after="0"/>
        <w:jc w:val="center"/>
        <w:rPr>
          <w:rFonts w:ascii="宋体" w:hAnsi="宋体"/>
          <w:sz w:val="15"/>
          <w:szCs w:val="15"/>
        </w:rPr>
      </w:pPr>
      <w:r>
        <w:rPr>
          <w:rFonts w:ascii="宋体" w:hAnsi="宋体" w:hint="eastAsia"/>
          <w:sz w:val="15"/>
          <w:szCs w:val="15"/>
        </w:rPr>
        <w:t>图4</w:t>
      </w:r>
      <w:r>
        <w:rPr>
          <w:rFonts w:ascii="宋体" w:hAnsi="宋体"/>
          <w:sz w:val="15"/>
          <w:szCs w:val="15"/>
        </w:rPr>
        <w:t xml:space="preserve"> </w:t>
      </w:r>
      <w:r w:rsidRPr="00343EE5">
        <w:rPr>
          <w:rFonts w:ascii="宋体" w:hAnsi="宋体" w:hint="eastAsia"/>
          <w:sz w:val="15"/>
          <w:szCs w:val="15"/>
        </w:rPr>
        <w:t>近10年城镇集体单位就业人员薪资变化情况</w:t>
      </w:r>
    </w:p>
    <w:p w14:paraId="0CFA5A16" w14:textId="2B8DFC10" w:rsidR="00343EE5" w:rsidRDefault="00445FB2" w:rsidP="00343EE5">
      <w:pPr>
        <w:pStyle w:val="a9"/>
        <w:spacing w:after="0"/>
        <w:jc w:val="center"/>
        <w:rPr>
          <w:rFonts w:ascii="宋体" w:hAnsi="宋体"/>
          <w:sz w:val="15"/>
          <w:szCs w:val="15"/>
        </w:rPr>
      </w:pPr>
      <w:r>
        <w:rPr>
          <w:rFonts w:ascii="宋体" w:hAnsi="宋体"/>
          <w:noProof/>
          <w:sz w:val="15"/>
          <w:szCs w:val="15"/>
        </w:rPr>
        <w:drawing>
          <wp:inline distT="0" distB="0" distL="0" distR="0" wp14:anchorId="1E202068" wp14:editId="097A1540">
            <wp:extent cx="2827655" cy="129222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27655" cy="1292225"/>
                    </a:xfrm>
                    <a:prstGeom prst="rect">
                      <a:avLst/>
                    </a:prstGeom>
                    <a:noFill/>
                  </pic:spPr>
                </pic:pic>
              </a:graphicData>
            </a:graphic>
          </wp:inline>
        </w:drawing>
      </w:r>
    </w:p>
    <w:p w14:paraId="79162DEC" w14:textId="5DCD086D" w:rsidR="00343EE5" w:rsidRDefault="00343EE5" w:rsidP="00343EE5">
      <w:pPr>
        <w:pStyle w:val="a9"/>
        <w:spacing w:after="0"/>
        <w:jc w:val="center"/>
        <w:rPr>
          <w:rFonts w:ascii="宋体" w:hAnsi="宋体"/>
          <w:sz w:val="15"/>
          <w:szCs w:val="15"/>
        </w:rPr>
      </w:pPr>
      <w:r w:rsidRPr="00343EE5">
        <w:rPr>
          <w:rFonts w:ascii="宋体" w:hAnsi="宋体" w:hint="eastAsia"/>
          <w:sz w:val="15"/>
          <w:szCs w:val="15"/>
        </w:rPr>
        <w:t>图5 近10年其他单位就业人员薪资变化情况</w:t>
      </w:r>
    </w:p>
    <w:p w14:paraId="1DC924A0" w14:textId="77777777" w:rsidR="00343EE5" w:rsidRPr="00343EE5" w:rsidRDefault="00343EE5" w:rsidP="00343EE5">
      <w:pPr>
        <w:pStyle w:val="a9"/>
        <w:spacing w:after="0"/>
        <w:jc w:val="center"/>
        <w:rPr>
          <w:rFonts w:ascii="宋体" w:hAnsi="宋体"/>
          <w:sz w:val="15"/>
          <w:szCs w:val="15"/>
        </w:rPr>
      </w:pPr>
    </w:p>
    <w:p w14:paraId="5DFF19E8" w14:textId="7469A4A1" w:rsidR="00225C4D" w:rsidRPr="00225C4D" w:rsidRDefault="00225C4D" w:rsidP="00225C4D">
      <w:pPr>
        <w:pStyle w:val="a9"/>
        <w:spacing w:after="0" w:line="400" w:lineRule="exact"/>
        <w:ind w:firstLine="357"/>
        <w:rPr>
          <w:rFonts w:ascii="宋体" w:hAnsi="宋体"/>
          <w:sz w:val="18"/>
          <w:szCs w:val="18"/>
        </w:rPr>
      </w:pPr>
      <w:r w:rsidRPr="00225C4D">
        <w:rPr>
          <w:rFonts w:ascii="宋体" w:hAnsi="宋体" w:hint="eastAsia"/>
          <w:sz w:val="18"/>
          <w:szCs w:val="18"/>
        </w:rPr>
        <w:t>根据图3-5，不难发现不同经济类型单位薪资的大致情况与差异：</w:t>
      </w:r>
    </w:p>
    <w:p w14:paraId="1E91B346" w14:textId="4D3B8A9A" w:rsidR="00225C4D" w:rsidRPr="00225C4D" w:rsidRDefault="00225C4D" w:rsidP="00225C4D">
      <w:pPr>
        <w:pStyle w:val="a9"/>
        <w:numPr>
          <w:ilvl w:val="0"/>
          <w:numId w:val="2"/>
        </w:numPr>
        <w:spacing w:after="0" w:line="400" w:lineRule="exact"/>
        <w:rPr>
          <w:rFonts w:ascii="宋体" w:hAnsi="宋体"/>
          <w:sz w:val="18"/>
          <w:szCs w:val="18"/>
        </w:rPr>
      </w:pPr>
      <w:r w:rsidRPr="00225C4D">
        <w:rPr>
          <w:rFonts w:ascii="宋体" w:hAnsi="宋体" w:hint="eastAsia"/>
          <w:sz w:val="18"/>
          <w:szCs w:val="18"/>
        </w:rPr>
        <w:t>对全部行业整体，薪资情况为国有单位高于城镇集体单位、城镇集体单位高于其他单位，只有城镇集体单位的薪资水平低于平均水平（城镇单位就业人员平均工资）。</w:t>
      </w:r>
    </w:p>
    <w:p w14:paraId="56973DAD" w14:textId="1FA993E2" w:rsidR="00225C4D" w:rsidRPr="00225C4D" w:rsidRDefault="00225C4D" w:rsidP="00225C4D">
      <w:pPr>
        <w:pStyle w:val="a9"/>
        <w:numPr>
          <w:ilvl w:val="0"/>
          <w:numId w:val="2"/>
        </w:numPr>
        <w:spacing w:after="0" w:line="400" w:lineRule="exact"/>
        <w:rPr>
          <w:rFonts w:ascii="宋体" w:hAnsi="宋体"/>
          <w:sz w:val="18"/>
          <w:szCs w:val="18"/>
        </w:rPr>
      </w:pPr>
      <w:r w:rsidRPr="00225C4D">
        <w:rPr>
          <w:rFonts w:ascii="宋体" w:hAnsi="宋体" w:hint="eastAsia"/>
          <w:sz w:val="18"/>
          <w:szCs w:val="18"/>
        </w:rPr>
        <w:t>而对信息行业，国有单位、城镇集体单位的薪资水平不仅低于其他单位，也均低于平均水平。</w:t>
      </w:r>
    </w:p>
    <w:p w14:paraId="0325E700" w14:textId="7CB7A042" w:rsidR="00225C4D" w:rsidRPr="00225C4D" w:rsidRDefault="00225C4D" w:rsidP="00225C4D">
      <w:pPr>
        <w:pStyle w:val="a9"/>
        <w:numPr>
          <w:ilvl w:val="0"/>
          <w:numId w:val="2"/>
        </w:numPr>
        <w:spacing w:after="0" w:line="400" w:lineRule="exact"/>
        <w:rPr>
          <w:rFonts w:ascii="宋体" w:hAnsi="宋体"/>
          <w:sz w:val="18"/>
          <w:szCs w:val="18"/>
        </w:rPr>
      </w:pPr>
      <w:r w:rsidRPr="00225C4D">
        <w:rPr>
          <w:rFonts w:ascii="宋体" w:hAnsi="宋体" w:hint="eastAsia"/>
          <w:sz w:val="18"/>
          <w:szCs w:val="18"/>
        </w:rPr>
        <w:t>不同经济类型单位中，信息行业就业人员薪资增幅的波动普遍大于全部行业整体。在这些经济类型单位中，只有城镇集体单位的信息行业薪资曾出现负增长的情况。</w:t>
      </w:r>
    </w:p>
    <w:p w14:paraId="3931F333" w14:textId="13DDE953" w:rsidR="00225C4D" w:rsidRDefault="00225C4D" w:rsidP="00225C4D">
      <w:pPr>
        <w:pStyle w:val="a9"/>
        <w:numPr>
          <w:ilvl w:val="0"/>
          <w:numId w:val="2"/>
        </w:numPr>
        <w:spacing w:after="0" w:line="400" w:lineRule="exact"/>
        <w:rPr>
          <w:rFonts w:ascii="宋体" w:hAnsi="宋体"/>
          <w:sz w:val="18"/>
          <w:szCs w:val="18"/>
        </w:rPr>
      </w:pPr>
      <w:r w:rsidRPr="00225C4D">
        <w:rPr>
          <w:rFonts w:ascii="宋体" w:hAnsi="宋体" w:hint="eastAsia"/>
          <w:sz w:val="18"/>
          <w:szCs w:val="18"/>
        </w:rPr>
        <w:t>对比同一经济类型中信息行业薪资与全部行业整体，可以发现，国有单位中信息行业薪资仅略高于全部行</w:t>
      </w:r>
      <w:r w:rsidRPr="00225C4D">
        <w:rPr>
          <w:rFonts w:ascii="宋体" w:hAnsi="宋体" w:hint="eastAsia"/>
          <w:sz w:val="18"/>
          <w:szCs w:val="18"/>
        </w:rPr>
        <w:t>业整体，而其他单位中信息行业薪资远远高于全部行业整体。</w:t>
      </w:r>
    </w:p>
    <w:p w14:paraId="303EEEB0" w14:textId="2F78FFC6" w:rsidR="00F9108F" w:rsidRPr="00F9108F" w:rsidRDefault="00F9108F" w:rsidP="00F9108F">
      <w:pPr>
        <w:pStyle w:val="DepartCorrespond"/>
        <w:numPr>
          <w:ilvl w:val="1"/>
          <w:numId w:val="1"/>
        </w:numPr>
        <w:ind w:firstLineChars="0"/>
        <w:rPr>
          <w:rFonts w:ascii="黑体" w:eastAsia="黑体" w:hAnsi="黑体"/>
          <w:sz w:val="18"/>
          <w:szCs w:val="18"/>
        </w:rPr>
      </w:pPr>
      <w:r w:rsidRPr="00F9108F">
        <w:rPr>
          <w:rFonts w:ascii="黑体" w:eastAsia="黑体" w:hAnsi="黑体" w:hint="eastAsia"/>
          <w:sz w:val="18"/>
          <w:szCs w:val="18"/>
        </w:rPr>
        <w:t>信息行业城镇单位薪资变化分析</w:t>
      </w:r>
    </w:p>
    <w:p w14:paraId="24332A42" w14:textId="0ED4F9B4" w:rsidR="00343EE5" w:rsidRDefault="00F9108F" w:rsidP="00734163">
      <w:pPr>
        <w:pStyle w:val="a9"/>
        <w:spacing w:after="0" w:line="400" w:lineRule="exact"/>
        <w:ind w:firstLine="357"/>
        <w:rPr>
          <w:rFonts w:ascii="宋体" w:hAnsi="宋体"/>
          <w:sz w:val="18"/>
          <w:szCs w:val="18"/>
        </w:rPr>
      </w:pPr>
      <w:r w:rsidRPr="00F9108F">
        <w:rPr>
          <w:rFonts w:ascii="宋体" w:hAnsi="宋体" w:hint="eastAsia"/>
          <w:sz w:val="18"/>
          <w:szCs w:val="18"/>
        </w:rPr>
        <w:t>设信息行业城镇单位就业人员平均薪资与年份呈线性关系，利用Excel进行分析</w:t>
      </w:r>
      <w:r>
        <w:rPr>
          <w:rFonts w:ascii="宋体" w:hAnsi="宋体" w:hint="eastAsia"/>
          <w:sz w:val="18"/>
          <w:szCs w:val="18"/>
        </w:rPr>
        <w:t>（图</w:t>
      </w:r>
      <w:r w:rsidR="00445FB2">
        <w:rPr>
          <w:rFonts w:ascii="宋体" w:hAnsi="宋体"/>
          <w:sz w:val="18"/>
          <w:szCs w:val="18"/>
        </w:rPr>
        <w:t>6</w:t>
      </w:r>
      <w:r>
        <w:rPr>
          <w:rFonts w:ascii="宋体" w:hAnsi="宋体" w:hint="eastAsia"/>
          <w:sz w:val="18"/>
          <w:szCs w:val="18"/>
        </w:rPr>
        <w:t>、表2）。</w:t>
      </w:r>
    </w:p>
    <w:p w14:paraId="1B7C3341" w14:textId="77777777" w:rsidR="00734163" w:rsidRPr="00734163" w:rsidRDefault="00734163" w:rsidP="00734163">
      <w:pPr>
        <w:pStyle w:val="a9"/>
        <w:spacing w:after="0" w:line="400" w:lineRule="exact"/>
        <w:ind w:firstLine="357"/>
        <w:rPr>
          <w:rFonts w:ascii="宋体" w:hAnsi="宋体"/>
          <w:sz w:val="18"/>
          <w:szCs w:val="18"/>
        </w:rPr>
      </w:pPr>
    </w:p>
    <w:p w14:paraId="57C24818" w14:textId="11364E48" w:rsidR="00343EE5" w:rsidRDefault="00445FB2" w:rsidP="00734163">
      <w:pPr>
        <w:pStyle w:val="a9"/>
        <w:spacing w:after="0"/>
        <w:jc w:val="center"/>
        <w:rPr>
          <w:rFonts w:ascii="楷体" w:eastAsia="楷体" w:hAnsi="楷体"/>
          <w:iCs/>
          <w:kern w:val="0"/>
          <w:sz w:val="18"/>
          <w:szCs w:val="18"/>
        </w:rPr>
      </w:pPr>
      <w:r>
        <w:rPr>
          <w:rFonts w:ascii="宋体" w:hAnsi="宋体"/>
          <w:noProof/>
          <w:sz w:val="18"/>
          <w:szCs w:val="18"/>
        </w:rPr>
        <w:drawing>
          <wp:inline distT="0" distB="0" distL="0" distR="0" wp14:anchorId="18BD3A55" wp14:editId="6A992BE8">
            <wp:extent cx="2755265" cy="21653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55265" cy="2165350"/>
                    </a:xfrm>
                    <a:prstGeom prst="rect">
                      <a:avLst/>
                    </a:prstGeom>
                    <a:noFill/>
                  </pic:spPr>
                </pic:pic>
              </a:graphicData>
            </a:graphic>
          </wp:inline>
        </w:drawing>
      </w:r>
    </w:p>
    <w:p w14:paraId="6EA35E2A" w14:textId="1B56B025" w:rsidR="00343EE5" w:rsidRDefault="00445FB2" w:rsidP="00445FB2">
      <w:pPr>
        <w:pStyle w:val="a9"/>
        <w:spacing w:after="0"/>
        <w:jc w:val="center"/>
        <w:rPr>
          <w:rFonts w:ascii="宋体" w:hAnsi="宋体"/>
          <w:sz w:val="15"/>
          <w:szCs w:val="15"/>
        </w:rPr>
      </w:pPr>
      <w:r w:rsidRPr="00445FB2">
        <w:rPr>
          <w:rFonts w:ascii="宋体" w:hAnsi="宋体" w:hint="eastAsia"/>
          <w:sz w:val="15"/>
          <w:szCs w:val="15"/>
        </w:rPr>
        <w:t>图6</w:t>
      </w:r>
      <w:r w:rsidRPr="00445FB2">
        <w:rPr>
          <w:rFonts w:ascii="宋体" w:hAnsi="宋体"/>
          <w:sz w:val="15"/>
          <w:szCs w:val="15"/>
        </w:rPr>
        <w:t xml:space="preserve"> </w:t>
      </w:r>
      <w:r w:rsidRPr="00445FB2">
        <w:rPr>
          <w:rFonts w:ascii="宋体" w:hAnsi="宋体" w:hint="eastAsia"/>
          <w:sz w:val="15"/>
          <w:szCs w:val="15"/>
        </w:rPr>
        <w:t>一元线性分析预测结果</w:t>
      </w:r>
    </w:p>
    <w:p w14:paraId="67B03609" w14:textId="77777777" w:rsidR="00445FB2" w:rsidRPr="00445FB2" w:rsidRDefault="00445FB2" w:rsidP="00445FB2">
      <w:pPr>
        <w:pStyle w:val="a9"/>
        <w:spacing w:after="0"/>
        <w:jc w:val="center"/>
        <w:rPr>
          <w:rFonts w:ascii="宋体" w:hAnsi="宋体"/>
          <w:sz w:val="15"/>
          <w:szCs w:val="15"/>
        </w:rPr>
      </w:pPr>
    </w:p>
    <w:p w14:paraId="678694B9" w14:textId="52244AC3" w:rsidR="00343EE5" w:rsidRPr="00445FB2" w:rsidRDefault="00445FB2" w:rsidP="00445FB2">
      <w:pPr>
        <w:pStyle w:val="a9"/>
        <w:spacing w:after="0"/>
        <w:jc w:val="center"/>
        <w:rPr>
          <w:rFonts w:ascii="宋体" w:hAnsi="宋体"/>
          <w:sz w:val="15"/>
          <w:szCs w:val="15"/>
        </w:rPr>
      </w:pPr>
      <w:r w:rsidRPr="00445FB2">
        <w:rPr>
          <w:rFonts w:ascii="宋体" w:hAnsi="宋体" w:hint="eastAsia"/>
          <w:sz w:val="15"/>
          <w:szCs w:val="15"/>
        </w:rPr>
        <w:t>表2</w:t>
      </w:r>
      <w:r w:rsidRPr="00445FB2">
        <w:rPr>
          <w:rFonts w:ascii="宋体" w:hAnsi="宋体"/>
          <w:sz w:val="15"/>
          <w:szCs w:val="15"/>
        </w:rPr>
        <w:t xml:space="preserve"> </w:t>
      </w:r>
      <w:r w:rsidRPr="00445FB2">
        <w:rPr>
          <w:rFonts w:ascii="宋体" w:hAnsi="宋体" w:hint="eastAsia"/>
          <w:sz w:val="15"/>
          <w:szCs w:val="15"/>
        </w:rPr>
        <w:t>回归统计</w:t>
      </w:r>
      <w:r>
        <w:rPr>
          <w:rFonts w:ascii="宋体" w:hAnsi="宋体" w:hint="eastAsia"/>
          <w:sz w:val="15"/>
          <w:szCs w:val="15"/>
        </w:rPr>
        <w:t>结果</w:t>
      </w:r>
    </w:p>
    <w:tbl>
      <w:tblPr>
        <w:tblW w:w="2662" w:type="dxa"/>
        <w:jc w:val="center"/>
        <w:tblLook w:val="0420" w:firstRow="1" w:lastRow="0" w:firstColumn="0" w:lastColumn="0" w:noHBand="0" w:noVBand="1"/>
      </w:tblPr>
      <w:tblGrid>
        <w:gridCol w:w="1772"/>
        <w:gridCol w:w="890"/>
      </w:tblGrid>
      <w:tr w:rsidR="00445FB2" w:rsidRPr="006F5DAC" w14:paraId="7F024ECC" w14:textId="77777777" w:rsidTr="00445FB2">
        <w:trPr>
          <w:trHeight w:val="288"/>
          <w:jc w:val="center"/>
        </w:trPr>
        <w:tc>
          <w:tcPr>
            <w:tcW w:w="1772" w:type="dxa"/>
            <w:tcBorders>
              <w:top w:val="single" w:sz="8" w:space="0" w:color="auto"/>
              <w:left w:val="nil"/>
              <w:bottom w:val="single" w:sz="4" w:space="0" w:color="auto"/>
              <w:right w:val="nil"/>
            </w:tcBorders>
            <w:shd w:val="clear" w:color="auto" w:fill="auto"/>
            <w:noWrap/>
            <w:vAlign w:val="center"/>
            <w:hideMark/>
          </w:tcPr>
          <w:p w14:paraId="49F8E76E" w14:textId="77777777" w:rsidR="00445FB2" w:rsidRPr="006F5DAC" w:rsidRDefault="00445FB2" w:rsidP="00445FB2">
            <w:pPr>
              <w:jc w:val="center"/>
              <w:rPr>
                <w:rFonts w:ascii="宋体" w:eastAsia="宋体" w:hAnsi="宋体" w:cs="宋体"/>
                <w:color w:val="000000"/>
                <w:sz w:val="15"/>
                <w:szCs w:val="15"/>
              </w:rPr>
            </w:pPr>
            <w:r w:rsidRPr="006F5DAC">
              <w:rPr>
                <w:rFonts w:ascii="宋体" w:eastAsia="宋体" w:hAnsi="宋体" w:cs="宋体" w:hint="eastAsia"/>
                <w:color w:val="000000"/>
                <w:sz w:val="15"/>
                <w:szCs w:val="15"/>
              </w:rPr>
              <w:t>Multiple R</w:t>
            </w:r>
          </w:p>
        </w:tc>
        <w:tc>
          <w:tcPr>
            <w:tcW w:w="890" w:type="dxa"/>
            <w:tcBorders>
              <w:top w:val="single" w:sz="8" w:space="0" w:color="auto"/>
              <w:left w:val="nil"/>
              <w:bottom w:val="single" w:sz="4" w:space="0" w:color="auto"/>
              <w:right w:val="nil"/>
            </w:tcBorders>
            <w:shd w:val="clear" w:color="auto" w:fill="auto"/>
            <w:noWrap/>
            <w:vAlign w:val="center"/>
            <w:hideMark/>
          </w:tcPr>
          <w:p w14:paraId="6CD33E1A" w14:textId="77777777" w:rsidR="00445FB2" w:rsidRPr="006F5DAC" w:rsidRDefault="00445FB2" w:rsidP="00445FB2">
            <w:pPr>
              <w:jc w:val="center"/>
              <w:rPr>
                <w:rFonts w:ascii="宋体" w:eastAsia="宋体" w:hAnsi="宋体" w:cs="宋体"/>
                <w:color w:val="000000"/>
                <w:sz w:val="15"/>
                <w:szCs w:val="15"/>
              </w:rPr>
            </w:pPr>
            <w:r w:rsidRPr="006F5DAC">
              <w:rPr>
                <w:rFonts w:ascii="宋体" w:eastAsia="宋体" w:hAnsi="宋体" w:cs="宋体" w:hint="eastAsia"/>
                <w:color w:val="000000"/>
                <w:sz w:val="15"/>
                <w:szCs w:val="15"/>
              </w:rPr>
              <w:t>0.99791</w:t>
            </w:r>
          </w:p>
        </w:tc>
      </w:tr>
      <w:tr w:rsidR="00445FB2" w:rsidRPr="006F5DAC" w14:paraId="1DF01B6F" w14:textId="77777777" w:rsidTr="00445FB2">
        <w:trPr>
          <w:trHeight w:val="288"/>
          <w:jc w:val="center"/>
        </w:trPr>
        <w:tc>
          <w:tcPr>
            <w:tcW w:w="1772" w:type="dxa"/>
            <w:tcBorders>
              <w:top w:val="single" w:sz="4" w:space="0" w:color="auto"/>
              <w:left w:val="nil"/>
              <w:bottom w:val="nil"/>
              <w:right w:val="nil"/>
            </w:tcBorders>
            <w:shd w:val="clear" w:color="auto" w:fill="auto"/>
            <w:noWrap/>
            <w:vAlign w:val="center"/>
            <w:hideMark/>
          </w:tcPr>
          <w:p w14:paraId="1695E2EB" w14:textId="77777777" w:rsidR="00445FB2" w:rsidRPr="006F5DAC" w:rsidRDefault="00445FB2" w:rsidP="00445FB2">
            <w:pPr>
              <w:jc w:val="center"/>
              <w:rPr>
                <w:rFonts w:ascii="宋体" w:eastAsia="宋体" w:hAnsi="宋体" w:cs="宋体"/>
                <w:color w:val="000000"/>
                <w:sz w:val="15"/>
                <w:szCs w:val="15"/>
              </w:rPr>
            </w:pPr>
            <w:r w:rsidRPr="006F5DAC">
              <w:rPr>
                <w:rFonts w:ascii="宋体" w:eastAsia="宋体" w:hAnsi="宋体" w:cs="宋体" w:hint="eastAsia"/>
                <w:color w:val="000000"/>
                <w:sz w:val="15"/>
                <w:szCs w:val="15"/>
              </w:rPr>
              <w:t>R Square</w:t>
            </w:r>
          </w:p>
        </w:tc>
        <w:tc>
          <w:tcPr>
            <w:tcW w:w="890" w:type="dxa"/>
            <w:tcBorders>
              <w:top w:val="single" w:sz="4" w:space="0" w:color="auto"/>
              <w:left w:val="nil"/>
              <w:bottom w:val="nil"/>
              <w:right w:val="nil"/>
            </w:tcBorders>
            <w:shd w:val="clear" w:color="auto" w:fill="auto"/>
            <w:noWrap/>
            <w:vAlign w:val="center"/>
            <w:hideMark/>
          </w:tcPr>
          <w:p w14:paraId="0F2F2020" w14:textId="77777777" w:rsidR="00445FB2" w:rsidRPr="006F5DAC" w:rsidRDefault="00445FB2" w:rsidP="00445FB2">
            <w:pPr>
              <w:jc w:val="center"/>
              <w:rPr>
                <w:rFonts w:ascii="宋体" w:eastAsia="宋体" w:hAnsi="宋体" w:cs="宋体"/>
                <w:color w:val="000000"/>
                <w:sz w:val="15"/>
                <w:szCs w:val="15"/>
              </w:rPr>
            </w:pPr>
            <w:r w:rsidRPr="006F5DAC">
              <w:rPr>
                <w:rFonts w:ascii="宋体" w:eastAsia="宋体" w:hAnsi="宋体" w:cs="宋体" w:hint="eastAsia"/>
                <w:color w:val="000000"/>
                <w:sz w:val="15"/>
                <w:szCs w:val="15"/>
              </w:rPr>
              <w:t>0.995824</w:t>
            </w:r>
          </w:p>
        </w:tc>
      </w:tr>
      <w:tr w:rsidR="00445FB2" w:rsidRPr="006F5DAC" w14:paraId="3CFCCD2C" w14:textId="77777777" w:rsidTr="00445FB2">
        <w:trPr>
          <w:trHeight w:val="288"/>
          <w:jc w:val="center"/>
        </w:trPr>
        <w:tc>
          <w:tcPr>
            <w:tcW w:w="1772" w:type="dxa"/>
            <w:tcBorders>
              <w:top w:val="nil"/>
              <w:left w:val="nil"/>
              <w:bottom w:val="nil"/>
              <w:right w:val="nil"/>
            </w:tcBorders>
            <w:shd w:val="clear" w:color="auto" w:fill="auto"/>
            <w:noWrap/>
            <w:vAlign w:val="center"/>
            <w:hideMark/>
          </w:tcPr>
          <w:p w14:paraId="1F592075" w14:textId="77777777" w:rsidR="00445FB2" w:rsidRPr="006F5DAC" w:rsidRDefault="00445FB2" w:rsidP="00445FB2">
            <w:pPr>
              <w:jc w:val="center"/>
              <w:rPr>
                <w:rFonts w:ascii="宋体" w:eastAsia="宋体" w:hAnsi="宋体" w:cs="宋体"/>
                <w:color w:val="000000"/>
                <w:sz w:val="15"/>
                <w:szCs w:val="15"/>
              </w:rPr>
            </w:pPr>
            <w:r w:rsidRPr="006F5DAC">
              <w:rPr>
                <w:rFonts w:ascii="宋体" w:eastAsia="宋体" w:hAnsi="宋体" w:cs="宋体" w:hint="eastAsia"/>
                <w:color w:val="000000"/>
                <w:sz w:val="15"/>
                <w:szCs w:val="15"/>
              </w:rPr>
              <w:t>Adjusted R Square</w:t>
            </w:r>
          </w:p>
        </w:tc>
        <w:tc>
          <w:tcPr>
            <w:tcW w:w="890" w:type="dxa"/>
            <w:tcBorders>
              <w:top w:val="nil"/>
              <w:left w:val="nil"/>
              <w:bottom w:val="nil"/>
              <w:right w:val="nil"/>
            </w:tcBorders>
            <w:shd w:val="clear" w:color="auto" w:fill="auto"/>
            <w:noWrap/>
            <w:vAlign w:val="center"/>
            <w:hideMark/>
          </w:tcPr>
          <w:p w14:paraId="393EE5A5" w14:textId="77777777" w:rsidR="00445FB2" w:rsidRPr="006F5DAC" w:rsidRDefault="00445FB2" w:rsidP="00445FB2">
            <w:pPr>
              <w:jc w:val="center"/>
              <w:rPr>
                <w:rFonts w:ascii="宋体" w:eastAsia="宋体" w:hAnsi="宋体" w:cs="宋体"/>
                <w:color w:val="000000"/>
                <w:sz w:val="15"/>
                <w:szCs w:val="15"/>
              </w:rPr>
            </w:pPr>
            <w:r w:rsidRPr="006F5DAC">
              <w:rPr>
                <w:rFonts w:ascii="宋体" w:eastAsia="宋体" w:hAnsi="宋体" w:cs="宋体" w:hint="eastAsia"/>
                <w:color w:val="000000"/>
                <w:sz w:val="15"/>
                <w:szCs w:val="15"/>
              </w:rPr>
              <w:t>0.995228</w:t>
            </w:r>
          </w:p>
        </w:tc>
      </w:tr>
      <w:tr w:rsidR="00445FB2" w:rsidRPr="006F5DAC" w14:paraId="03146A38" w14:textId="77777777" w:rsidTr="00445FB2">
        <w:trPr>
          <w:trHeight w:val="288"/>
          <w:jc w:val="center"/>
        </w:trPr>
        <w:tc>
          <w:tcPr>
            <w:tcW w:w="1772" w:type="dxa"/>
            <w:tcBorders>
              <w:top w:val="nil"/>
              <w:left w:val="nil"/>
              <w:bottom w:val="nil"/>
              <w:right w:val="nil"/>
            </w:tcBorders>
            <w:shd w:val="clear" w:color="auto" w:fill="auto"/>
            <w:noWrap/>
            <w:vAlign w:val="center"/>
            <w:hideMark/>
          </w:tcPr>
          <w:p w14:paraId="4957EFD8" w14:textId="77777777" w:rsidR="00445FB2" w:rsidRPr="006F5DAC" w:rsidRDefault="00445FB2" w:rsidP="00445FB2">
            <w:pPr>
              <w:jc w:val="center"/>
              <w:rPr>
                <w:rFonts w:ascii="宋体" w:eastAsia="宋体" w:hAnsi="宋体" w:cs="宋体"/>
                <w:color w:val="000000"/>
                <w:sz w:val="15"/>
                <w:szCs w:val="15"/>
              </w:rPr>
            </w:pPr>
            <w:r w:rsidRPr="006F5DAC">
              <w:rPr>
                <w:rFonts w:ascii="宋体" w:eastAsia="宋体" w:hAnsi="宋体" w:cs="宋体" w:hint="eastAsia"/>
                <w:color w:val="000000"/>
                <w:sz w:val="15"/>
                <w:szCs w:val="15"/>
              </w:rPr>
              <w:t>标准误差</w:t>
            </w:r>
          </w:p>
        </w:tc>
        <w:tc>
          <w:tcPr>
            <w:tcW w:w="890" w:type="dxa"/>
            <w:tcBorders>
              <w:top w:val="nil"/>
              <w:left w:val="nil"/>
              <w:bottom w:val="nil"/>
              <w:right w:val="nil"/>
            </w:tcBorders>
            <w:shd w:val="clear" w:color="auto" w:fill="auto"/>
            <w:noWrap/>
            <w:vAlign w:val="center"/>
            <w:hideMark/>
          </w:tcPr>
          <w:p w14:paraId="4D9909A9" w14:textId="77777777" w:rsidR="00445FB2" w:rsidRPr="006F5DAC" w:rsidRDefault="00445FB2" w:rsidP="00445FB2">
            <w:pPr>
              <w:jc w:val="center"/>
              <w:rPr>
                <w:rFonts w:ascii="宋体" w:eastAsia="宋体" w:hAnsi="宋体" w:cs="宋体"/>
                <w:color w:val="000000"/>
                <w:sz w:val="15"/>
                <w:szCs w:val="15"/>
              </w:rPr>
            </w:pPr>
            <w:r w:rsidRPr="006F5DAC">
              <w:rPr>
                <w:rFonts w:ascii="宋体" w:eastAsia="宋体" w:hAnsi="宋体" w:cs="宋体" w:hint="eastAsia"/>
                <w:color w:val="000000"/>
                <w:sz w:val="15"/>
                <w:szCs w:val="15"/>
              </w:rPr>
              <w:t>2114.941</w:t>
            </w:r>
          </w:p>
        </w:tc>
      </w:tr>
      <w:tr w:rsidR="00445FB2" w:rsidRPr="006F5DAC" w14:paraId="7560E813" w14:textId="77777777" w:rsidTr="00445FB2">
        <w:trPr>
          <w:trHeight w:val="118"/>
          <w:jc w:val="center"/>
        </w:trPr>
        <w:tc>
          <w:tcPr>
            <w:tcW w:w="1772" w:type="dxa"/>
            <w:tcBorders>
              <w:top w:val="nil"/>
              <w:left w:val="nil"/>
              <w:bottom w:val="single" w:sz="8" w:space="0" w:color="auto"/>
              <w:right w:val="nil"/>
            </w:tcBorders>
            <w:shd w:val="clear" w:color="auto" w:fill="auto"/>
            <w:noWrap/>
            <w:vAlign w:val="center"/>
            <w:hideMark/>
          </w:tcPr>
          <w:p w14:paraId="413BA74F" w14:textId="77777777" w:rsidR="00445FB2" w:rsidRPr="006F5DAC" w:rsidRDefault="00445FB2" w:rsidP="00445FB2">
            <w:pPr>
              <w:jc w:val="center"/>
              <w:rPr>
                <w:rFonts w:ascii="宋体" w:eastAsia="宋体" w:hAnsi="宋体" w:cs="宋体"/>
                <w:color w:val="000000"/>
                <w:sz w:val="15"/>
                <w:szCs w:val="15"/>
              </w:rPr>
            </w:pPr>
            <w:r w:rsidRPr="006F5DAC">
              <w:rPr>
                <w:rFonts w:ascii="宋体" w:eastAsia="宋体" w:hAnsi="宋体" w:cs="宋体" w:hint="eastAsia"/>
                <w:color w:val="000000"/>
                <w:sz w:val="15"/>
                <w:szCs w:val="15"/>
              </w:rPr>
              <w:t>观测值</w:t>
            </w:r>
          </w:p>
        </w:tc>
        <w:tc>
          <w:tcPr>
            <w:tcW w:w="890" w:type="dxa"/>
            <w:tcBorders>
              <w:top w:val="nil"/>
              <w:left w:val="nil"/>
              <w:bottom w:val="single" w:sz="8" w:space="0" w:color="auto"/>
              <w:right w:val="nil"/>
            </w:tcBorders>
            <w:shd w:val="clear" w:color="auto" w:fill="auto"/>
            <w:noWrap/>
            <w:vAlign w:val="center"/>
            <w:hideMark/>
          </w:tcPr>
          <w:p w14:paraId="288E47B0" w14:textId="77777777" w:rsidR="00445FB2" w:rsidRPr="006F5DAC" w:rsidRDefault="00445FB2" w:rsidP="00445FB2">
            <w:pPr>
              <w:jc w:val="center"/>
              <w:rPr>
                <w:rFonts w:ascii="宋体" w:eastAsia="宋体" w:hAnsi="宋体" w:cs="宋体"/>
                <w:color w:val="000000"/>
                <w:sz w:val="15"/>
                <w:szCs w:val="15"/>
              </w:rPr>
            </w:pPr>
            <w:r w:rsidRPr="006F5DAC">
              <w:rPr>
                <w:rFonts w:ascii="宋体" w:eastAsia="宋体" w:hAnsi="宋体" w:cs="宋体" w:hint="eastAsia"/>
                <w:color w:val="000000"/>
                <w:sz w:val="15"/>
                <w:szCs w:val="15"/>
              </w:rPr>
              <w:t>9</w:t>
            </w:r>
          </w:p>
        </w:tc>
      </w:tr>
    </w:tbl>
    <w:p w14:paraId="08EEAABB" w14:textId="40971415" w:rsidR="00445FB2" w:rsidRPr="00445FB2" w:rsidRDefault="00445FB2" w:rsidP="00445FB2">
      <w:pPr>
        <w:pStyle w:val="a9"/>
        <w:spacing w:after="0" w:line="400" w:lineRule="exact"/>
        <w:ind w:firstLine="357"/>
        <w:rPr>
          <w:rFonts w:ascii="宋体" w:hAnsi="宋体"/>
          <w:sz w:val="18"/>
          <w:szCs w:val="18"/>
        </w:rPr>
      </w:pPr>
      <w:r w:rsidRPr="00445FB2">
        <w:rPr>
          <w:rFonts w:ascii="宋体" w:hAnsi="宋体" w:hint="eastAsia"/>
          <w:sz w:val="18"/>
          <w:szCs w:val="18"/>
        </w:rPr>
        <w:t>不难看出，相关系数r趋近于1，表示Y（信息行业城镇单位就业人员平均工资）与X（年份）有较强的线性正相关性。</w:t>
      </w:r>
    </w:p>
    <w:p w14:paraId="11A2B578" w14:textId="0FECAEA0" w:rsidR="00343EE5" w:rsidRDefault="00343EE5" w:rsidP="00445FB2">
      <w:pPr>
        <w:pStyle w:val="a9"/>
        <w:spacing w:after="0" w:line="400" w:lineRule="exact"/>
        <w:ind w:firstLine="357"/>
        <w:rPr>
          <w:rFonts w:ascii="宋体" w:hAnsi="宋体"/>
          <w:sz w:val="18"/>
          <w:szCs w:val="18"/>
        </w:rPr>
      </w:pPr>
    </w:p>
    <w:p w14:paraId="05F3F7FC" w14:textId="6C66B621" w:rsidR="00445FB2" w:rsidRPr="00445FB2" w:rsidRDefault="00445FB2" w:rsidP="00445FB2">
      <w:pPr>
        <w:pStyle w:val="ad"/>
        <w:numPr>
          <w:ilvl w:val="0"/>
          <w:numId w:val="1"/>
        </w:numPr>
        <w:rPr>
          <w:rFonts w:ascii="黑体" w:eastAsia="黑体" w:hAnsi="黑体"/>
          <w:szCs w:val="21"/>
        </w:rPr>
      </w:pPr>
      <w:r w:rsidRPr="00445FB2">
        <w:rPr>
          <w:rFonts w:ascii="黑体" w:eastAsia="黑体" w:hAnsi="黑体" w:hint="eastAsia"/>
          <w:szCs w:val="21"/>
        </w:rPr>
        <w:t>分析方法</w:t>
      </w:r>
    </w:p>
    <w:p w14:paraId="21CC7E01" w14:textId="77777777" w:rsidR="00445FB2" w:rsidRPr="00445FB2" w:rsidRDefault="00445FB2" w:rsidP="00445FB2">
      <w:pPr>
        <w:pStyle w:val="a9"/>
        <w:spacing w:after="0" w:line="400" w:lineRule="exact"/>
        <w:ind w:firstLine="357"/>
        <w:rPr>
          <w:rFonts w:ascii="宋体" w:hAnsi="宋体"/>
          <w:sz w:val="18"/>
          <w:szCs w:val="18"/>
        </w:rPr>
      </w:pPr>
      <w:r w:rsidRPr="00445FB2">
        <w:rPr>
          <w:rFonts w:ascii="宋体" w:hAnsi="宋体" w:hint="eastAsia"/>
          <w:sz w:val="18"/>
          <w:szCs w:val="18"/>
        </w:rPr>
        <w:t>本文使用一元线性回归分析（Pearson相关系数法）来观察信息行业城镇单位平均工资与年份之间的关系。</w:t>
      </w:r>
    </w:p>
    <w:p w14:paraId="00818C6B" w14:textId="0448A56E" w:rsidR="00A337F8" w:rsidRDefault="00445FB2" w:rsidP="00A337F8">
      <w:pPr>
        <w:pStyle w:val="a9"/>
        <w:spacing w:after="0" w:line="400" w:lineRule="exact"/>
        <w:ind w:firstLine="357"/>
        <w:rPr>
          <w:rFonts w:ascii="宋体" w:hAnsi="宋体"/>
          <w:sz w:val="18"/>
          <w:szCs w:val="18"/>
        </w:rPr>
      </w:pPr>
      <w:r w:rsidRPr="00445FB2">
        <w:rPr>
          <w:rFonts w:ascii="宋体" w:hAnsi="宋体" w:hint="eastAsia"/>
          <w:sz w:val="18"/>
          <w:szCs w:val="18"/>
        </w:rPr>
        <w:t>Pearson相关系数法是一种度量两个变量之间关系密切程度的度量方法，广泛应用于风险预测、舆情评估等各个领域</w:t>
      </w:r>
      <w:r w:rsidR="00E819B5">
        <w:rPr>
          <w:rFonts w:ascii="宋体" w:hAnsi="宋体" w:hint="eastAsia"/>
          <w:sz w:val="18"/>
          <w:szCs w:val="18"/>
          <w:vertAlign w:val="superscript"/>
        </w:rPr>
        <w:t>[</w:t>
      </w:r>
      <w:r w:rsidR="00E819B5">
        <w:rPr>
          <w:rFonts w:ascii="宋体" w:hAnsi="宋体"/>
          <w:sz w:val="18"/>
          <w:szCs w:val="18"/>
          <w:vertAlign w:val="superscript"/>
        </w:rPr>
        <w:t>3]</w:t>
      </w:r>
      <w:r w:rsidRPr="00445FB2">
        <w:rPr>
          <w:rFonts w:ascii="宋体" w:hAnsi="宋体" w:hint="eastAsia"/>
          <w:sz w:val="18"/>
          <w:szCs w:val="18"/>
        </w:rPr>
        <w:t>。相关计算公式如下：</w:t>
      </w:r>
    </w:p>
    <w:p w14:paraId="32D8E084" w14:textId="60EF796F" w:rsidR="00A337F8" w:rsidRDefault="00A337F8" w:rsidP="00734163">
      <w:pPr>
        <w:pStyle w:val="a9"/>
        <w:spacing w:after="0" w:line="720" w:lineRule="auto"/>
        <w:ind w:firstLine="357"/>
        <w:rPr>
          <w:rFonts w:ascii="宋体" w:hAnsi="宋体"/>
          <w:sz w:val="18"/>
          <w:szCs w:val="18"/>
        </w:rPr>
      </w:pPr>
      <m:oMathPara>
        <m:oMath>
          <m:r>
            <w:rPr>
              <w:rFonts w:ascii="Cambria Math" w:hAnsi="Cambria Math" w:hint="eastAsia"/>
              <w:sz w:val="18"/>
              <w:szCs w:val="18"/>
            </w:rPr>
            <m:t>r</m:t>
          </m:r>
          <m:r>
            <w:rPr>
              <w:rFonts w:ascii="Cambria Math" w:hAnsi="Cambria Math"/>
              <w:sz w:val="18"/>
              <w:szCs w:val="18"/>
            </w:rPr>
            <m:t>=</m:t>
          </m:r>
          <m:f>
            <m:fPr>
              <m:ctrlPr>
                <w:rPr>
                  <w:rFonts w:ascii="Cambria Math" w:eastAsiaTheme="minorEastAsia" w:hAnsi="Cambria Math" w:cstheme="minorBidi"/>
                  <w:i/>
                  <w:szCs w:val="22"/>
                </w:rPr>
              </m:ctrlPr>
            </m:fPr>
            <m:num>
              <m:r>
                <w:rPr>
                  <w:rFonts w:ascii="Cambria Math" w:hAnsi="Cambria Math"/>
                  <w:szCs w:val="22"/>
                </w:rPr>
                <m:t>N</m:t>
              </m:r>
              <m:nary>
                <m:naryPr>
                  <m:chr m:val="∑"/>
                  <m:limLoc m:val="undOvr"/>
                  <m:ctrlPr>
                    <w:rPr>
                      <w:rFonts w:ascii="Cambria Math" w:eastAsiaTheme="minorEastAsia" w:hAnsi="Cambria Math" w:cstheme="minorBidi"/>
                      <w:i/>
                      <w:szCs w:val="22"/>
                    </w:rPr>
                  </m:ctrlPr>
                </m:naryPr>
                <m:sub>
                  <m:r>
                    <w:rPr>
                      <w:rFonts w:ascii="Cambria Math" w:hAnsi="Cambria Math"/>
                      <w:szCs w:val="22"/>
                    </w:rPr>
                    <m:t>i=1</m:t>
                  </m:r>
                </m:sub>
                <m:sup>
                  <m:r>
                    <w:rPr>
                      <w:rFonts w:ascii="Cambria Math" w:hAnsi="Cambria Math"/>
                      <w:szCs w:val="22"/>
                    </w:rPr>
                    <m:t>n</m:t>
                  </m:r>
                </m:sup>
                <m:e>
                  <m:r>
                    <w:rPr>
                      <w:rFonts w:ascii="Cambria Math" w:hAnsi="Cambria Math"/>
                      <w:szCs w:val="22"/>
                    </w:rPr>
                    <m:t>(</m:t>
                  </m:r>
                  <m:sSub>
                    <m:sSubPr>
                      <m:ctrlPr>
                        <w:rPr>
                          <w:rFonts w:ascii="Cambria Math" w:eastAsiaTheme="minorEastAsia" w:hAnsi="Cambria Math" w:cstheme="minorBidi"/>
                          <w:i/>
                          <w:szCs w:val="22"/>
                        </w:rPr>
                      </m:ctrlPr>
                    </m:sSubPr>
                    <m:e>
                      <m:r>
                        <w:rPr>
                          <w:rFonts w:ascii="Cambria Math" w:hAnsi="Cambria Math"/>
                          <w:szCs w:val="22"/>
                        </w:rPr>
                        <m:t>x</m:t>
                      </m:r>
                    </m:e>
                    <m:sub>
                      <m:r>
                        <w:rPr>
                          <w:rFonts w:ascii="Cambria Math" w:hAnsi="Cambria Math"/>
                          <w:szCs w:val="22"/>
                        </w:rPr>
                        <m:t>i</m:t>
                      </m:r>
                    </m:sub>
                  </m:sSub>
                  <m:r>
                    <w:rPr>
                      <w:rFonts w:ascii="Cambria Math" w:hAnsi="Cambria Math"/>
                      <w:szCs w:val="22"/>
                    </w:rPr>
                    <m:t>-</m:t>
                  </m:r>
                  <m:acc>
                    <m:accPr>
                      <m:chr m:val="̅"/>
                      <m:ctrlPr>
                        <w:rPr>
                          <w:rFonts w:ascii="Cambria Math" w:eastAsiaTheme="minorEastAsia" w:hAnsi="Cambria Math" w:cstheme="minorBidi"/>
                          <w:i/>
                          <w:szCs w:val="22"/>
                        </w:rPr>
                      </m:ctrlPr>
                    </m:accPr>
                    <m:e>
                      <m:r>
                        <w:rPr>
                          <w:rFonts w:ascii="Cambria Math" w:hAnsi="Cambria Math"/>
                          <w:szCs w:val="22"/>
                        </w:rPr>
                        <m:t>x</m:t>
                      </m:r>
                    </m:e>
                  </m:acc>
                  <m:r>
                    <w:rPr>
                      <w:rFonts w:ascii="Cambria Math" w:hAnsi="Cambria Math"/>
                      <w:szCs w:val="22"/>
                    </w:rPr>
                    <m:t>)(</m:t>
                  </m:r>
                  <m:sSub>
                    <m:sSubPr>
                      <m:ctrlPr>
                        <w:rPr>
                          <w:rFonts w:ascii="Cambria Math" w:eastAsiaTheme="minorEastAsia" w:hAnsi="Cambria Math" w:cstheme="minorBidi"/>
                          <w:i/>
                          <w:szCs w:val="22"/>
                        </w:rPr>
                      </m:ctrlPr>
                    </m:sSubPr>
                    <m:e>
                      <m:r>
                        <w:rPr>
                          <w:rFonts w:ascii="Cambria Math" w:hAnsi="Cambria Math"/>
                          <w:szCs w:val="22"/>
                        </w:rPr>
                        <m:t>y</m:t>
                      </m:r>
                    </m:e>
                    <m:sub>
                      <m:r>
                        <w:rPr>
                          <w:rFonts w:ascii="Cambria Math" w:hAnsi="Cambria Math"/>
                          <w:szCs w:val="22"/>
                        </w:rPr>
                        <m:t>i</m:t>
                      </m:r>
                    </m:sub>
                  </m:sSub>
                  <m:r>
                    <w:rPr>
                      <w:rFonts w:ascii="Cambria Math" w:hAnsi="Cambria Math"/>
                      <w:szCs w:val="22"/>
                    </w:rPr>
                    <m:t>-</m:t>
                  </m:r>
                  <m:acc>
                    <m:accPr>
                      <m:chr m:val="̅"/>
                      <m:ctrlPr>
                        <w:rPr>
                          <w:rFonts w:ascii="Cambria Math" w:eastAsiaTheme="minorEastAsia" w:hAnsi="Cambria Math" w:cstheme="minorBidi"/>
                          <w:i/>
                          <w:szCs w:val="22"/>
                        </w:rPr>
                      </m:ctrlPr>
                    </m:accPr>
                    <m:e>
                      <m:r>
                        <w:rPr>
                          <w:rFonts w:ascii="Cambria Math" w:hAnsi="Cambria Math"/>
                          <w:szCs w:val="22"/>
                        </w:rPr>
                        <m:t>y</m:t>
                      </m:r>
                    </m:e>
                  </m:acc>
                  <m:r>
                    <w:rPr>
                      <w:rFonts w:ascii="Cambria Math" w:hAnsi="Cambria Math"/>
                      <w:szCs w:val="22"/>
                    </w:rPr>
                    <m:t>)</m:t>
                  </m:r>
                </m:e>
              </m:nary>
            </m:num>
            <m:den>
              <m:rad>
                <m:radPr>
                  <m:degHide m:val="1"/>
                  <m:ctrlPr>
                    <w:rPr>
                      <w:rFonts w:ascii="Cambria Math" w:eastAsiaTheme="minorEastAsia" w:hAnsi="Cambria Math" w:cstheme="minorBidi"/>
                      <w:i/>
                      <w:szCs w:val="22"/>
                    </w:rPr>
                  </m:ctrlPr>
                </m:radPr>
                <m:deg/>
                <m:e>
                  <m:nary>
                    <m:naryPr>
                      <m:chr m:val="∑"/>
                      <m:limLoc m:val="undOvr"/>
                      <m:ctrlPr>
                        <w:rPr>
                          <w:rFonts w:ascii="Cambria Math" w:eastAsiaTheme="minorEastAsia" w:hAnsi="Cambria Math" w:cstheme="minorBidi"/>
                          <w:i/>
                          <w:szCs w:val="22"/>
                        </w:rPr>
                      </m:ctrlPr>
                    </m:naryPr>
                    <m:sub>
                      <m:r>
                        <w:rPr>
                          <w:rFonts w:ascii="Cambria Math" w:hAnsi="Cambria Math"/>
                          <w:szCs w:val="22"/>
                        </w:rPr>
                        <m:t>i=1</m:t>
                      </m:r>
                    </m:sub>
                    <m:sup>
                      <m:r>
                        <w:rPr>
                          <w:rFonts w:ascii="Cambria Math" w:hAnsi="Cambria Math"/>
                          <w:szCs w:val="22"/>
                        </w:rPr>
                        <m:t>n</m:t>
                      </m:r>
                    </m:sup>
                    <m:e>
                      <m:sSup>
                        <m:sSupPr>
                          <m:ctrlPr>
                            <w:rPr>
                              <w:rFonts w:ascii="Cambria Math" w:eastAsiaTheme="minorEastAsia" w:hAnsi="Cambria Math" w:cstheme="minorBidi"/>
                              <w:i/>
                              <w:szCs w:val="22"/>
                            </w:rPr>
                          </m:ctrlPr>
                        </m:sSupPr>
                        <m:e>
                          <m:r>
                            <w:rPr>
                              <w:rFonts w:ascii="Cambria Math" w:hAnsi="Cambria Math"/>
                              <w:szCs w:val="22"/>
                            </w:rPr>
                            <m:t>(</m:t>
                          </m:r>
                          <m:sSub>
                            <m:sSubPr>
                              <m:ctrlPr>
                                <w:rPr>
                                  <w:rFonts w:ascii="Cambria Math" w:eastAsiaTheme="minorEastAsia" w:hAnsi="Cambria Math" w:cstheme="minorBidi"/>
                                  <w:i/>
                                  <w:szCs w:val="22"/>
                                </w:rPr>
                              </m:ctrlPr>
                            </m:sSubPr>
                            <m:e>
                              <m:r>
                                <w:rPr>
                                  <w:rFonts w:ascii="Cambria Math" w:hAnsi="Cambria Math"/>
                                  <w:szCs w:val="22"/>
                                </w:rPr>
                                <m:t>x</m:t>
                              </m:r>
                            </m:e>
                            <m:sub>
                              <m:r>
                                <w:rPr>
                                  <w:rFonts w:ascii="Cambria Math" w:hAnsi="Cambria Math"/>
                                  <w:szCs w:val="22"/>
                                </w:rPr>
                                <m:t>i</m:t>
                              </m:r>
                            </m:sub>
                          </m:sSub>
                          <m:r>
                            <w:rPr>
                              <w:rFonts w:ascii="Cambria Math" w:hAnsi="Cambria Math"/>
                              <w:szCs w:val="22"/>
                            </w:rPr>
                            <m:t>-</m:t>
                          </m:r>
                          <m:acc>
                            <m:accPr>
                              <m:chr m:val="̅"/>
                              <m:ctrlPr>
                                <w:rPr>
                                  <w:rFonts w:ascii="Cambria Math" w:eastAsiaTheme="minorEastAsia" w:hAnsi="Cambria Math" w:cstheme="minorBidi"/>
                                  <w:i/>
                                  <w:szCs w:val="22"/>
                                </w:rPr>
                              </m:ctrlPr>
                            </m:accPr>
                            <m:e>
                              <m:r>
                                <w:rPr>
                                  <w:rFonts w:ascii="Cambria Math" w:hAnsi="Cambria Math"/>
                                  <w:szCs w:val="22"/>
                                </w:rPr>
                                <m:t>x</m:t>
                              </m:r>
                            </m:e>
                          </m:acc>
                          <m:r>
                            <w:rPr>
                              <w:rFonts w:ascii="Cambria Math" w:hAnsi="Cambria Math"/>
                              <w:szCs w:val="22"/>
                            </w:rPr>
                            <m:t>)</m:t>
                          </m:r>
                        </m:e>
                        <m:sup>
                          <m:r>
                            <w:rPr>
                              <w:rFonts w:ascii="Cambria Math" w:hAnsi="Cambria Math"/>
                              <w:szCs w:val="22"/>
                            </w:rPr>
                            <m:t>2</m:t>
                          </m:r>
                        </m:sup>
                      </m:sSup>
                    </m:e>
                  </m:nary>
                </m:e>
              </m:rad>
              <m:rad>
                <m:radPr>
                  <m:degHide m:val="1"/>
                  <m:ctrlPr>
                    <w:rPr>
                      <w:rFonts w:ascii="Cambria Math" w:eastAsiaTheme="minorEastAsia" w:hAnsi="Cambria Math" w:cstheme="minorBidi"/>
                      <w:i/>
                      <w:szCs w:val="22"/>
                    </w:rPr>
                  </m:ctrlPr>
                </m:radPr>
                <m:deg/>
                <m:e>
                  <m:nary>
                    <m:naryPr>
                      <m:chr m:val="∑"/>
                      <m:limLoc m:val="undOvr"/>
                      <m:ctrlPr>
                        <w:rPr>
                          <w:rFonts w:ascii="Cambria Math" w:eastAsiaTheme="minorEastAsia" w:hAnsi="Cambria Math" w:cstheme="minorBidi"/>
                          <w:i/>
                          <w:szCs w:val="22"/>
                        </w:rPr>
                      </m:ctrlPr>
                    </m:naryPr>
                    <m:sub>
                      <m:r>
                        <w:rPr>
                          <w:rFonts w:ascii="Cambria Math" w:hAnsi="Cambria Math"/>
                          <w:szCs w:val="22"/>
                        </w:rPr>
                        <m:t>i=1</m:t>
                      </m:r>
                    </m:sub>
                    <m:sup>
                      <m:r>
                        <w:rPr>
                          <w:rFonts w:ascii="Cambria Math" w:hAnsi="Cambria Math"/>
                          <w:szCs w:val="22"/>
                        </w:rPr>
                        <m:t>n</m:t>
                      </m:r>
                    </m:sup>
                    <m:e>
                      <m:sSup>
                        <m:sSupPr>
                          <m:ctrlPr>
                            <w:rPr>
                              <w:rFonts w:ascii="Cambria Math" w:eastAsiaTheme="minorEastAsia" w:hAnsi="Cambria Math" w:cstheme="minorBidi"/>
                              <w:i/>
                              <w:szCs w:val="22"/>
                            </w:rPr>
                          </m:ctrlPr>
                        </m:sSupPr>
                        <m:e>
                          <m:r>
                            <w:rPr>
                              <w:rFonts w:ascii="Cambria Math" w:hAnsi="Cambria Math"/>
                              <w:szCs w:val="22"/>
                            </w:rPr>
                            <m:t>(</m:t>
                          </m:r>
                          <m:sSub>
                            <m:sSubPr>
                              <m:ctrlPr>
                                <w:rPr>
                                  <w:rFonts w:ascii="Cambria Math" w:eastAsiaTheme="minorEastAsia" w:hAnsi="Cambria Math" w:cstheme="minorBidi"/>
                                  <w:i/>
                                  <w:szCs w:val="22"/>
                                </w:rPr>
                              </m:ctrlPr>
                            </m:sSubPr>
                            <m:e>
                              <m:r>
                                <w:rPr>
                                  <w:rFonts w:ascii="Cambria Math" w:hAnsi="Cambria Math"/>
                                  <w:szCs w:val="22"/>
                                </w:rPr>
                                <m:t>y</m:t>
                              </m:r>
                            </m:e>
                            <m:sub>
                              <m:r>
                                <w:rPr>
                                  <w:rFonts w:ascii="Cambria Math" w:hAnsi="Cambria Math"/>
                                  <w:szCs w:val="22"/>
                                </w:rPr>
                                <m:t>i</m:t>
                              </m:r>
                            </m:sub>
                          </m:sSub>
                          <m:r>
                            <w:rPr>
                              <w:rFonts w:ascii="Cambria Math" w:hAnsi="Cambria Math"/>
                              <w:szCs w:val="22"/>
                            </w:rPr>
                            <m:t>-</m:t>
                          </m:r>
                          <m:acc>
                            <m:accPr>
                              <m:chr m:val="̅"/>
                              <m:ctrlPr>
                                <w:rPr>
                                  <w:rFonts w:ascii="Cambria Math" w:eastAsiaTheme="minorEastAsia" w:hAnsi="Cambria Math" w:cstheme="minorBidi"/>
                                  <w:i/>
                                  <w:szCs w:val="22"/>
                                </w:rPr>
                              </m:ctrlPr>
                            </m:accPr>
                            <m:e>
                              <m:r>
                                <w:rPr>
                                  <w:rFonts w:ascii="Cambria Math" w:hAnsi="Cambria Math"/>
                                  <w:szCs w:val="22"/>
                                </w:rPr>
                                <m:t>y</m:t>
                              </m:r>
                            </m:e>
                          </m:acc>
                          <m:r>
                            <w:rPr>
                              <w:rFonts w:ascii="Cambria Math" w:hAnsi="Cambria Math"/>
                              <w:szCs w:val="22"/>
                            </w:rPr>
                            <m:t>)</m:t>
                          </m:r>
                        </m:e>
                        <m:sup>
                          <m:r>
                            <w:rPr>
                              <w:rFonts w:ascii="Cambria Math" w:hAnsi="Cambria Math"/>
                              <w:szCs w:val="22"/>
                            </w:rPr>
                            <m:t>2</m:t>
                          </m:r>
                        </m:sup>
                      </m:sSup>
                    </m:e>
                  </m:nary>
                </m:e>
              </m:rad>
            </m:den>
          </m:f>
        </m:oMath>
      </m:oMathPara>
    </w:p>
    <w:p w14:paraId="09227699" w14:textId="08D37269" w:rsidR="00343EE5" w:rsidRPr="00445FB2" w:rsidRDefault="00445FB2" w:rsidP="00A337F8">
      <w:pPr>
        <w:pStyle w:val="a9"/>
        <w:spacing w:after="0" w:line="400" w:lineRule="exact"/>
        <w:ind w:firstLine="357"/>
        <w:rPr>
          <w:rFonts w:ascii="宋体" w:hAnsi="宋体"/>
          <w:sz w:val="18"/>
          <w:szCs w:val="18"/>
        </w:rPr>
      </w:pPr>
      <w:r w:rsidRPr="00445FB2">
        <w:rPr>
          <w:rFonts w:ascii="宋体" w:hAnsi="宋体" w:hint="eastAsia"/>
          <w:sz w:val="18"/>
          <w:szCs w:val="18"/>
        </w:rPr>
        <w:lastRenderedPageBreak/>
        <w:t>r的绝对值越接近1，两个因素的相关性越强。</w:t>
      </w:r>
    </w:p>
    <w:p w14:paraId="3E14A309" w14:textId="720DA4C3" w:rsidR="00225C4D" w:rsidRDefault="00225C4D" w:rsidP="00E26D2F">
      <w:pPr>
        <w:pStyle w:val="a9"/>
        <w:spacing w:after="0" w:line="400" w:lineRule="exact"/>
        <w:rPr>
          <w:rFonts w:ascii="宋体" w:hAnsi="宋体"/>
          <w:sz w:val="18"/>
          <w:szCs w:val="18"/>
        </w:rPr>
      </w:pPr>
    </w:p>
    <w:p w14:paraId="1076D3A4" w14:textId="52C44062" w:rsidR="00E26D2F" w:rsidRPr="00AA7BF7" w:rsidRDefault="00E26D2F" w:rsidP="00AA7BF7">
      <w:pPr>
        <w:pStyle w:val="ad"/>
        <w:numPr>
          <w:ilvl w:val="0"/>
          <w:numId w:val="1"/>
        </w:numPr>
        <w:rPr>
          <w:rFonts w:ascii="黑体" w:eastAsia="黑体" w:hAnsi="黑体"/>
          <w:szCs w:val="21"/>
        </w:rPr>
      </w:pPr>
      <w:r w:rsidRPr="00AA7BF7">
        <w:rPr>
          <w:rFonts w:ascii="黑体" w:eastAsia="黑体" w:hAnsi="黑体" w:hint="eastAsia"/>
          <w:szCs w:val="21"/>
        </w:rPr>
        <w:t>结论</w:t>
      </w:r>
    </w:p>
    <w:p w14:paraId="4DE6CA30" w14:textId="1E1D7AD6" w:rsidR="00E26D2F" w:rsidRDefault="00E26D2F" w:rsidP="00AA7BF7">
      <w:pPr>
        <w:pStyle w:val="a9"/>
        <w:spacing w:after="0" w:line="400" w:lineRule="exact"/>
        <w:ind w:firstLineChars="200" w:firstLine="360"/>
        <w:rPr>
          <w:rFonts w:ascii="宋体" w:hAnsi="宋体"/>
          <w:sz w:val="18"/>
          <w:szCs w:val="18"/>
        </w:rPr>
      </w:pPr>
      <w:r>
        <w:rPr>
          <w:rFonts w:ascii="宋体" w:hAnsi="宋体" w:hint="eastAsia"/>
          <w:sz w:val="18"/>
          <w:szCs w:val="18"/>
        </w:rPr>
        <w:t>整体上，近1</w:t>
      </w:r>
      <w:r>
        <w:rPr>
          <w:rFonts w:ascii="宋体" w:hAnsi="宋体"/>
          <w:sz w:val="18"/>
          <w:szCs w:val="18"/>
        </w:rPr>
        <w:t>0</w:t>
      </w:r>
      <w:r>
        <w:rPr>
          <w:rFonts w:ascii="宋体" w:hAnsi="宋体" w:hint="eastAsia"/>
          <w:sz w:val="18"/>
          <w:szCs w:val="18"/>
        </w:rPr>
        <w:t>年间（2</w:t>
      </w:r>
      <w:r>
        <w:rPr>
          <w:rFonts w:ascii="宋体" w:hAnsi="宋体"/>
          <w:sz w:val="18"/>
          <w:szCs w:val="18"/>
        </w:rPr>
        <w:t>011-2019</w:t>
      </w:r>
      <w:r>
        <w:rPr>
          <w:rFonts w:ascii="宋体" w:hAnsi="宋体" w:hint="eastAsia"/>
          <w:sz w:val="18"/>
          <w:szCs w:val="18"/>
        </w:rPr>
        <w:t>年），全体行业整体平均工资和信息行业平均工资均处于逐年上涨的情况。近</w:t>
      </w:r>
      <w:r>
        <w:rPr>
          <w:rFonts w:ascii="宋体" w:hAnsi="宋体"/>
          <w:sz w:val="18"/>
          <w:szCs w:val="18"/>
        </w:rPr>
        <w:t>5</w:t>
      </w:r>
      <w:r>
        <w:rPr>
          <w:rFonts w:ascii="宋体" w:hAnsi="宋体" w:hint="eastAsia"/>
          <w:sz w:val="18"/>
          <w:szCs w:val="18"/>
        </w:rPr>
        <w:t>年，信息行业平均工资的增幅</w:t>
      </w:r>
      <w:r w:rsidR="00AA7BF7">
        <w:rPr>
          <w:rFonts w:ascii="宋体" w:hAnsi="宋体" w:hint="eastAsia"/>
          <w:sz w:val="18"/>
          <w:szCs w:val="18"/>
        </w:rPr>
        <w:t>，</w:t>
      </w:r>
      <w:r>
        <w:rPr>
          <w:rFonts w:ascii="宋体" w:hAnsi="宋体" w:hint="eastAsia"/>
          <w:sz w:val="18"/>
          <w:szCs w:val="18"/>
        </w:rPr>
        <w:t>从远高于全体行业</w:t>
      </w:r>
      <w:r w:rsidR="00AA7BF7">
        <w:rPr>
          <w:rFonts w:ascii="宋体" w:hAnsi="宋体" w:hint="eastAsia"/>
          <w:sz w:val="18"/>
          <w:szCs w:val="18"/>
        </w:rPr>
        <w:t>平均工资涨幅</w:t>
      </w:r>
      <w:r>
        <w:rPr>
          <w:rFonts w:ascii="宋体" w:hAnsi="宋体" w:hint="eastAsia"/>
          <w:sz w:val="18"/>
          <w:szCs w:val="18"/>
        </w:rPr>
        <w:t>，逐渐回落到在全体行业平均涨幅附近波动，体现出</w:t>
      </w:r>
      <w:r w:rsidR="00AA7BF7" w:rsidRPr="00225C4D">
        <w:rPr>
          <w:rFonts w:ascii="宋体" w:hAnsi="宋体" w:hint="eastAsia"/>
          <w:sz w:val="18"/>
          <w:szCs w:val="18"/>
        </w:rPr>
        <w:t>市场上对信息行业从业人员提供的薪资涨幅已经趋于平稳</w:t>
      </w:r>
      <w:r w:rsidR="00AA7BF7">
        <w:rPr>
          <w:rFonts w:ascii="宋体" w:hAnsi="宋体" w:hint="eastAsia"/>
          <w:sz w:val="18"/>
          <w:szCs w:val="18"/>
        </w:rPr>
        <w:t>。</w:t>
      </w:r>
    </w:p>
    <w:p w14:paraId="6BFE2766" w14:textId="2E4F0068" w:rsidR="00AA7BF7" w:rsidRDefault="00AA7BF7" w:rsidP="00AA7BF7">
      <w:pPr>
        <w:pStyle w:val="a9"/>
        <w:spacing w:after="0" w:line="400" w:lineRule="exact"/>
        <w:ind w:firstLineChars="200" w:firstLine="360"/>
        <w:rPr>
          <w:rFonts w:ascii="宋体" w:hAnsi="宋体"/>
          <w:sz w:val="18"/>
          <w:szCs w:val="18"/>
        </w:rPr>
      </w:pPr>
      <w:r>
        <w:rPr>
          <w:rFonts w:ascii="宋体" w:hAnsi="宋体" w:hint="eastAsia"/>
          <w:sz w:val="18"/>
          <w:szCs w:val="18"/>
        </w:rPr>
        <w:t>不同经济类型单位的就业人员有着不同的薪资变化趋势。不论对于全体行业整体还是仅考虑信息行业，数据都展示出了以下的规律：国有单位就业人员薪资涨幅平稳且幅度较小；城镇集体单位就业人员的薪资涨幅波动较大；其他单位就业人员平均薪资远高于国有单位、城镇集体单位的就业人员。</w:t>
      </w:r>
    </w:p>
    <w:p w14:paraId="27CF55D9" w14:textId="76A419B1" w:rsidR="00AA7BF7" w:rsidRPr="00445FB2" w:rsidRDefault="00AA7BF7" w:rsidP="00AA7BF7">
      <w:pPr>
        <w:pStyle w:val="a9"/>
        <w:spacing w:after="0" w:line="400" w:lineRule="exact"/>
        <w:ind w:firstLineChars="200" w:firstLine="360"/>
        <w:rPr>
          <w:rFonts w:ascii="宋体" w:hAnsi="宋体"/>
          <w:sz w:val="18"/>
          <w:szCs w:val="18"/>
        </w:rPr>
      </w:pPr>
      <w:r>
        <w:rPr>
          <w:rFonts w:ascii="宋体" w:hAnsi="宋体" w:hint="eastAsia"/>
          <w:sz w:val="18"/>
          <w:szCs w:val="18"/>
        </w:rPr>
        <w:t>信息行业城镇单位平均工资与年份呈显著的正相关性，相关系数r</w:t>
      </w:r>
      <w:r>
        <w:rPr>
          <w:rFonts w:ascii="宋体" w:hAnsi="宋体"/>
          <w:sz w:val="18"/>
          <w:szCs w:val="18"/>
        </w:rPr>
        <w:t>=</w:t>
      </w:r>
      <w:r w:rsidRPr="006F5DAC">
        <w:rPr>
          <w:rFonts w:ascii="宋体" w:hAnsi="宋体" w:cs="宋体" w:hint="eastAsia"/>
          <w:color w:val="000000"/>
          <w:kern w:val="0"/>
          <w:sz w:val="15"/>
          <w:szCs w:val="15"/>
        </w:rPr>
        <w:t>0.99791</w:t>
      </w:r>
      <w:r>
        <w:rPr>
          <w:rFonts w:ascii="宋体" w:hAnsi="宋体" w:cs="宋体" w:hint="eastAsia"/>
          <w:color w:val="000000"/>
          <w:kern w:val="0"/>
          <w:sz w:val="15"/>
          <w:szCs w:val="15"/>
        </w:rPr>
        <w:t>。</w:t>
      </w:r>
    </w:p>
    <w:p w14:paraId="4AD6AD3A" w14:textId="667494B3" w:rsidR="00445D11" w:rsidRPr="00225C4D" w:rsidRDefault="00445D11" w:rsidP="00225C4D">
      <w:pPr>
        <w:pStyle w:val="a9"/>
        <w:spacing w:after="0" w:line="400" w:lineRule="exact"/>
        <w:rPr>
          <w:rFonts w:ascii="楷体" w:eastAsia="楷体" w:hAnsi="楷体"/>
          <w:iCs/>
          <w:kern w:val="0"/>
          <w:sz w:val="18"/>
          <w:szCs w:val="18"/>
        </w:rPr>
        <w:sectPr w:rsidR="00445D11" w:rsidRPr="00225C4D" w:rsidSect="00343EE5">
          <w:type w:val="continuous"/>
          <w:pgSz w:w="11906" w:h="16838"/>
          <w:pgMar w:top="1440" w:right="1080" w:bottom="1440" w:left="1080" w:header="708" w:footer="708" w:gutter="0"/>
          <w:cols w:num="2" w:space="708"/>
          <w:titlePg/>
          <w:docGrid w:type="lines" w:linePitch="360"/>
        </w:sectPr>
      </w:pPr>
    </w:p>
    <w:p w14:paraId="47460294" w14:textId="2CDDF056" w:rsidR="00E66E46" w:rsidRDefault="00E66E46" w:rsidP="00F9108F">
      <w:pPr>
        <w:pStyle w:val="a9"/>
        <w:spacing w:after="0"/>
        <w:rPr>
          <w:rFonts w:ascii="宋体" w:hAnsi="宋体"/>
          <w:sz w:val="15"/>
          <w:szCs w:val="15"/>
        </w:rPr>
      </w:pPr>
    </w:p>
    <w:p w14:paraId="54D59491" w14:textId="77777777" w:rsidR="009F050C" w:rsidRDefault="009F050C" w:rsidP="00445D11">
      <w:pPr>
        <w:pStyle w:val="a9"/>
        <w:rPr>
          <w:rFonts w:ascii="宋体" w:hAnsi="宋体"/>
          <w:color w:val="FF0000"/>
          <w:sz w:val="18"/>
          <w:szCs w:val="18"/>
        </w:rPr>
      </w:pPr>
    </w:p>
    <w:p w14:paraId="12A99493" w14:textId="77777777" w:rsidR="009F050C" w:rsidRDefault="0029334A">
      <w:pPr>
        <w:pStyle w:val="Textof"/>
        <w:ind w:leftChars="34" w:left="333" w:firstLineChars="0"/>
        <w:jc w:val="left"/>
        <w:rPr>
          <w:rFonts w:hAnsi="宋体"/>
          <w:b/>
          <w:sz w:val="18"/>
          <w:szCs w:val="18"/>
        </w:rPr>
      </w:pPr>
      <w:r>
        <w:rPr>
          <w:rFonts w:hAnsi="宋体" w:hint="eastAsia"/>
          <w:b/>
          <w:sz w:val="18"/>
          <w:szCs w:val="18"/>
        </w:rPr>
        <w:t>参考文献</w:t>
      </w:r>
    </w:p>
    <w:p w14:paraId="4DCD8BC2" w14:textId="7DDEBB3F" w:rsidR="00E819B5" w:rsidRPr="00E819B5" w:rsidRDefault="00E819B5">
      <w:pPr>
        <w:jc w:val="both"/>
        <w:rPr>
          <w:rFonts w:ascii="宋体" w:eastAsia="宋体" w:hAnsi="宋体"/>
          <w:sz w:val="18"/>
          <w:szCs w:val="18"/>
        </w:rPr>
      </w:pPr>
      <w:r w:rsidRPr="00A23886">
        <w:rPr>
          <w:rFonts w:ascii="宋体" w:eastAsia="宋体" w:hAnsi="宋体" w:hint="eastAsia"/>
          <w:sz w:val="18"/>
          <w:szCs w:val="18"/>
        </w:rPr>
        <w:t>[1]</w:t>
      </w:r>
      <w:r>
        <w:rPr>
          <w:rFonts w:ascii="宋体" w:eastAsia="宋体" w:hAnsi="宋体"/>
          <w:sz w:val="18"/>
          <w:szCs w:val="18"/>
        </w:rPr>
        <w:t xml:space="preserve"> </w:t>
      </w:r>
      <w:r w:rsidRPr="00A23886">
        <w:rPr>
          <w:rFonts w:ascii="宋体" w:eastAsia="宋体" w:hAnsi="宋体" w:hint="eastAsia"/>
          <w:sz w:val="18"/>
          <w:szCs w:val="18"/>
        </w:rPr>
        <w:t>赵吝加.全球互联网人才发展概况[J].今日科苑,2018(04):31-39.</w:t>
      </w:r>
    </w:p>
    <w:p w14:paraId="2DF63652" w14:textId="01A5219C" w:rsidR="00445D11" w:rsidRDefault="00445D11">
      <w:pPr>
        <w:jc w:val="both"/>
        <w:rPr>
          <w:rFonts w:ascii="宋体" w:eastAsia="宋体" w:hAnsi="宋体"/>
          <w:sz w:val="18"/>
          <w:szCs w:val="18"/>
        </w:rPr>
      </w:pPr>
      <w:r>
        <w:rPr>
          <w:rFonts w:ascii="宋体" w:eastAsia="宋体" w:hAnsi="宋体" w:hint="eastAsia"/>
          <w:sz w:val="18"/>
          <w:szCs w:val="18"/>
        </w:rPr>
        <w:t>[</w:t>
      </w:r>
      <w:r w:rsidR="00E819B5">
        <w:rPr>
          <w:rFonts w:ascii="宋体" w:eastAsia="宋体" w:hAnsi="宋体"/>
          <w:sz w:val="18"/>
          <w:szCs w:val="18"/>
        </w:rPr>
        <w:t>2</w:t>
      </w:r>
      <w:r>
        <w:rPr>
          <w:rFonts w:ascii="宋体" w:eastAsia="宋体" w:hAnsi="宋体"/>
          <w:sz w:val="18"/>
          <w:szCs w:val="18"/>
        </w:rPr>
        <w:t xml:space="preserve">] </w:t>
      </w:r>
      <w:r w:rsidRPr="00445D11">
        <w:rPr>
          <w:rFonts w:ascii="宋体" w:eastAsia="宋体" w:hAnsi="宋体" w:hint="eastAsia"/>
          <w:sz w:val="18"/>
          <w:szCs w:val="18"/>
        </w:rPr>
        <w:t>中华人民共和国国家统计局. 中国统计年鉴[J]. 北京: 中国统计出版社, 20</w:t>
      </w:r>
      <w:r w:rsidR="00A23886">
        <w:rPr>
          <w:rFonts w:ascii="宋体" w:eastAsia="宋体" w:hAnsi="宋体"/>
          <w:sz w:val="18"/>
          <w:szCs w:val="18"/>
        </w:rPr>
        <w:t>20</w:t>
      </w:r>
      <w:r w:rsidRPr="00445D11">
        <w:rPr>
          <w:rFonts w:ascii="宋体" w:eastAsia="宋体" w:hAnsi="宋体" w:hint="eastAsia"/>
          <w:sz w:val="18"/>
          <w:szCs w:val="18"/>
        </w:rPr>
        <w:t>.</w:t>
      </w:r>
    </w:p>
    <w:p w14:paraId="065F4CE7" w14:textId="4C00CFF1" w:rsidR="0029334A" w:rsidRPr="003F178E" w:rsidRDefault="00E819B5" w:rsidP="003F178E">
      <w:pPr>
        <w:jc w:val="both"/>
        <w:rPr>
          <w:rFonts w:ascii="宋体" w:eastAsia="宋体" w:hAnsi="宋体"/>
          <w:sz w:val="18"/>
          <w:szCs w:val="18"/>
        </w:rPr>
      </w:pPr>
      <w:r>
        <w:rPr>
          <w:rFonts w:ascii="宋体" w:eastAsia="宋体" w:hAnsi="宋体" w:hint="eastAsia"/>
          <w:sz w:val="18"/>
          <w:szCs w:val="18"/>
        </w:rPr>
        <w:t>[</w:t>
      </w:r>
      <w:r>
        <w:rPr>
          <w:rFonts w:ascii="宋体" w:eastAsia="宋体" w:hAnsi="宋体"/>
          <w:sz w:val="18"/>
          <w:szCs w:val="18"/>
        </w:rPr>
        <w:t xml:space="preserve">3] </w:t>
      </w:r>
      <w:r w:rsidR="00A23886" w:rsidRPr="00A23886">
        <w:rPr>
          <w:rFonts w:ascii="宋体" w:eastAsia="宋体" w:hAnsi="宋体" w:hint="eastAsia"/>
          <w:sz w:val="18"/>
          <w:szCs w:val="18"/>
        </w:rPr>
        <w:t>陈希孺.概率论与数理统计[M].合肥:中国科学技术大学出版社,2009.</w:t>
      </w:r>
    </w:p>
    <w:sectPr w:rsidR="0029334A" w:rsidRPr="003F178E" w:rsidSect="00343EE5">
      <w:type w:val="continuous"/>
      <w:pgSz w:w="11906" w:h="16838"/>
      <w:pgMar w:top="1440" w:right="1080" w:bottom="1440" w:left="1080" w:header="708" w:footer="708" w:gutter="0"/>
      <w:cols w:num="2" w:space="708"/>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DCCB4F" w14:textId="77777777" w:rsidR="0066288A" w:rsidRDefault="0066288A">
      <w:pPr>
        <w:spacing w:after="0"/>
      </w:pPr>
      <w:r>
        <w:separator/>
      </w:r>
    </w:p>
  </w:endnote>
  <w:endnote w:type="continuationSeparator" w:id="0">
    <w:p w14:paraId="01B5C453" w14:textId="77777777" w:rsidR="0066288A" w:rsidRDefault="006628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EA240F" w14:textId="77777777" w:rsidR="0066288A" w:rsidRDefault="0066288A">
      <w:pPr>
        <w:spacing w:after="0"/>
      </w:pPr>
      <w:r>
        <w:separator/>
      </w:r>
    </w:p>
  </w:footnote>
  <w:footnote w:type="continuationSeparator" w:id="0">
    <w:p w14:paraId="0F8E60C9" w14:textId="77777777" w:rsidR="0066288A" w:rsidRDefault="0066288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5FC72F" w14:textId="6B25D558" w:rsidR="009F050C" w:rsidRDefault="009F050C">
    <w:pPr>
      <w:pStyle w:val="af1"/>
      <w:jc w:val="left"/>
      <w:rPr>
        <w:rFonts w:ascii="宋体" w:eastAsia="宋体" w:hAnsi="宋体"/>
        <w:sz w:val="15"/>
        <w:szCs w:val="15"/>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15A12"/>
    <w:multiLevelType w:val="hybridMultilevel"/>
    <w:tmpl w:val="D9402026"/>
    <w:lvl w:ilvl="0" w:tplc="0E589F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E8925C5"/>
    <w:multiLevelType w:val="multilevel"/>
    <w:tmpl w:val="4E8925C5"/>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65A94553"/>
    <w:multiLevelType w:val="hybridMultilevel"/>
    <w:tmpl w:val="8500E054"/>
    <w:lvl w:ilvl="0" w:tplc="0E589F4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defaultTabStop w:val="720"/>
  <w:evenAndOddHeaders/>
  <w:drawingGridHorizontalSpacing w:val="110"/>
  <w:displayHorizontalDrawingGridEvery w:val="2"/>
  <w:displayVerticalDrawingGridEvery w:val="2"/>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D50"/>
    <w:rsid w:val="00046BD9"/>
    <w:rsid w:val="00065F87"/>
    <w:rsid w:val="0007521F"/>
    <w:rsid w:val="000A59B1"/>
    <w:rsid w:val="000D28FE"/>
    <w:rsid w:val="000D3421"/>
    <w:rsid w:val="001127F6"/>
    <w:rsid w:val="001201EC"/>
    <w:rsid w:val="00133034"/>
    <w:rsid w:val="00144784"/>
    <w:rsid w:val="00145238"/>
    <w:rsid w:val="00146AB7"/>
    <w:rsid w:val="001611D8"/>
    <w:rsid w:val="00170945"/>
    <w:rsid w:val="00175F84"/>
    <w:rsid w:val="001819DE"/>
    <w:rsid w:val="00196857"/>
    <w:rsid w:val="001B7B77"/>
    <w:rsid w:val="001F117C"/>
    <w:rsid w:val="001F14BC"/>
    <w:rsid w:val="001F5C3E"/>
    <w:rsid w:val="00225C4D"/>
    <w:rsid w:val="0022631A"/>
    <w:rsid w:val="00262119"/>
    <w:rsid w:val="0029334A"/>
    <w:rsid w:val="00295131"/>
    <w:rsid w:val="002A0C9F"/>
    <w:rsid w:val="002C012B"/>
    <w:rsid w:val="002D1CAD"/>
    <w:rsid w:val="002D23E0"/>
    <w:rsid w:val="002E1A99"/>
    <w:rsid w:val="002E64DA"/>
    <w:rsid w:val="002E69E9"/>
    <w:rsid w:val="00314D29"/>
    <w:rsid w:val="00323B43"/>
    <w:rsid w:val="00343EE5"/>
    <w:rsid w:val="0035118C"/>
    <w:rsid w:val="00353E80"/>
    <w:rsid w:val="00355DB1"/>
    <w:rsid w:val="00356246"/>
    <w:rsid w:val="00356B35"/>
    <w:rsid w:val="003629F0"/>
    <w:rsid w:val="00396BDA"/>
    <w:rsid w:val="003A1A54"/>
    <w:rsid w:val="003B2C4E"/>
    <w:rsid w:val="003C0375"/>
    <w:rsid w:val="003D37D8"/>
    <w:rsid w:val="003E3D6E"/>
    <w:rsid w:val="003E56A3"/>
    <w:rsid w:val="003E5DEA"/>
    <w:rsid w:val="003F178E"/>
    <w:rsid w:val="004218D3"/>
    <w:rsid w:val="00423B48"/>
    <w:rsid w:val="004244DF"/>
    <w:rsid w:val="00426133"/>
    <w:rsid w:val="0043152A"/>
    <w:rsid w:val="004358AB"/>
    <w:rsid w:val="00445D11"/>
    <w:rsid w:val="00445FB2"/>
    <w:rsid w:val="00455E4A"/>
    <w:rsid w:val="00471492"/>
    <w:rsid w:val="004A1432"/>
    <w:rsid w:val="004A70F7"/>
    <w:rsid w:val="004B077A"/>
    <w:rsid w:val="004B276E"/>
    <w:rsid w:val="004C3DF4"/>
    <w:rsid w:val="004D192B"/>
    <w:rsid w:val="004F0AF9"/>
    <w:rsid w:val="005035CF"/>
    <w:rsid w:val="00517707"/>
    <w:rsid w:val="0052123D"/>
    <w:rsid w:val="005255E5"/>
    <w:rsid w:val="005268B4"/>
    <w:rsid w:val="005A5532"/>
    <w:rsid w:val="005A7831"/>
    <w:rsid w:val="005B0ECC"/>
    <w:rsid w:val="005B2AB9"/>
    <w:rsid w:val="005C2348"/>
    <w:rsid w:val="005E7636"/>
    <w:rsid w:val="005F123B"/>
    <w:rsid w:val="005F255F"/>
    <w:rsid w:val="005F3802"/>
    <w:rsid w:val="006502CA"/>
    <w:rsid w:val="0066288A"/>
    <w:rsid w:val="00693E85"/>
    <w:rsid w:val="0069403C"/>
    <w:rsid w:val="00697CD8"/>
    <w:rsid w:val="00697E45"/>
    <w:rsid w:val="006A1ECD"/>
    <w:rsid w:val="006A5F12"/>
    <w:rsid w:val="006B0AFA"/>
    <w:rsid w:val="006D01C9"/>
    <w:rsid w:val="00704E20"/>
    <w:rsid w:val="00715BDA"/>
    <w:rsid w:val="00731C07"/>
    <w:rsid w:val="00734163"/>
    <w:rsid w:val="00741402"/>
    <w:rsid w:val="00745A61"/>
    <w:rsid w:val="00746742"/>
    <w:rsid w:val="00746FC4"/>
    <w:rsid w:val="0075297D"/>
    <w:rsid w:val="00755B1D"/>
    <w:rsid w:val="00765FFB"/>
    <w:rsid w:val="00785F05"/>
    <w:rsid w:val="0078600A"/>
    <w:rsid w:val="007B19A1"/>
    <w:rsid w:val="007B462D"/>
    <w:rsid w:val="007C7ABE"/>
    <w:rsid w:val="007F3263"/>
    <w:rsid w:val="007F6C9F"/>
    <w:rsid w:val="008070D9"/>
    <w:rsid w:val="00810BB4"/>
    <w:rsid w:val="00846B1B"/>
    <w:rsid w:val="008573D5"/>
    <w:rsid w:val="00860195"/>
    <w:rsid w:val="00880E4F"/>
    <w:rsid w:val="008A3CA0"/>
    <w:rsid w:val="008B2DBD"/>
    <w:rsid w:val="008B7726"/>
    <w:rsid w:val="008B776A"/>
    <w:rsid w:val="008D396D"/>
    <w:rsid w:val="008F2195"/>
    <w:rsid w:val="008F42D8"/>
    <w:rsid w:val="00935DB1"/>
    <w:rsid w:val="00951CF0"/>
    <w:rsid w:val="009569A3"/>
    <w:rsid w:val="009655B0"/>
    <w:rsid w:val="009710C4"/>
    <w:rsid w:val="00991066"/>
    <w:rsid w:val="009A0899"/>
    <w:rsid w:val="009A4F8D"/>
    <w:rsid w:val="009F050C"/>
    <w:rsid w:val="00A05569"/>
    <w:rsid w:val="00A13D49"/>
    <w:rsid w:val="00A175A0"/>
    <w:rsid w:val="00A200A8"/>
    <w:rsid w:val="00A23886"/>
    <w:rsid w:val="00A242BB"/>
    <w:rsid w:val="00A27DFA"/>
    <w:rsid w:val="00A30793"/>
    <w:rsid w:val="00A3289B"/>
    <w:rsid w:val="00A337F8"/>
    <w:rsid w:val="00A37B7D"/>
    <w:rsid w:val="00A40CBC"/>
    <w:rsid w:val="00A447E6"/>
    <w:rsid w:val="00A53DCC"/>
    <w:rsid w:val="00A56BBC"/>
    <w:rsid w:val="00A815FC"/>
    <w:rsid w:val="00A85C65"/>
    <w:rsid w:val="00A86094"/>
    <w:rsid w:val="00AA0B0C"/>
    <w:rsid w:val="00AA4B32"/>
    <w:rsid w:val="00AA7BF7"/>
    <w:rsid w:val="00AC4A0C"/>
    <w:rsid w:val="00AD3015"/>
    <w:rsid w:val="00AD78C1"/>
    <w:rsid w:val="00AF5C53"/>
    <w:rsid w:val="00B10DB9"/>
    <w:rsid w:val="00B110E3"/>
    <w:rsid w:val="00B33B87"/>
    <w:rsid w:val="00B37295"/>
    <w:rsid w:val="00B5088D"/>
    <w:rsid w:val="00B509A4"/>
    <w:rsid w:val="00B5710A"/>
    <w:rsid w:val="00B61CDB"/>
    <w:rsid w:val="00B643C2"/>
    <w:rsid w:val="00B72428"/>
    <w:rsid w:val="00B72BA6"/>
    <w:rsid w:val="00B77B69"/>
    <w:rsid w:val="00B81724"/>
    <w:rsid w:val="00B85C37"/>
    <w:rsid w:val="00BB777A"/>
    <w:rsid w:val="00BC13D7"/>
    <w:rsid w:val="00BC5279"/>
    <w:rsid w:val="00BF1FE2"/>
    <w:rsid w:val="00C13FD2"/>
    <w:rsid w:val="00C51650"/>
    <w:rsid w:val="00C524FD"/>
    <w:rsid w:val="00C56ED4"/>
    <w:rsid w:val="00C61EA8"/>
    <w:rsid w:val="00C84715"/>
    <w:rsid w:val="00C91F12"/>
    <w:rsid w:val="00C93556"/>
    <w:rsid w:val="00CC7F46"/>
    <w:rsid w:val="00CD18DD"/>
    <w:rsid w:val="00CE1B09"/>
    <w:rsid w:val="00CF7426"/>
    <w:rsid w:val="00CF7A9E"/>
    <w:rsid w:val="00D31D50"/>
    <w:rsid w:val="00D50EED"/>
    <w:rsid w:val="00D56A27"/>
    <w:rsid w:val="00D62134"/>
    <w:rsid w:val="00D96FC0"/>
    <w:rsid w:val="00DB53F9"/>
    <w:rsid w:val="00DE25C1"/>
    <w:rsid w:val="00DF66AD"/>
    <w:rsid w:val="00E04D7F"/>
    <w:rsid w:val="00E15199"/>
    <w:rsid w:val="00E26D2F"/>
    <w:rsid w:val="00E26DEA"/>
    <w:rsid w:val="00E31A09"/>
    <w:rsid w:val="00E57558"/>
    <w:rsid w:val="00E66E46"/>
    <w:rsid w:val="00E819B5"/>
    <w:rsid w:val="00E838DC"/>
    <w:rsid w:val="00E92AC4"/>
    <w:rsid w:val="00E93ABA"/>
    <w:rsid w:val="00EB22D5"/>
    <w:rsid w:val="00EB7B12"/>
    <w:rsid w:val="00EC28D2"/>
    <w:rsid w:val="00EC61F0"/>
    <w:rsid w:val="00F34918"/>
    <w:rsid w:val="00F60B7E"/>
    <w:rsid w:val="00F746D8"/>
    <w:rsid w:val="00F81581"/>
    <w:rsid w:val="00F837DC"/>
    <w:rsid w:val="00F9108F"/>
    <w:rsid w:val="00F9124B"/>
    <w:rsid w:val="00FE4CAF"/>
    <w:rsid w:val="025224ED"/>
    <w:rsid w:val="095F1821"/>
    <w:rsid w:val="0B8160C8"/>
    <w:rsid w:val="15F264FE"/>
    <w:rsid w:val="24903351"/>
    <w:rsid w:val="27D5172C"/>
    <w:rsid w:val="33621B91"/>
    <w:rsid w:val="38B75B73"/>
    <w:rsid w:val="3BFC2917"/>
    <w:rsid w:val="4B27224E"/>
    <w:rsid w:val="4CA14097"/>
    <w:rsid w:val="533B3115"/>
    <w:rsid w:val="6DBB7DE5"/>
    <w:rsid w:val="77B462C0"/>
    <w:rsid w:val="7AE97DF9"/>
    <w:rsid w:val="7B5A0B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161C0BB"/>
  <w15:chartTrackingRefBased/>
  <w15:docId w15:val="{55B30B2A-F4E2-4CF3-A0CB-0CC5BD242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djustRightInd w:val="0"/>
      <w:snapToGrid w:val="0"/>
      <w:spacing w:after="200"/>
    </w:pPr>
    <w:rPr>
      <w:rFonts w:ascii="Tahoma" w:eastAsia="微软雅黑" w:hAnsi="Tahom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qFormat/>
    <w:rPr>
      <w:color w:val="0000FF"/>
      <w:u w:val="single"/>
    </w:rPr>
  </w:style>
  <w:style w:type="character" w:styleId="a4">
    <w:name w:val="annotation reference"/>
    <w:basedOn w:val="a0"/>
    <w:semiHidden/>
    <w:qFormat/>
    <w:rPr>
      <w:sz w:val="21"/>
      <w:szCs w:val="21"/>
    </w:rPr>
  </w:style>
  <w:style w:type="character" w:styleId="a5">
    <w:name w:val="Intense Emphasis"/>
    <w:basedOn w:val="a0"/>
    <w:uiPriority w:val="21"/>
    <w:qFormat/>
    <w:rPr>
      <w:b/>
      <w:bCs/>
      <w:i/>
      <w:iCs/>
      <w:color w:val="4F81BD"/>
    </w:rPr>
  </w:style>
  <w:style w:type="character" w:customStyle="1" w:styleId="a6">
    <w:name w:val="批注框文本 字符"/>
    <w:basedOn w:val="a0"/>
    <w:link w:val="a7"/>
    <w:uiPriority w:val="99"/>
    <w:semiHidden/>
    <w:qFormat/>
    <w:rPr>
      <w:rFonts w:ascii="Tahoma" w:hAnsi="Tahoma"/>
      <w:sz w:val="18"/>
      <w:szCs w:val="18"/>
    </w:rPr>
  </w:style>
  <w:style w:type="character" w:customStyle="1" w:styleId="a8">
    <w:name w:val="正文文本 字符"/>
    <w:basedOn w:val="a0"/>
    <w:link w:val="a9"/>
    <w:rPr>
      <w:rFonts w:ascii="Times New Roman" w:eastAsia="宋体" w:hAnsi="Times New Roman" w:cs="Times New Roman"/>
      <w:kern w:val="2"/>
      <w:sz w:val="21"/>
      <w:szCs w:val="24"/>
    </w:rPr>
  </w:style>
  <w:style w:type="character" w:customStyle="1" w:styleId="aa">
    <w:name w:val="批注主题 字符"/>
    <w:basedOn w:val="ab"/>
    <w:link w:val="ac"/>
    <w:uiPriority w:val="99"/>
    <w:semiHidden/>
    <w:qFormat/>
    <w:rPr>
      <w:rFonts w:ascii="Tahoma" w:eastAsia="微软雅黑" w:hAnsi="Tahoma" w:cs="Times New Roman"/>
      <w:b/>
      <w:bCs/>
      <w:kern w:val="2"/>
      <w:sz w:val="22"/>
      <w:szCs w:val="22"/>
    </w:rPr>
  </w:style>
  <w:style w:type="character" w:customStyle="1" w:styleId="ab">
    <w:name w:val="批注文字 字符"/>
    <w:basedOn w:val="a0"/>
    <w:link w:val="ad"/>
    <w:semiHidden/>
    <w:rPr>
      <w:rFonts w:ascii="Times New Roman" w:eastAsia="宋体" w:hAnsi="Times New Roman" w:cs="Times New Roman"/>
      <w:kern w:val="2"/>
      <w:sz w:val="21"/>
      <w:szCs w:val="24"/>
    </w:rPr>
  </w:style>
  <w:style w:type="character" w:customStyle="1" w:styleId="ae">
    <w:name w:val="页脚 字符"/>
    <w:basedOn w:val="a0"/>
    <w:link w:val="af"/>
    <w:uiPriority w:val="99"/>
    <w:qFormat/>
    <w:rPr>
      <w:rFonts w:ascii="Tahoma" w:hAnsi="Tahoma"/>
      <w:sz w:val="18"/>
      <w:szCs w:val="18"/>
    </w:rPr>
  </w:style>
  <w:style w:type="character" w:customStyle="1" w:styleId="af0">
    <w:name w:val="页眉 字符"/>
    <w:basedOn w:val="a0"/>
    <w:link w:val="af1"/>
    <w:uiPriority w:val="99"/>
    <w:qFormat/>
    <w:rPr>
      <w:rFonts w:ascii="Tahoma" w:hAnsi="Tahoma"/>
      <w:sz w:val="18"/>
      <w:szCs w:val="18"/>
    </w:rPr>
  </w:style>
  <w:style w:type="paragraph" w:styleId="a7">
    <w:name w:val="Balloon Text"/>
    <w:basedOn w:val="a"/>
    <w:link w:val="a6"/>
    <w:uiPriority w:val="99"/>
    <w:unhideWhenUsed/>
    <w:qFormat/>
    <w:pPr>
      <w:spacing w:after="0"/>
    </w:pPr>
    <w:rPr>
      <w:sz w:val="18"/>
      <w:szCs w:val="18"/>
    </w:rPr>
  </w:style>
  <w:style w:type="paragraph" w:styleId="af1">
    <w:name w:val="header"/>
    <w:basedOn w:val="a"/>
    <w:link w:val="af0"/>
    <w:uiPriority w:val="99"/>
    <w:unhideWhenUsed/>
    <w:qFormat/>
    <w:pPr>
      <w:pBdr>
        <w:bottom w:val="single" w:sz="6" w:space="1" w:color="auto"/>
      </w:pBdr>
      <w:tabs>
        <w:tab w:val="center" w:pos="4153"/>
        <w:tab w:val="right" w:pos="8306"/>
      </w:tabs>
      <w:jc w:val="center"/>
    </w:pPr>
    <w:rPr>
      <w:sz w:val="18"/>
      <w:szCs w:val="18"/>
    </w:rPr>
  </w:style>
  <w:style w:type="paragraph" w:styleId="af">
    <w:name w:val="footer"/>
    <w:basedOn w:val="a"/>
    <w:link w:val="ae"/>
    <w:uiPriority w:val="99"/>
    <w:unhideWhenUsed/>
    <w:qFormat/>
    <w:pPr>
      <w:tabs>
        <w:tab w:val="center" w:pos="4153"/>
        <w:tab w:val="right" w:pos="8306"/>
      </w:tabs>
    </w:pPr>
    <w:rPr>
      <w:sz w:val="18"/>
      <w:szCs w:val="18"/>
    </w:rPr>
  </w:style>
  <w:style w:type="paragraph" w:styleId="ac">
    <w:name w:val="annotation subject"/>
    <w:basedOn w:val="ad"/>
    <w:next w:val="ad"/>
    <w:link w:val="aa"/>
    <w:uiPriority w:val="99"/>
    <w:unhideWhenUsed/>
    <w:pPr>
      <w:widowControl/>
      <w:adjustRightInd w:val="0"/>
      <w:snapToGrid w:val="0"/>
      <w:spacing w:after="200"/>
    </w:pPr>
    <w:rPr>
      <w:rFonts w:ascii="Tahoma" w:eastAsia="微软雅黑" w:hAnsi="Tahoma"/>
      <w:b/>
      <w:bCs/>
      <w:kern w:val="0"/>
      <w:sz w:val="22"/>
      <w:szCs w:val="22"/>
    </w:rPr>
  </w:style>
  <w:style w:type="paragraph" w:styleId="a9">
    <w:name w:val="Body Text"/>
    <w:basedOn w:val="a"/>
    <w:link w:val="a8"/>
    <w:qFormat/>
    <w:pPr>
      <w:widowControl w:val="0"/>
      <w:adjustRightInd/>
      <w:snapToGrid/>
      <w:spacing w:after="120"/>
      <w:jc w:val="both"/>
    </w:pPr>
    <w:rPr>
      <w:rFonts w:ascii="Times New Roman" w:eastAsia="宋体" w:hAnsi="Times New Roman"/>
      <w:kern w:val="2"/>
      <w:sz w:val="21"/>
      <w:szCs w:val="24"/>
    </w:rPr>
  </w:style>
  <w:style w:type="paragraph" w:styleId="ad">
    <w:name w:val="annotation text"/>
    <w:basedOn w:val="a"/>
    <w:link w:val="ab"/>
    <w:semiHidden/>
    <w:qFormat/>
    <w:pPr>
      <w:widowControl w:val="0"/>
      <w:adjustRightInd/>
      <w:snapToGrid/>
      <w:spacing w:after="0"/>
    </w:pPr>
    <w:rPr>
      <w:rFonts w:ascii="Times New Roman" w:eastAsia="宋体" w:hAnsi="Times New Roman"/>
      <w:kern w:val="2"/>
      <w:sz w:val="21"/>
      <w:szCs w:val="24"/>
    </w:rPr>
  </w:style>
  <w:style w:type="paragraph" w:customStyle="1" w:styleId="1">
    <w:name w:val="列出段落1"/>
    <w:basedOn w:val="a"/>
    <w:uiPriority w:val="34"/>
    <w:qFormat/>
    <w:pPr>
      <w:widowControl w:val="0"/>
      <w:adjustRightInd/>
      <w:snapToGrid/>
      <w:spacing w:after="0"/>
      <w:ind w:firstLineChars="200" w:firstLine="420"/>
      <w:jc w:val="both"/>
    </w:pPr>
    <w:rPr>
      <w:rFonts w:ascii="Calibri" w:eastAsia="宋体" w:hAnsi="Calibri"/>
      <w:kern w:val="2"/>
      <w:sz w:val="21"/>
    </w:rPr>
  </w:style>
  <w:style w:type="paragraph" w:customStyle="1" w:styleId="Textof">
    <w:name w:val="Text of 中文参考文献"/>
    <w:basedOn w:val="a"/>
    <w:qFormat/>
    <w:pPr>
      <w:tabs>
        <w:tab w:val="left" w:pos="346"/>
      </w:tabs>
      <w:adjustRightInd/>
      <w:snapToGrid/>
      <w:spacing w:after="0" w:line="260" w:lineRule="exact"/>
      <w:ind w:left="258" w:hangingChars="258" w:hanging="258"/>
      <w:jc w:val="both"/>
    </w:pPr>
    <w:rPr>
      <w:rFonts w:ascii="Times New Roman" w:eastAsia="宋体" w:hAnsi="Times New Roman"/>
      <w:sz w:val="15"/>
      <w:szCs w:val="20"/>
    </w:rPr>
  </w:style>
  <w:style w:type="paragraph" w:styleId="af2">
    <w:name w:val="List Paragraph"/>
    <w:basedOn w:val="a"/>
    <w:uiPriority w:val="34"/>
    <w:qFormat/>
    <w:pPr>
      <w:ind w:firstLineChars="200" w:firstLine="420"/>
    </w:pPr>
  </w:style>
  <w:style w:type="paragraph" w:customStyle="1" w:styleId="DepartCorrespond">
    <w:name w:val="Depart.Correspond"/>
    <w:basedOn w:val="a"/>
    <w:qFormat/>
    <w:pPr>
      <w:adjustRightInd/>
      <w:snapToGrid/>
      <w:spacing w:after="0"/>
      <w:ind w:left="66" w:hangingChars="66" w:hanging="66"/>
      <w:jc w:val="both"/>
    </w:pPr>
    <w:rPr>
      <w:rFonts w:ascii="Times New Roman" w:eastAsia="宋体" w:hAnsi="Times New Roman"/>
      <w:iCs/>
      <w:sz w:val="16"/>
      <w:szCs w:val="20"/>
    </w:rPr>
  </w:style>
  <w:style w:type="paragraph" w:customStyle="1" w:styleId="2">
    <w:name w:val="列出段落2"/>
    <w:basedOn w:val="a"/>
    <w:uiPriority w:val="34"/>
    <w:qFormat/>
    <w:pPr>
      <w:ind w:firstLineChars="200" w:firstLine="420"/>
    </w:pPr>
  </w:style>
  <w:style w:type="table" w:styleId="20">
    <w:name w:val="Plain Table 2"/>
    <w:basedOn w:val="a1"/>
    <w:uiPriority w:val="42"/>
    <w:rsid w:val="005C2348"/>
    <w:rPr>
      <w:rFonts w:ascii="等线" w:eastAsia="等线" w:hAnsi="等线"/>
      <w:kern w:val="2"/>
      <w:sz w:val="21"/>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styleId="af3">
    <w:name w:val="Placeholder Text"/>
    <w:basedOn w:val="a0"/>
    <w:uiPriority w:val="99"/>
    <w:unhideWhenUsed/>
    <w:rsid w:val="00A337F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allowPNG/>
  <w:pixelsPerInch w:val="13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tx>
            <c:strRef>
              <c:f>Sheet1!$A$2</c:f>
              <c:strCache>
                <c:ptCount val="1"/>
                <c:pt idx="0">
                  <c:v>城镇单位就业人员(万人)</c:v>
                </c:pt>
              </c:strCache>
            </c:strRef>
          </c:tx>
          <c:spPr>
            <a:solidFill>
              <a:srgbClr val="4472C4"/>
            </a:solidFill>
            <a:ln w="25379">
              <a:noFill/>
            </a:ln>
          </c:spPr>
          <c:invertIfNegative val="0"/>
          <c:cat>
            <c:strRef>
              <c:f>Sheet1!$B$1:$J$1</c:f>
              <c:strCache>
                <c:ptCount val="9"/>
                <c:pt idx="0">
                  <c:v>2011年</c:v>
                </c:pt>
                <c:pt idx="1">
                  <c:v>2012年</c:v>
                </c:pt>
                <c:pt idx="2">
                  <c:v>2013年</c:v>
                </c:pt>
                <c:pt idx="3">
                  <c:v>2014年</c:v>
                </c:pt>
                <c:pt idx="4">
                  <c:v>2015年</c:v>
                </c:pt>
                <c:pt idx="5">
                  <c:v>2016年</c:v>
                </c:pt>
                <c:pt idx="6">
                  <c:v>2017年</c:v>
                </c:pt>
                <c:pt idx="7">
                  <c:v>2018年</c:v>
                </c:pt>
                <c:pt idx="8">
                  <c:v>2019年</c:v>
                </c:pt>
              </c:strCache>
            </c:strRef>
          </c:cat>
          <c:val>
            <c:numRef>
              <c:f>Sheet1!$B$2:$J$2</c:f>
              <c:numCache>
                <c:formatCode>General</c:formatCode>
                <c:ptCount val="9"/>
                <c:pt idx="0">
                  <c:v>14413</c:v>
                </c:pt>
                <c:pt idx="1">
                  <c:v>15236</c:v>
                </c:pt>
                <c:pt idx="2">
                  <c:v>18108</c:v>
                </c:pt>
                <c:pt idx="3">
                  <c:v>18278</c:v>
                </c:pt>
                <c:pt idx="4">
                  <c:v>18062</c:v>
                </c:pt>
                <c:pt idx="5">
                  <c:v>17888</c:v>
                </c:pt>
                <c:pt idx="6">
                  <c:v>17644</c:v>
                </c:pt>
                <c:pt idx="7">
                  <c:v>17258</c:v>
                </c:pt>
                <c:pt idx="8">
                  <c:v>17162</c:v>
                </c:pt>
              </c:numCache>
            </c:numRef>
          </c:val>
          <c:extLst>
            <c:ext xmlns:c16="http://schemas.microsoft.com/office/drawing/2014/chart" uri="{C3380CC4-5D6E-409C-BE32-E72D297353CC}">
              <c16:uniqueId val="{00000000-43FD-4A30-9811-65E64D269D7F}"/>
            </c:ext>
          </c:extLst>
        </c:ser>
        <c:ser>
          <c:idx val="1"/>
          <c:order val="1"/>
          <c:tx>
            <c:strRef>
              <c:f>Sheet1!$A$3</c:f>
              <c:strCache>
                <c:ptCount val="1"/>
                <c:pt idx="0">
                  <c:v>信息传输、软件和信息技术服务业城镇单位就业人员(万人)</c:v>
                </c:pt>
              </c:strCache>
            </c:strRef>
          </c:tx>
          <c:spPr>
            <a:solidFill>
              <a:srgbClr val="ED7D31"/>
            </a:solidFill>
            <a:ln w="25379">
              <a:noFill/>
            </a:ln>
          </c:spPr>
          <c:invertIfNegative val="0"/>
          <c:cat>
            <c:strRef>
              <c:f>Sheet1!$B$1:$J$1</c:f>
              <c:strCache>
                <c:ptCount val="9"/>
                <c:pt idx="0">
                  <c:v>2011年</c:v>
                </c:pt>
                <c:pt idx="1">
                  <c:v>2012年</c:v>
                </c:pt>
                <c:pt idx="2">
                  <c:v>2013年</c:v>
                </c:pt>
                <c:pt idx="3">
                  <c:v>2014年</c:v>
                </c:pt>
                <c:pt idx="4">
                  <c:v>2015年</c:v>
                </c:pt>
                <c:pt idx="5">
                  <c:v>2016年</c:v>
                </c:pt>
                <c:pt idx="6">
                  <c:v>2017年</c:v>
                </c:pt>
                <c:pt idx="7">
                  <c:v>2018年</c:v>
                </c:pt>
                <c:pt idx="8">
                  <c:v>2019年</c:v>
                </c:pt>
              </c:strCache>
            </c:strRef>
          </c:cat>
          <c:val>
            <c:numRef>
              <c:f>Sheet1!$B$3:$J$3</c:f>
              <c:numCache>
                <c:formatCode>General</c:formatCode>
                <c:ptCount val="9"/>
                <c:pt idx="0">
                  <c:v>213</c:v>
                </c:pt>
                <c:pt idx="1">
                  <c:v>223</c:v>
                </c:pt>
                <c:pt idx="2">
                  <c:v>327</c:v>
                </c:pt>
                <c:pt idx="3">
                  <c:v>336</c:v>
                </c:pt>
                <c:pt idx="4">
                  <c:v>350</c:v>
                </c:pt>
                <c:pt idx="5">
                  <c:v>364</c:v>
                </c:pt>
                <c:pt idx="6">
                  <c:v>395</c:v>
                </c:pt>
                <c:pt idx="7">
                  <c:v>424</c:v>
                </c:pt>
                <c:pt idx="8">
                  <c:v>455</c:v>
                </c:pt>
              </c:numCache>
            </c:numRef>
          </c:val>
          <c:extLst>
            <c:ext xmlns:c16="http://schemas.microsoft.com/office/drawing/2014/chart" uri="{C3380CC4-5D6E-409C-BE32-E72D297353CC}">
              <c16:uniqueId val="{00000001-43FD-4A30-9811-65E64D269D7F}"/>
            </c:ext>
          </c:extLst>
        </c:ser>
        <c:dLbls>
          <c:showLegendKey val="0"/>
          <c:showVal val="0"/>
          <c:showCatName val="0"/>
          <c:showSerName val="0"/>
          <c:showPercent val="0"/>
          <c:showBubbleSize val="0"/>
        </c:dLbls>
        <c:gapWidth val="219"/>
        <c:overlap val="-27"/>
        <c:axId val="237667056"/>
        <c:axId val="1"/>
      </c:barChart>
      <c:lineChart>
        <c:grouping val="standard"/>
        <c:varyColors val="0"/>
        <c:ser>
          <c:idx val="2"/>
          <c:order val="2"/>
          <c:tx>
            <c:strRef>
              <c:f>Sheet1!$A$4</c:f>
              <c:strCache>
                <c:ptCount val="1"/>
                <c:pt idx="0">
                  <c:v>信息行业就业人员占整体就业人员的比例</c:v>
                </c:pt>
              </c:strCache>
            </c:strRef>
          </c:tx>
          <c:spPr>
            <a:ln w="28552" cap="rnd">
              <a:solidFill>
                <a:schemeClr val="accent3"/>
              </a:solidFill>
              <a:round/>
            </a:ln>
            <a:effectLst/>
          </c:spPr>
          <c:marker>
            <c:symbol val="none"/>
          </c:marker>
          <c:cat>
            <c:strRef>
              <c:f>Sheet1!$B$1:$J$1</c:f>
              <c:strCache>
                <c:ptCount val="9"/>
                <c:pt idx="0">
                  <c:v>2011年</c:v>
                </c:pt>
                <c:pt idx="1">
                  <c:v>2012年</c:v>
                </c:pt>
                <c:pt idx="2">
                  <c:v>2013年</c:v>
                </c:pt>
                <c:pt idx="3">
                  <c:v>2014年</c:v>
                </c:pt>
                <c:pt idx="4">
                  <c:v>2015年</c:v>
                </c:pt>
                <c:pt idx="5">
                  <c:v>2016年</c:v>
                </c:pt>
                <c:pt idx="6">
                  <c:v>2017年</c:v>
                </c:pt>
                <c:pt idx="7">
                  <c:v>2018年</c:v>
                </c:pt>
                <c:pt idx="8">
                  <c:v>2019年</c:v>
                </c:pt>
              </c:strCache>
            </c:strRef>
          </c:cat>
          <c:val>
            <c:numRef>
              <c:f>Sheet1!$B$4:$J$4</c:f>
              <c:numCache>
                <c:formatCode>0.00%</c:formatCode>
                <c:ptCount val="9"/>
                <c:pt idx="0">
                  <c:v>1.4778325123152709E-2</c:v>
                </c:pt>
                <c:pt idx="1">
                  <c:v>1.4636387503281702E-2</c:v>
                </c:pt>
                <c:pt idx="2">
                  <c:v>1.8058316766070247E-2</c:v>
                </c:pt>
                <c:pt idx="3">
                  <c:v>1.8382755224860488E-2</c:v>
                </c:pt>
                <c:pt idx="4">
                  <c:v>1.9377699036651534E-2</c:v>
                </c:pt>
                <c:pt idx="5">
                  <c:v>2.0348837209302327E-2</c:v>
                </c:pt>
                <c:pt idx="6">
                  <c:v>2.2387213783722514E-2</c:v>
                </c:pt>
                <c:pt idx="7">
                  <c:v>2.4568316143237918E-2</c:v>
                </c:pt>
                <c:pt idx="8">
                  <c:v>2.6512061531290061E-2</c:v>
                </c:pt>
              </c:numCache>
            </c:numRef>
          </c:val>
          <c:smooth val="0"/>
          <c:extLst>
            <c:ext xmlns:c16="http://schemas.microsoft.com/office/drawing/2014/chart" uri="{C3380CC4-5D6E-409C-BE32-E72D297353CC}">
              <c16:uniqueId val="{00000002-43FD-4A30-9811-65E64D269D7F}"/>
            </c:ext>
          </c:extLst>
        </c:ser>
        <c:dLbls>
          <c:showLegendKey val="0"/>
          <c:showVal val="0"/>
          <c:showCatName val="0"/>
          <c:showSerName val="0"/>
          <c:showPercent val="0"/>
          <c:showBubbleSize val="0"/>
        </c:dLbls>
        <c:marker val="1"/>
        <c:smooth val="0"/>
        <c:axId val="3"/>
        <c:axId val="4"/>
      </c:lineChart>
      <c:catAx>
        <c:axId val="237667056"/>
        <c:scaling>
          <c:orientation val="minMax"/>
        </c:scaling>
        <c:delete val="0"/>
        <c:axPos val="b"/>
        <c:numFmt formatCode="General" sourceLinked="1"/>
        <c:majorTickMark val="none"/>
        <c:minorTickMark val="none"/>
        <c:tickLblPos val="nextTo"/>
        <c:spPr>
          <a:noFill/>
          <a:ln w="9517" cap="flat" cmpd="sng" algn="ctr">
            <a:solidFill>
              <a:schemeClr val="tx1">
                <a:lumMod val="15000"/>
                <a:lumOff val="85000"/>
              </a:schemeClr>
            </a:solidFill>
            <a:round/>
          </a:ln>
          <a:effectLst/>
        </c:spPr>
        <c:txPr>
          <a:bodyPr rot="-60000000" vert="horz"/>
          <a:lstStyle/>
          <a:p>
            <a:pPr>
              <a:defRPr/>
            </a:pPr>
            <a:endParaRPr lang="zh-CN"/>
          </a:p>
        </c:txPr>
        <c:crossAx val="1"/>
        <c:crosses val="autoZero"/>
        <c:auto val="1"/>
        <c:lblAlgn val="ctr"/>
        <c:lblOffset val="100"/>
        <c:noMultiLvlLbl val="0"/>
      </c:catAx>
      <c:valAx>
        <c:axId val="1"/>
        <c:scaling>
          <c:orientation val="minMax"/>
        </c:scaling>
        <c:delete val="0"/>
        <c:axPos val="l"/>
        <c:majorGridlines>
          <c:spPr>
            <a:ln w="9517" cap="flat" cmpd="sng" algn="ctr">
              <a:solidFill>
                <a:schemeClr val="tx1">
                  <a:lumMod val="15000"/>
                  <a:lumOff val="85000"/>
                </a:schemeClr>
              </a:solidFill>
              <a:round/>
            </a:ln>
            <a:effectLst/>
          </c:spPr>
        </c:majorGridlines>
        <c:numFmt formatCode="General" sourceLinked="1"/>
        <c:majorTickMark val="none"/>
        <c:minorTickMark val="none"/>
        <c:tickLblPos val="nextTo"/>
        <c:spPr>
          <a:ln w="6345">
            <a:noFill/>
          </a:ln>
        </c:spPr>
        <c:txPr>
          <a:bodyPr rot="-60000000" vert="horz"/>
          <a:lstStyle/>
          <a:p>
            <a:pPr>
              <a:defRPr/>
            </a:pPr>
            <a:endParaRPr lang="zh-CN"/>
          </a:p>
        </c:txPr>
        <c:crossAx val="237667056"/>
        <c:crosses val="autoZero"/>
        <c:crossBetween val="between"/>
      </c:valAx>
      <c:catAx>
        <c:axId val="3"/>
        <c:scaling>
          <c:orientation val="minMax"/>
        </c:scaling>
        <c:delete val="1"/>
        <c:axPos val="b"/>
        <c:numFmt formatCode="General" sourceLinked="1"/>
        <c:majorTickMark val="out"/>
        <c:minorTickMark val="none"/>
        <c:tickLblPos val="nextTo"/>
        <c:crossAx val="4"/>
        <c:crosses val="autoZero"/>
        <c:auto val="1"/>
        <c:lblAlgn val="ctr"/>
        <c:lblOffset val="100"/>
        <c:noMultiLvlLbl val="0"/>
      </c:catAx>
      <c:valAx>
        <c:axId val="4"/>
        <c:scaling>
          <c:orientation val="minMax"/>
        </c:scaling>
        <c:delete val="0"/>
        <c:axPos val="r"/>
        <c:numFmt formatCode="0.00%" sourceLinked="1"/>
        <c:majorTickMark val="none"/>
        <c:minorTickMark val="none"/>
        <c:tickLblPos val="nextTo"/>
        <c:spPr>
          <a:ln w="6345">
            <a:noFill/>
          </a:ln>
        </c:spPr>
        <c:txPr>
          <a:bodyPr rot="-60000000" vert="horz"/>
          <a:lstStyle/>
          <a:p>
            <a:pPr>
              <a:defRPr/>
            </a:pPr>
            <a:endParaRPr lang="zh-CN"/>
          </a:p>
        </c:txPr>
        <c:crossAx val="3"/>
        <c:crosses val="max"/>
        <c:crossBetween val="between"/>
      </c:valAx>
      <c:spPr>
        <a:noFill/>
        <a:ln w="25379">
          <a:noFill/>
        </a:ln>
      </c:spPr>
    </c:plotArea>
    <c:legend>
      <c:legendPos val="r"/>
      <c:layout>
        <c:manualLayout>
          <c:xMode val="edge"/>
          <c:yMode val="edge"/>
          <c:x val="0.64562118126272916"/>
          <c:y val="0.15120274914089346"/>
          <c:w val="0.34012219959266804"/>
          <c:h val="0.81099656357388317"/>
        </c:manualLayout>
      </c:layout>
      <c:overlay val="0"/>
      <c:spPr>
        <a:noFill/>
        <a:ln w="25379">
          <a:noFill/>
        </a:ln>
      </c:spPr>
    </c:legend>
    <c:plotVisOnly val="1"/>
    <c:dispBlanksAs val="gap"/>
    <c:showDLblsOverMax val="0"/>
  </c:chart>
  <c:spPr>
    <a:solidFill>
      <a:schemeClr val="bg1"/>
    </a:solidFill>
    <a:ln w="9517" cap="flat" cmpd="sng" algn="ctr">
      <a:solidFill>
        <a:schemeClr val="tx1">
          <a:lumMod val="15000"/>
          <a:lumOff val="85000"/>
        </a:schemeClr>
      </a:solidFill>
      <a:round/>
    </a:ln>
    <a:effectLst/>
  </c:spPr>
  <c:txPr>
    <a:bodyPr/>
    <a:lstStyle/>
    <a:p>
      <a:pPr>
        <a:defRPr sz="899">
          <a:latin typeface="宋体" panose="02010600030101010101" pitchFamily="2" charset="-122"/>
          <a:ea typeface="宋体" panose="02010600030101010101" pitchFamily="2" charset="-122"/>
        </a:defRPr>
      </a:pPr>
      <a:endParaRPr lang="zh-CN"/>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tx>
            <c:strRef>
              <c:f>Sheet1!$A$2</c:f>
              <c:strCache>
                <c:ptCount val="1"/>
                <c:pt idx="0">
                  <c:v>城镇单位就业人员平均工资（元）</c:v>
                </c:pt>
              </c:strCache>
            </c:strRef>
          </c:tx>
          <c:spPr>
            <a:solidFill>
              <a:srgbClr val="4472C4"/>
            </a:solidFill>
            <a:ln w="25387">
              <a:noFill/>
            </a:ln>
          </c:spPr>
          <c:invertIfNegative val="0"/>
          <c:cat>
            <c:numRef>
              <c:f>Sheet1!$B$1:$J$1</c:f>
              <c:numCache>
                <c:formatCode>General</c:formatCode>
                <c:ptCount val="9"/>
                <c:pt idx="0">
                  <c:v>2011</c:v>
                </c:pt>
                <c:pt idx="1">
                  <c:v>2012</c:v>
                </c:pt>
                <c:pt idx="2">
                  <c:v>2013</c:v>
                </c:pt>
                <c:pt idx="3">
                  <c:v>2014</c:v>
                </c:pt>
                <c:pt idx="4">
                  <c:v>2015</c:v>
                </c:pt>
                <c:pt idx="5">
                  <c:v>2016</c:v>
                </c:pt>
                <c:pt idx="6">
                  <c:v>2017</c:v>
                </c:pt>
                <c:pt idx="7">
                  <c:v>2018</c:v>
                </c:pt>
                <c:pt idx="8">
                  <c:v>2019</c:v>
                </c:pt>
              </c:numCache>
            </c:numRef>
          </c:cat>
          <c:val>
            <c:numRef>
              <c:f>Sheet1!$B$2:$J$2</c:f>
              <c:numCache>
                <c:formatCode>General</c:formatCode>
                <c:ptCount val="9"/>
                <c:pt idx="0">
                  <c:v>41799</c:v>
                </c:pt>
                <c:pt idx="1">
                  <c:v>46769</c:v>
                </c:pt>
                <c:pt idx="2">
                  <c:v>51483</c:v>
                </c:pt>
                <c:pt idx="3">
                  <c:v>56360</c:v>
                </c:pt>
                <c:pt idx="4">
                  <c:v>62029</c:v>
                </c:pt>
                <c:pt idx="5">
                  <c:v>67569</c:v>
                </c:pt>
                <c:pt idx="6">
                  <c:v>74318</c:v>
                </c:pt>
                <c:pt idx="7">
                  <c:v>82413</c:v>
                </c:pt>
                <c:pt idx="8">
                  <c:v>90501</c:v>
                </c:pt>
              </c:numCache>
            </c:numRef>
          </c:val>
          <c:extLst>
            <c:ext xmlns:c16="http://schemas.microsoft.com/office/drawing/2014/chart" uri="{C3380CC4-5D6E-409C-BE32-E72D297353CC}">
              <c16:uniqueId val="{00000000-11FC-418D-902A-72A5839FF52F}"/>
            </c:ext>
          </c:extLst>
        </c:ser>
        <c:ser>
          <c:idx val="2"/>
          <c:order val="2"/>
          <c:tx>
            <c:strRef>
              <c:f>Sheet1!$A$4</c:f>
              <c:strCache>
                <c:ptCount val="1"/>
                <c:pt idx="0">
                  <c:v>信息行业城镇单位就业人员平均工资（元）</c:v>
                </c:pt>
              </c:strCache>
            </c:strRef>
          </c:tx>
          <c:spPr>
            <a:solidFill>
              <a:srgbClr val="A5A5A5"/>
            </a:solidFill>
            <a:ln w="25387">
              <a:noFill/>
            </a:ln>
          </c:spPr>
          <c:invertIfNegative val="0"/>
          <c:cat>
            <c:numRef>
              <c:f>Sheet1!$B$1:$J$1</c:f>
              <c:numCache>
                <c:formatCode>General</c:formatCode>
                <c:ptCount val="9"/>
                <c:pt idx="0">
                  <c:v>2011</c:v>
                </c:pt>
                <c:pt idx="1">
                  <c:v>2012</c:v>
                </c:pt>
                <c:pt idx="2">
                  <c:v>2013</c:v>
                </c:pt>
                <c:pt idx="3">
                  <c:v>2014</c:v>
                </c:pt>
                <c:pt idx="4">
                  <c:v>2015</c:v>
                </c:pt>
                <c:pt idx="5">
                  <c:v>2016</c:v>
                </c:pt>
                <c:pt idx="6">
                  <c:v>2017</c:v>
                </c:pt>
                <c:pt idx="7">
                  <c:v>2018</c:v>
                </c:pt>
                <c:pt idx="8">
                  <c:v>2019</c:v>
                </c:pt>
              </c:numCache>
            </c:numRef>
          </c:cat>
          <c:val>
            <c:numRef>
              <c:f>Sheet1!$B$4:$J$4</c:f>
              <c:numCache>
                <c:formatCode>General</c:formatCode>
                <c:ptCount val="9"/>
                <c:pt idx="0">
                  <c:v>70918</c:v>
                </c:pt>
                <c:pt idx="1">
                  <c:v>80510</c:v>
                </c:pt>
                <c:pt idx="2">
                  <c:v>90915</c:v>
                </c:pt>
                <c:pt idx="3">
                  <c:v>100845</c:v>
                </c:pt>
                <c:pt idx="4">
                  <c:v>112042</c:v>
                </c:pt>
                <c:pt idx="5">
                  <c:v>122478</c:v>
                </c:pt>
                <c:pt idx="6">
                  <c:v>133150</c:v>
                </c:pt>
                <c:pt idx="7">
                  <c:v>147678</c:v>
                </c:pt>
                <c:pt idx="8">
                  <c:v>161352</c:v>
                </c:pt>
              </c:numCache>
            </c:numRef>
          </c:val>
          <c:extLst>
            <c:ext xmlns:c16="http://schemas.microsoft.com/office/drawing/2014/chart" uri="{C3380CC4-5D6E-409C-BE32-E72D297353CC}">
              <c16:uniqueId val="{00000001-11FC-418D-902A-72A5839FF52F}"/>
            </c:ext>
          </c:extLst>
        </c:ser>
        <c:dLbls>
          <c:showLegendKey val="0"/>
          <c:showVal val="0"/>
          <c:showCatName val="0"/>
          <c:showSerName val="0"/>
          <c:showPercent val="0"/>
          <c:showBubbleSize val="0"/>
        </c:dLbls>
        <c:gapWidth val="219"/>
        <c:axId val="205355888"/>
        <c:axId val="1"/>
      </c:barChart>
      <c:lineChart>
        <c:grouping val="standard"/>
        <c:varyColors val="0"/>
        <c:ser>
          <c:idx val="1"/>
          <c:order val="1"/>
          <c:tx>
            <c:strRef>
              <c:f>Sheet1!$A$3</c:f>
              <c:strCache>
                <c:ptCount val="1"/>
                <c:pt idx="0">
                  <c:v>城镇单位就业人员平均工资增幅（与前一年相比）</c:v>
                </c:pt>
              </c:strCache>
            </c:strRef>
          </c:tx>
          <c:spPr>
            <a:ln w="28561" cap="rnd">
              <a:solidFill>
                <a:schemeClr val="accent2"/>
              </a:solidFill>
              <a:round/>
            </a:ln>
            <a:effectLst/>
          </c:spPr>
          <c:marker>
            <c:symbol val="none"/>
          </c:marker>
          <c:val>
            <c:numRef>
              <c:f>Sheet1!$B$3:$J$3</c:f>
              <c:numCache>
                <c:formatCode>0.00%</c:formatCode>
                <c:ptCount val="9"/>
                <c:pt idx="1">
                  <c:v>0.11890236608531304</c:v>
                </c:pt>
                <c:pt idx="2">
                  <c:v>0.10079326049306164</c:v>
                </c:pt>
                <c:pt idx="3">
                  <c:v>9.4730299322106332E-2</c:v>
                </c:pt>
                <c:pt idx="4">
                  <c:v>0.10058552164655785</c:v>
                </c:pt>
                <c:pt idx="5">
                  <c:v>8.9313063244611385E-2</c:v>
                </c:pt>
                <c:pt idx="6">
                  <c:v>9.988308247865145E-2</c:v>
                </c:pt>
                <c:pt idx="7">
                  <c:v>0.10892381388089023</c:v>
                </c:pt>
                <c:pt idx="8">
                  <c:v>9.8139856576025628E-2</c:v>
                </c:pt>
              </c:numCache>
            </c:numRef>
          </c:val>
          <c:smooth val="0"/>
          <c:extLst>
            <c:ext xmlns:c16="http://schemas.microsoft.com/office/drawing/2014/chart" uri="{C3380CC4-5D6E-409C-BE32-E72D297353CC}">
              <c16:uniqueId val="{00000002-11FC-418D-902A-72A5839FF52F}"/>
            </c:ext>
          </c:extLst>
        </c:ser>
        <c:ser>
          <c:idx val="3"/>
          <c:order val="3"/>
          <c:tx>
            <c:strRef>
              <c:f>Sheet1!$A$5</c:f>
              <c:strCache>
                <c:ptCount val="1"/>
                <c:pt idx="0">
                  <c:v>信息行业城镇单位就业人员平均工资增幅（与前一年相比）</c:v>
                </c:pt>
              </c:strCache>
            </c:strRef>
          </c:tx>
          <c:spPr>
            <a:ln w="28561" cap="rnd">
              <a:solidFill>
                <a:schemeClr val="accent4"/>
              </a:solidFill>
              <a:round/>
            </a:ln>
            <a:effectLst/>
          </c:spPr>
          <c:marker>
            <c:symbol val="none"/>
          </c:marker>
          <c:val>
            <c:numRef>
              <c:f>Sheet1!$B$5:$J$5</c:f>
              <c:numCache>
                <c:formatCode>0.00%</c:formatCode>
                <c:ptCount val="9"/>
                <c:pt idx="1">
                  <c:v>0.13525480131983417</c:v>
                </c:pt>
                <c:pt idx="2">
                  <c:v>0.12923860390013664</c:v>
                </c:pt>
                <c:pt idx="3">
                  <c:v>0.10922290051146676</c:v>
                </c:pt>
                <c:pt idx="4">
                  <c:v>0.11103178144677475</c:v>
                </c:pt>
                <c:pt idx="5">
                  <c:v>9.3143642562610443E-2</c:v>
                </c:pt>
                <c:pt idx="6">
                  <c:v>8.7134015904897208E-2</c:v>
                </c:pt>
                <c:pt idx="7">
                  <c:v>0.10911002628614344</c:v>
                </c:pt>
                <c:pt idx="8">
                  <c:v>9.2593344980294964E-2</c:v>
                </c:pt>
              </c:numCache>
            </c:numRef>
          </c:val>
          <c:smooth val="0"/>
          <c:extLst>
            <c:ext xmlns:c16="http://schemas.microsoft.com/office/drawing/2014/chart" uri="{C3380CC4-5D6E-409C-BE32-E72D297353CC}">
              <c16:uniqueId val="{00000003-11FC-418D-902A-72A5839FF52F}"/>
            </c:ext>
          </c:extLst>
        </c:ser>
        <c:dLbls>
          <c:showLegendKey val="0"/>
          <c:showVal val="0"/>
          <c:showCatName val="0"/>
          <c:showSerName val="0"/>
          <c:showPercent val="0"/>
          <c:showBubbleSize val="0"/>
        </c:dLbls>
        <c:marker val="1"/>
        <c:smooth val="0"/>
        <c:axId val="3"/>
        <c:axId val="4"/>
      </c:lineChart>
      <c:catAx>
        <c:axId val="205355888"/>
        <c:scaling>
          <c:orientation val="minMax"/>
        </c:scaling>
        <c:delete val="0"/>
        <c:axPos val="b"/>
        <c:numFmt formatCode="General" sourceLinked="1"/>
        <c:majorTickMark val="none"/>
        <c:minorTickMark val="none"/>
        <c:tickLblPos val="nextTo"/>
        <c:spPr>
          <a:noFill/>
          <a:ln w="9520" cap="flat" cmpd="sng" algn="ctr">
            <a:solidFill>
              <a:schemeClr val="tx1">
                <a:lumMod val="15000"/>
                <a:lumOff val="85000"/>
              </a:schemeClr>
            </a:solidFill>
            <a:round/>
          </a:ln>
          <a:effectLst/>
        </c:spPr>
        <c:txPr>
          <a:bodyPr rot="-60000000" vert="horz"/>
          <a:lstStyle/>
          <a:p>
            <a:pPr>
              <a:defRPr/>
            </a:pPr>
            <a:endParaRPr lang="zh-CN"/>
          </a:p>
        </c:txPr>
        <c:crossAx val="1"/>
        <c:crosses val="autoZero"/>
        <c:auto val="1"/>
        <c:lblAlgn val="ctr"/>
        <c:lblOffset val="100"/>
        <c:noMultiLvlLbl val="0"/>
      </c:catAx>
      <c:valAx>
        <c:axId val="1"/>
        <c:scaling>
          <c:orientation val="minMax"/>
        </c:scaling>
        <c:delete val="0"/>
        <c:axPos val="l"/>
        <c:majorGridlines>
          <c:spPr>
            <a:ln w="9520" cap="flat" cmpd="sng" algn="ctr">
              <a:solidFill>
                <a:schemeClr val="tx1">
                  <a:lumMod val="15000"/>
                  <a:lumOff val="85000"/>
                </a:schemeClr>
              </a:solidFill>
              <a:round/>
            </a:ln>
            <a:effectLst/>
          </c:spPr>
        </c:majorGridlines>
        <c:numFmt formatCode="General" sourceLinked="1"/>
        <c:majorTickMark val="none"/>
        <c:minorTickMark val="none"/>
        <c:tickLblPos val="nextTo"/>
        <c:spPr>
          <a:ln w="6347">
            <a:noFill/>
          </a:ln>
        </c:spPr>
        <c:txPr>
          <a:bodyPr rot="-60000000" vert="horz"/>
          <a:lstStyle/>
          <a:p>
            <a:pPr>
              <a:defRPr/>
            </a:pPr>
            <a:endParaRPr lang="zh-CN"/>
          </a:p>
        </c:txPr>
        <c:crossAx val="205355888"/>
        <c:crosses val="autoZero"/>
        <c:crossBetween val="between"/>
      </c:valAx>
      <c:catAx>
        <c:axId val="3"/>
        <c:scaling>
          <c:orientation val="minMax"/>
        </c:scaling>
        <c:delete val="1"/>
        <c:axPos val="b"/>
        <c:majorTickMark val="out"/>
        <c:minorTickMark val="none"/>
        <c:tickLblPos val="nextTo"/>
        <c:crossAx val="4"/>
        <c:crosses val="autoZero"/>
        <c:auto val="1"/>
        <c:lblAlgn val="ctr"/>
        <c:lblOffset val="100"/>
        <c:noMultiLvlLbl val="0"/>
      </c:catAx>
      <c:valAx>
        <c:axId val="4"/>
        <c:scaling>
          <c:orientation val="minMax"/>
        </c:scaling>
        <c:delete val="0"/>
        <c:axPos val="r"/>
        <c:numFmt formatCode="0.00%" sourceLinked="1"/>
        <c:majorTickMark val="out"/>
        <c:minorTickMark val="none"/>
        <c:tickLblPos val="nextTo"/>
        <c:spPr>
          <a:ln w="6347">
            <a:noFill/>
          </a:ln>
        </c:spPr>
        <c:txPr>
          <a:bodyPr rot="-60000000" vert="horz"/>
          <a:lstStyle/>
          <a:p>
            <a:pPr>
              <a:defRPr/>
            </a:pPr>
            <a:endParaRPr lang="zh-CN"/>
          </a:p>
        </c:txPr>
        <c:crossAx val="3"/>
        <c:crosses val="max"/>
        <c:crossBetween val="between"/>
      </c:valAx>
      <c:spPr>
        <a:noFill/>
        <a:ln w="25387">
          <a:noFill/>
        </a:ln>
      </c:spPr>
    </c:plotArea>
    <c:legend>
      <c:legendPos val="r"/>
      <c:overlay val="0"/>
      <c:spPr>
        <a:noFill/>
        <a:ln w="25387">
          <a:noFill/>
        </a:ln>
      </c:spPr>
    </c:legend>
    <c:plotVisOnly val="1"/>
    <c:dispBlanksAs val="gap"/>
    <c:showDLblsOverMax val="0"/>
  </c:chart>
  <c:spPr>
    <a:solidFill>
      <a:schemeClr val="bg1"/>
    </a:solidFill>
    <a:ln w="9520" cap="flat" cmpd="sng" algn="ctr">
      <a:solidFill>
        <a:schemeClr val="tx1">
          <a:lumMod val="15000"/>
          <a:lumOff val="85000"/>
        </a:schemeClr>
      </a:solidFill>
      <a:round/>
    </a:ln>
    <a:effectLst/>
  </c:spPr>
  <c:txPr>
    <a:bodyPr/>
    <a:lstStyle/>
    <a:p>
      <a:pPr>
        <a:defRPr sz="900">
          <a:latin typeface="宋体" panose="02010600030101010101" pitchFamily="2" charset="-122"/>
          <a:ea typeface="宋体" panose="02010600030101010101" pitchFamily="2" charset="-122"/>
        </a:defRPr>
      </a:pPr>
      <a:endParaRPr lang="zh-CN"/>
    </a:p>
  </c:txPr>
  <c:externalData r:id="rId2">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2F8FA-4D32-474B-8F60-0CF306FD4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420</Words>
  <Characters>2395</Characters>
  <Application>Microsoft Office Word</Application>
  <DocSecurity>0</DocSecurity>
  <Lines>19</Lines>
  <Paragraphs>5</Paragraphs>
  <ScaleCrop>false</ScaleCrop>
  <Company>Microsoft</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朴 景麟</cp:lastModifiedBy>
  <cp:revision>8</cp:revision>
  <cp:lastPrinted>2019-07-11T06:22:00Z</cp:lastPrinted>
  <dcterms:created xsi:type="dcterms:W3CDTF">2021-04-07T03:26:00Z</dcterms:created>
  <dcterms:modified xsi:type="dcterms:W3CDTF">2021-04-08T00:27:00Z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