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sz w:val="32"/>
          <w:szCs w:val="32"/>
        </w:rPr>
      </w:pPr>
      <w:r>
        <w:rPr>
          <w:rFonts w:hint="eastAsia" w:ascii="黑体" w:hAnsi="黑体" w:eastAsia="黑体"/>
          <w:sz w:val="32"/>
          <w:szCs w:val="32"/>
        </w:rPr>
        <w:t>有关I</w:t>
      </w:r>
      <w:r>
        <w:rPr>
          <w:rFonts w:ascii="黑体" w:hAnsi="黑体" w:eastAsia="黑体"/>
          <w:sz w:val="32"/>
          <w:szCs w:val="32"/>
        </w:rPr>
        <w:t>T</w:t>
      </w:r>
      <w:r>
        <w:rPr>
          <w:rFonts w:hint="eastAsia" w:ascii="黑体" w:hAnsi="黑体" w:eastAsia="黑体"/>
          <w:sz w:val="32"/>
          <w:szCs w:val="32"/>
        </w:rPr>
        <w:t>行业薪酬变化的数据分析</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杨欣瑜</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大连理工大学软件学院 辽宁大连 116000</w:t>
      </w:r>
    </w:p>
    <w:p>
      <w:r>
        <w:rPr>
          <w:rFonts w:hint="eastAsia" w:ascii="仿宋" w:hAnsi="仿宋" w:eastAsia="仿宋"/>
          <w:b/>
          <w:bCs/>
        </w:rPr>
        <w:t xml:space="preserve">摘 </w:t>
      </w:r>
      <w:r>
        <w:rPr>
          <w:rFonts w:ascii="仿宋" w:hAnsi="仿宋" w:eastAsia="仿宋"/>
          <w:b/>
          <w:bCs/>
        </w:rPr>
        <w:t xml:space="preserve"> </w:t>
      </w:r>
      <w:r>
        <w:rPr>
          <w:rFonts w:hint="eastAsia" w:ascii="仿宋" w:hAnsi="仿宋" w:eastAsia="仿宋"/>
          <w:b/>
          <w:bCs/>
        </w:rPr>
        <w:t>要</w:t>
      </w:r>
      <w:r>
        <w:rPr>
          <w:rFonts w:hint="eastAsia"/>
        </w:rPr>
        <w:t xml:space="preserve"> </w:t>
      </w:r>
      <w:r>
        <w:t xml:space="preserve"> </w:t>
      </w:r>
      <w:r>
        <w:rPr>
          <w:rFonts w:hint="eastAsia" w:ascii="仿宋" w:hAnsi="仿宋" w:eastAsia="仿宋"/>
          <w:szCs w:val="21"/>
        </w:rPr>
        <w:t>近年来I</w:t>
      </w:r>
      <w:r>
        <w:rPr>
          <w:rFonts w:ascii="仿宋" w:hAnsi="仿宋" w:eastAsia="仿宋"/>
          <w:szCs w:val="21"/>
        </w:rPr>
        <w:t>T</w:t>
      </w:r>
      <w:r>
        <w:rPr>
          <w:rFonts w:hint="eastAsia" w:ascii="仿宋" w:hAnsi="仿宋" w:eastAsia="仿宋"/>
          <w:szCs w:val="21"/>
        </w:rPr>
        <w:t>行业新兴，发展前景明朗，越来越多的人倾向于这一方面的工作。本文简述了I</w:t>
      </w:r>
      <w:r>
        <w:rPr>
          <w:rFonts w:ascii="仿宋" w:hAnsi="仿宋" w:eastAsia="仿宋"/>
          <w:szCs w:val="21"/>
        </w:rPr>
        <w:t>T</w:t>
      </w:r>
      <w:r>
        <w:rPr>
          <w:rFonts w:hint="eastAsia" w:ascii="仿宋" w:hAnsi="仿宋" w:eastAsia="仿宋"/>
          <w:szCs w:val="21"/>
        </w:rPr>
        <w:t>行业的发展历程，通过数据的整合以及分析，论述I</w:t>
      </w:r>
      <w:r>
        <w:rPr>
          <w:rFonts w:ascii="仿宋" w:hAnsi="仿宋" w:eastAsia="仿宋"/>
          <w:szCs w:val="21"/>
        </w:rPr>
        <w:t>T</w:t>
      </w:r>
      <w:r>
        <w:rPr>
          <w:rFonts w:hint="eastAsia" w:ascii="仿宋" w:hAnsi="仿宋" w:eastAsia="仿宋"/>
          <w:szCs w:val="21"/>
        </w:rPr>
        <w:t>行业薪酬变化，分析各个阶段影响I</w:t>
      </w:r>
      <w:r>
        <w:rPr>
          <w:rFonts w:ascii="仿宋" w:hAnsi="仿宋" w:eastAsia="仿宋"/>
          <w:szCs w:val="21"/>
        </w:rPr>
        <w:t>T</w:t>
      </w:r>
      <w:r>
        <w:rPr>
          <w:rFonts w:hint="eastAsia" w:ascii="仿宋" w:hAnsi="仿宋" w:eastAsia="仿宋"/>
          <w:szCs w:val="21"/>
        </w:rPr>
        <w:t>行业薪酬变化的因素以及薪酬未来的变化趋势。</w:t>
      </w:r>
      <w:bookmarkStart w:id="1" w:name="_GoBack"/>
      <w:bookmarkEnd w:id="1"/>
    </w:p>
    <w:p>
      <w:pPr>
        <w:rPr>
          <w:rFonts w:hint="eastAsia"/>
        </w:rPr>
        <w:sectPr>
          <w:pgSz w:w="11906" w:h="16838"/>
          <w:pgMar w:top="1440" w:right="1080" w:bottom="1440" w:left="1080" w:header="851" w:footer="992" w:gutter="0"/>
          <w:cols w:space="425" w:num="1"/>
          <w:docGrid w:type="lines" w:linePitch="312" w:charSpace="0"/>
        </w:sectPr>
      </w:pPr>
      <w:r>
        <w:rPr>
          <w:rFonts w:hint="eastAsia"/>
        </w:rPr>
        <w:t>关键词：I</w:t>
      </w:r>
      <w:r>
        <w:t>T</w:t>
      </w:r>
      <w:r>
        <w:rPr>
          <w:rFonts w:hint="eastAsia"/>
        </w:rPr>
        <w:t>行业；薪资</w:t>
      </w:r>
    </w:p>
    <w:p>
      <w:pPr>
        <w:pStyle w:val="2"/>
        <w:rPr>
          <w:rFonts w:ascii="黑体" w:hAnsi="黑体" w:eastAsia="黑体"/>
          <w:sz w:val="21"/>
          <w:szCs w:val="21"/>
        </w:rPr>
      </w:pPr>
      <w:r>
        <w:rPr>
          <w:rFonts w:hint="eastAsia" w:ascii="黑体" w:hAnsi="黑体" w:eastAsia="黑体"/>
          <w:sz w:val="21"/>
          <w:szCs w:val="21"/>
        </w:rPr>
        <w:t>1</w:t>
      </w:r>
      <w:r>
        <w:rPr>
          <w:rFonts w:ascii="黑体" w:hAnsi="黑体" w:eastAsia="黑体"/>
          <w:sz w:val="21"/>
          <w:szCs w:val="21"/>
        </w:rPr>
        <w:t xml:space="preserve"> </w:t>
      </w:r>
      <w:r>
        <w:rPr>
          <w:rFonts w:hint="eastAsia" w:ascii="黑体" w:hAnsi="黑体" w:eastAsia="黑体"/>
          <w:sz w:val="21"/>
          <w:szCs w:val="21"/>
        </w:rPr>
        <w:t>引言</w:t>
      </w:r>
    </w:p>
    <w:p>
      <w:pPr>
        <w:ind w:firstLine="360" w:firstLineChars="200"/>
        <w:rPr>
          <w:rFonts w:ascii="宋体" w:hAnsi="宋体" w:eastAsia="宋体"/>
          <w:sz w:val="18"/>
          <w:szCs w:val="18"/>
        </w:rPr>
      </w:pPr>
      <w:r>
        <w:rPr>
          <w:rFonts w:hint="eastAsia" w:ascii="宋体" w:hAnsi="宋体" w:eastAsia="宋体"/>
          <w:sz w:val="18"/>
          <w:szCs w:val="18"/>
        </w:rPr>
        <w:t>I</w:t>
      </w:r>
      <w:r>
        <w:rPr>
          <w:rFonts w:ascii="宋体" w:hAnsi="宋体" w:eastAsia="宋体"/>
          <w:sz w:val="18"/>
          <w:szCs w:val="18"/>
        </w:rPr>
        <w:t>T</w:t>
      </w:r>
      <w:r>
        <w:rPr>
          <w:rFonts w:hint="eastAsia" w:ascii="宋体" w:hAnsi="宋体" w:eastAsia="宋体"/>
          <w:sz w:val="18"/>
          <w:szCs w:val="18"/>
        </w:rPr>
        <w:t>（</w:t>
      </w:r>
      <w:r>
        <w:rPr>
          <w:rFonts w:ascii="宋体" w:hAnsi="宋体" w:eastAsia="宋体"/>
          <w:sz w:val="18"/>
          <w:szCs w:val="18"/>
        </w:rPr>
        <w:t>Information Technology</w:t>
      </w:r>
      <w:r>
        <w:rPr>
          <w:rFonts w:hint="eastAsia" w:ascii="宋体" w:hAnsi="宋体" w:eastAsia="宋体"/>
          <w:sz w:val="18"/>
          <w:szCs w:val="18"/>
        </w:rPr>
        <w:t>）行业是一门新兴的产业。它建立在现代科学理论和科学技术基础之上，采用了先进的理论和通讯技术，是一门带有高科技性质的服务性产业。</w:t>
      </w:r>
      <w:r>
        <w:rPr>
          <w:rFonts w:ascii="宋体" w:hAnsi="宋体" w:eastAsia="宋体"/>
          <w:sz w:val="18"/>
          <w:szCs w:val="18"/>
        </w:rPr>
        <w:t>IT行业的发展对整个国民经济的发展意义重大，有利于各产业提高劳动生产率，缩短了科学技术从创制到应用于生产领域的距离，有利于国民经济结构上的调整。</w:t>
      </w:r>
    </w:p>
    <w:p>
      <w:pPr>
        <w:ind w:firstLine="360" w:firstLineChars="200"/>
        <w:rPr>
          <w:rFonts w:ascii="宋体" w:hAnsi="宋体" w:eastAsia="宋体"/>
          <w:sz w:val="18"/>
          <w:szCs w:val="18"/>
        </w:rPr>
      </w:pPr>
      <w:r>
        <w:rPr>
          <w:rFonts w:hint="eastAsia" w:ascii="宋体" w:hAnsi="宋体" w:eastAsia="宋体"/>
          <w:sz w:val="18"/>
          <w:szCs w:val="18"/>
        </w:rPr>
        <w:t>鉴于I</w:t>
      </w:r>
      <w:r>
        <w:rPr>
          <w:rFonts w:ascii="宋体" w:hAnsi="宋体" w:eastAsia="宋体"/>
          <w:sz w:val="18"/>
          <w:szCs w:val="18"/>
        </w:rPr>
        <w:t>T</w:t>
      </w:r>
      <w:r>
        <w:rPr>
          <w:rFonts w:hint="eastAsia" w:ascii="宋体" w:hAnsi="宋体" w:eastAsia="宋体"/>
          <w:sz w:val="18"/>
          <w:szCs w:val="18"/>
        </w:rPr>
        <w:t>产业近几年的火热程度，本文将从发展历程、薪资变化、影响因素以及前景分析这四个方面对I</w:t>
      </w:r>
      <w:r>
        <w:rPr>
          <w:rFonts w:ascii="宋体" w:hAnsi="宋体" w:eastAsia="宋体"/>
          <w:sz w:val="18"/>
          <w:szCs w:val="18"/>
        </w:rPr>
        <w:t>T</w:t>
      </w:r>
      <w:r>
        <w:rPr>
          <w:rFonts w:hint="eastAsia" w:ascii="宋体" w:hAnsi="宋体" w:eastAsia="宋体"/>
          <w:sz w:val="18"/>
          <w:szCs w:val="18"/>
        </w:rPr>
        <w:t>产业展开系统的介绍。</w:t>
      </w:r>
    </w:p>
    <w:p>
      <w:pPr>
        <w:pStyle w:val="2"/>
        <w:rPr>
          <w:rFonts w:ascii="黑体" w:hAnsi="黑体" w:eastAsia="黑体"/>
          <w:sz w:val="21"/>
          <w:szCs w:val="21"/>
        </w:rPr>
      </w:pPr>
      <w:r>
        <w:rPr>
          <w:rFonts w:hint="eastAsia" w:ascii="黑体" w:hAnsi="黑体" w:eastAsia="黑体"/>
          <w:sz w:val="21"/>
          <w:szCs w:val="21"/>
        </w:rPr>
        <w:t>2</w:t>
      </w:r>
      <w:r>
        <w:rPr>
          <w:rFonts w:ascii="黑体" w:hAnsi="黑体" w:eastAsia="黑体"/>
          <w:sz w:val="21"/>
          <w:szCs w:val="21"/>
        </w:rPr>
        <w:t xml:space="preserve"> IT</w:t>
      </w:r>
      <w:r>
        <w:rPr>
          <w:rFonts w:hint="eastAsia" w:ascii="黑体" w:hAnsi="黑体" w:eastAsia="黑体"/>
          <w:sz w:val="21"/>
          <w:szCs w:val="21"/>
        </w:rPr>
        <w:t>产业的发展历程</w:t>
      </w:r>
    </w:p>
    <w:p>
      <w:pPr>
        <w:ind w:firstLine="360" w:firstLineChars="200"/>
        <w:rPr>
          <w:rFonts w:ascii="宋体" w:hAnsi="宋体" w:eastAsia="宋体"/>
          <w:sz w:val="18"/>
          <w:szCs w:val="18"/>
        </w:rPr>
      </w:pPr>
      <w:r>
        <w:rPr>
          <w:rFonts w:hint="eastAsia" w:ascii="宋体" w:hAnsi="宋体" w:eastAsia="宋体"/>
          <w:sz w:val="18"/>
          <w:szCs w:val="18"/>
        </w:rPr>
        <w:t>我国I</w:t>
      </w:r>
      <w:r>
        <w:rPr>
          <w:rFonts w:ascii="宋体" w:hAnsi="宋体" w:eastAsia="宋体"/>
          <w:sz w:val="18"/>
          <w:szCs w:val="18"/>
        </w:rPr>
        <w:t>T</w:t>
      </w:r>
      <w:r>
        <w:rPr>
          <w:rFonts w:hint="eastAsia" w:ascii="宋体" w:hAnsi="宋体" w:eastAsia="宋体"/>
          <w:sz w:val="18"/>
          <w:szCs w:val="18"/>
        </w:rPr>
        <w:t>产业的发展始于改革开放时期，改革开放之后，根据不同的发展水平，国内的电子信息产业主要经历了三个时期，它们分别是：市场转型时期、规模化发展时期和代工跟随时期</w:t>
      </w:r>
      <w:r>
        <w:rPr>
          <w:rFonts w:hint="eastAsia" w:ascii="宋体" w:hAnsi="宋体" w:eastAsia="宋体"/>
          <w:sz w:val="18"/>
          <w:szCs w:val="18"/>
          <w:vertAlign w:val="superscript"/>
        </w:rPr>
        <w:t>[</w:t>
      </w:r>
      <w:r>
        <w:rPr>
          <w:rFonts w:ascii="宋体" w:hAnsi="宋体" w:eastAsia="宋体"/>
          <w:sz w:val="18"/>
          <w:szCs w:val="18"/>
          <w:vertAlign w:val="superscript"/>
        </w:rPr>
        <w:t>1]</w:t>
      </w:r>
      <w:r>
        <w:rPr>
          <w:rFonts w:hint="eastAsia" w:ascii="宋体" w:hAnsi="宋体" w:eastAsia="宋体"/>
          <w:sz w:val="18"/>
          <w:szCs w:val="18"/>
        </w:rPr>
        <w:t>，经过这些时期的起步和发展，我国的电子信息产业已经进入了迅速发展的时期。</w:t>
      </w:r>
    </w:p>
    <w:p>
      <w:pPr>
        <w:ind w:firstLine="360" w:firstLineChars="200"/>
        <w:rPr>
          <w:rFonts w:ascii="宋体" w:hAnsi="宋体" w:eastAsia="宋体"/>
          <w:sz w:val="18"/>
          <w:szCs w:val="18"/>
        </w:rPr>
      </w:pPr>
      <w:r>
        <w:rPr>
          <w:rFonts w:hint="eastAsia" w:ascii="宋体" w:hAnsi="宋体" w:eastAsia="宋体"/>
          <w:sz w:val="18"/>
          <w:szCs w:val="18"/>
        </w:rPr>
        <w:t>电子信息产业在改革开放以后得到了迅速的发展，至今为止已经在国家经济中占据重要地位，仍然属于国家的“朝阳产业”，未来的发展前景还非常广阔。</w:t>
      </w:r>
    </w:p>
    <w:p>
      <w:pPr>
        <w:pStyle w:val="2"/>
        <w:rPr>
          <w:rFonts w:ascii="黑体" w:hAnsi="黑体" w:eastAsia="黑体"/>
          <w:sz w:val="21"/>
          <w:szCs w:val="21"/>
        </w:rPr>
      </w:pPr>
      <w:r>
        <w:rPr>
          <w:rFonts w:hint="eastAsia" w:ascii="黑体" w:hAnsi="黑体" w:eastAsia="黑体"/>
          <w:sz w:val="21"/>
          <w:szCs w:val="21"/>
        </w:rPr>
        <w:t>3</w:t>
      </w:r>
      <w:r>
        <w:rPr>
          <w:rFonts w:ascii="黑体" w:hAnsi="黑体" w:eastAsia="黑体"/>
          <w:sz w:val="21"/>
          <w:szCs w:val="21"/>
        </w:rPr>
        <w:t xml:space="preserve"> IT</w:t>
      </w:r>
      <w:r>
        <w:rPr>
          <w:rFonts w:hint="eastAsia" w:ascii="黑体" w:hAnsi="黑体" w:eastAsia="黑体"/>
          <w:sz w:val="21"/>
          <w:szCs w:val="21"/>
        </w:rPr>
        <w:t>产业的薪资变化趋势分析</w:t>
      </w:r>
    </w:p>
    <w:p>
      <w:pPr>
        <w:ind w:firstLine="360" w:firstLineChars="200"/>
        <w:rPr>
          <w:rFonts w:ascii="宋体" w:hAnsi="宋体" w:eastAsia="宋体"/>
          <w:sz w:val="18"/>
          <w:szCs w:val="18"/>
        </w:rPr>
      </w:pPr>
      <w:r>
        <w:rPr>
          <w:rFonts w:hint="eastAsia" w:ascii="宋体" w:hAnsi="宋体" w:eastAsia="宋体"/>
          <w:sz w:val="18"/>
          <w:szCs w:val="18"/>
        </w:rPr>
        <w:t>2005年之后，I</w:t>
      </w:r>
      <w:r>
        <w:rPr>
          <w:rFonts w:ascii="宋体" w:hAnsi="宋体" w:eastAsia="宋体"/>
          <w:sz w:val="18"/>
          <w:szCs w:val="18"/>
        </w:rPr>
        <w:t>T</w:t>
      </w:r>
      <w:r>
        <w:rPr>
          <w:rFonts w:hint="eastAsia" w:ascii="宋体" w:hAnsi="宋体" w:eastAsia="宋体"/>
          <w:sz w:val="18"/>
          <w:szCs w:val="18"/>
        </w:rPr>
        <w:t>产业逐渐步入正轨。I</w:t>
      </w:r>
      <w:r>
        <w:rPr>
          <w:rFonts w:ascii="宋体" w:hAnsi="宋体" w:eastAsia="宋体"/>
          <w:sz w:val="18"/>
          <w:szCs w:val="18"/>
        </w:rPr>
        <w:t>T</w:t>
      </w:r>
      <w:r>
        <w:rPr>
          <w:rFonts w:hint="eastAsia" w:ascii="宋体" w:hAnsi="宋体" w:eastAsia="宋体"/>
          <w:sz w:val="18"/>
          <w:szCs w:val="18"/>
        </w:rPr>
        <w:t>行业在快速发展，国家对于I</w:t>
      </w:r>
      <w:r>
        <w:rPr>
          <w:rFonts w:ascii="宋体" w:hAnsi="宋体" w:eastAsia="宋体"/>
          <w:sz w:val="18"/>
          <w:szCs w:val="18"/>
        </w:rPr>
        <w:t>T</w:t>
      </w:r>
      <w:r>
        <w:rPr>
          <w:rFonts w:hint="eastAsia" w:ascii="宋体" w:hAnsi="宋体" w:eastAsia="宋体"/>
          <w:sz w:val="18"/>
          <w:szCs w:val="18"/>
        </w:rPr>
        <w:t>人才的需求也猛增。如图1所示，I</w:t>
      </w:r>
      <w:r>
        <w:rPr>
          <w:rFonts w:ascii="宋体" w:hAnsi="宋体" w:eastAsia="宋体"/>
          <w:sz w:val="18"/>
          <w:szCs w:val="18"/>
        </w:rPr>
        <w:t>T</w:t>
      </w:r>
      <w:r>
        <w:rPr>
          <w:rFonts w:hint="eastAsia" w:ascii="宋体" w:hAnsi="宋体" w:eastAsia="宋体"/>
          <w:sz w:val="18"/>
          <w:szCs w:val="18"/>
        </w:rPr>
        <w:t>行业从业人员数与日俱增，自2005年起，从业人员数迅猛增长，2008年至2009年间，从业人数增长率约达37%，2009年至2014年间，年增长率维持在20%上下浮动。</w:t>
      </w:r>
    </w:p>
    <w:p>
      <w:pPr>
        <w:ind w:firstLine="360" w:firstLineChars="200"/>
        <w:rPr>
          <w:rFonts w:ascii="宋体" w:hAnsi="宋体" w:eastAsia="宋体"/>
          <w:sz w:val="18"/>
          <w:szCs w:val="18"/>
        </w:rPr>
      </w:pPr>
      <w:r>
        <w:rPr>
          <w:rFonts w:hint="eastAsia" w:ascii="宋体" w:hAnsi="宋体" w:eastAsia="宋体"/>
          <w:sz w:val="18"/>
          <w:szCs w:val="18"/>
        </w:rPr>
        <w:t>在不断增长的从业人员趋势中，不难看出国家对I</w:t>
      </w:r>
      <w:r>
        <w:rPr>
          <w:rFonts w:ascii="宋体" w:hAnsi="宋体" w:eastAsia="宋体"/>
          <w:sz w:val="18"/>
          <w:szCs w:val="18"/>
        </w:rPr>
        <w:t>T</w:t>
      </w:r>
      <w:r>
        <w:rPr>
          <w:rFonts w:hint="eastAsia" w:ascii="宋体" w:hAnsi="宋体" w:eastAsia="宋体"/>
          <w:sz w:val="18"/>
          <w:szCs w:val="18"/>
        </w:rPr>
        <w:t>产业的重视力度，软件行业的劳动者报酬也在直线上升，劳动者报酬上升趋势如图2所示。随着时间的不断推进，劳动者报酬也呈梯度增长，2007年至2013年年增长率约在30%-40%之间，2016年至2018年年增长率约在20%上下浮动。即使从业人员数也在逐年增加，但我们仍可间接分析到，软件行业从业人员薪资逐年增长这一趋势。</w:t>
      </w:r>
    </w:p>
    <w:p>
      <w:pPr>
        <w:ind w:firstLine="420" w:firstLineChars="200"/>
        <w:jc w:val="center"/>
      </w:pPr>
      <w:r>
        <w:drawing>
          <wp:inline distT="0" distB="0" distL="0" distR="0">
            <wp:extent cx="4103370" cy="23482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rcRect l="25946" t="26223" r="22995" b="21834"/>
                    <a:stretch>
                      <a:fillRect/>
                    </a:stretch>
                  </pic:blipFill>
                  <pic:spPr>
                    <a:xfrm>
                      <a:off x="0" y="0"/>
                      <a:ext cx="4177269" cy="2390207"/>
                    </a:xfrm>
                    <a:prstGeom prst="rect">
                      <a:avLst/>
                    </a:prstGeom>
                    <a:ln>
                      <a:noFill/>
                    </a:ln>
                  </pic:spPr>
                </pic:pic>
              </a:graphicData>
            </a:graphic>
          </wp:inline>
        </w:drawing>
      </w:r>
    </w:p>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图1</w:t>
      </w:r>
      <w:r>
        <w:rPr>
          <w:rFonts w:ascii="宋体" w:hAnsi="宋体" w:eastAsia="宋体" w:cs="宋体"/>
          <w:color w:val="000000"/>
          <w:kern w:val="0"/>
          <w:sz w:val="15"/>
          <w:szCs w:val="15"/>
        </w:rPr>
        <w:t xml:space="preserve"> </w:t>
      </w:r>
      <w:r>
        <w:rPr>
          <w:rFonts w:hint="eastAsia" w:ascii="宋体" w:hAnsi="宋体" w:eastAsia="宋体" w:cs="宋体"/>
          <w:color w:val="000000"/>
          <w:kern w:val="0"/>
          <w:sz w:val="15"/>
          <w:szCs w:val="15"/>
        </w:rPr>
        <w:t>2005年-2018年软件行业从业人员数折线分析图</w:t>
      </w:r>
    </w:p>
    <w:p>
      <w:pPr>
        <w:widowControl/>
        <w:jc w:val="center"/>
        <w:rPr>
          <w:rFonts w:ascii="宋体" w:hAnsi="宋体" w:eastAsia="宋体" w:cs="宋体"/>
          <w:color w:val="000000"/>
          <w:kern w:val="0"/>
          <w:sz w:val="15"/>
          <w:szCs w:val="15"/>
        </w:rPr>
      </w:pPr>
    </w:p>
    <w:p>
      <w:pPr>
        <w:ind w:firstLine="420" w:firstLineChars="200"/>
        <w:jc w:val="center"/>
        <w:rPr>
          <w:rFonts w:ascii="宋体" w:hAnsi="宋体" w:eastAsia="宋体"/>
          <w:sz w:val="18"/>
          <w:szCs w:val="18"/>
        </w:rPr>
      </w:pPr>
      <w:r>
        <w:drawing>
          <wp:inline distT="0" distB="0" distL="0" distR="0">
            <wp:extent cx="3901440" cy="224980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25674" t="25251" r="22721" b="21835"/>
                    <a:stretch>
                      <a:fillRect/>
                    </a:stretch>
                  </pic:blipFill>
                  <pic:spPr>
                    <a:xfrm>
                      <a:off x="0" y="0"/>
                      <a:ext cx="3945775" cy="2275614"/>
                    </a:xfrm>
                    <a:prstGeom prst="rect">
                      <a:avLst/>
                    </a:prstGeom>
                    <a:ln>
                      <a:noFill/>
                    </a:ln>
                  </pic:spPr>
                </pic:pic>
              </a:graphicData>
            </a:graphic>
          </wp:inline>
        </w:drawing>
      </w:r>
    </w:p>
    <w:p>
      <w:pPr>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图2</w:t>
      </w:r>
      <w:r>
        <w:rPr>
          <w:rFonts w:ascii="宋体" w:hAnsi="宋体" w:eastAsia="宋体" w:cs="宋体"/>
          <w:color w:val="000000"/>
          <w:kern w:val="0"/>
          <w:sz w:val="15"/>
          <w:szCs w:val="15"/>
        </w:rPr>
        <w:t xml:space="preserve"> 2005年-2018年软件行业劳动者报酬折线分析图</w:t>
      </w:r>
    </w:p>
    <w:p>
      <w:pPr>
        <w:jc w:val="center"/>
        <w:rPr>
          <w:rFonts w:ascii="宋体" w:hAnsi="宋体" w:eastAsia="宋体" w:cs="宋体"/>
          <w:color w:val="000000"/>
          <w:kern w:val="0"/>
          <w:sz w:val="15"/>
          <w:szCs w:val="15"/>
        </w:rPr>
      </w:pPr>
    </w:p>
    <w:p>
      <w:pPr>
        <w:ind w:firstLine="360" w:firstLineChars="200"/>
        <w:rPr>
          <w:rFonts w:ascii="宋体" w:hAnsi="宋体" w:eastAsia="宋体"/>
          <w:sz w:val="18"/>
          <w:szCs w:val="18"/>
        </w:rPr>
      </w:pPr>
      <w:r>
        <w:rPr>
          <w:rFonts w:hint="eastAsia" w:ascii="宋体" w:hAnsi="宋体" w:eastAsia="宋体"/>
          <w:sz w:val="18"/>
          <w:szCs w:val="18"/>
        </w:rPr>
        <w:t>如表1所示，由国务院发展研究中心信息网得出的数据更加可以直观的发现，软件行业人均年收入已从2005年的5万元上涨至2018年的14万元。这个不断上升的数据看似完美，中国当代程序员生活日益滋润，其实并不然。</w:t>
      </w:r>
    </w:p>
    <w:p>
      <w:pPr>
        <w:ind w:firstLine="360" w:firstLineChars="200"/>
        <w:rPr>
          <w:rFonts w:ascii="宋体" w:hAnsi="宋体" w:eastAsia="宋体"/>
          <w:sz w:val="18"/>
          <w:szCs w:val="18"/>
        </w:rPr>
      </w:pPr>
      <w:r>
        <w:rPr>
          <w:rFonts w:hint="eastAsia" w:ascii="宋体" w:hAnsi="宋体" w:eastAsia="宋体"/>
          <w:sz w:val="18"/>
          <w:szCs w:val="18"/>
        </w:rPr>
        <w:t>2011年初，</w:t>
      </w:r>
      <w:r>
        <w:rPr>
          <w:rFonts w:ascii="宋体" w:hAnsi="宋体" w:eastAsia="宋体"/>
          <w:sz w:val="18"/>
          <w:szCs w:val="18"/>
        </w:rPr>
        <w:t>CSDN</w:t>
      </w:r>
      <w:r>
        <w:rPr>
          <w:rFonts w:hint="eastAsia" w:ascii="宋体" w:hAnsi="宋体" w:eastAsia="宋体"/>
          <w:sz w:val="18"/>
          <w:szCs w:val="18"/>
        </w:rPr>
        <w:t>在网上发起“2011年软件行业技术人员薪资大调查”，近万名开发者提交调查数据。而本次调查结果却不尽如人意。近73%的程序员对自己的薪资并不满意。月薪中等收入（2000元-5000元）占据绝大部分的开发者们，只有在上海、北京、深圳等信息化较为发达的城市，开发者们月薪才可能达到自己期望的中高收入（5000元-10000元）。而在一些二、三线城市，开发者的工资情况堪忧，月薪少于2000元。</w:t>
      </w:r>
    </w:p>
    <w:p>
      <w:pPr>
        <w:ind w:firstLine="360" w:firstLineChars="200"/>
        <w:rPr>
          <w:rFonts w:ascii="宋体" w:hAnsi="宋体" w:eastAsia="宋体"/>
          <w:sz w:val="18"/>
          <w:szCs w:val="18"/>
        </w:rPr>
      </w:pPr>
      <w:r>
        <w:rPr>
          <w:rFonts w:hint="eastAsia" w:ascii="宋体" w:hAnsi="宋体" w:eastAsia="宋体"/>
          <w:sz w:val="18"/>
          <w:szCs w:val="18"/>
        </w:rPr>
        <w:t>由此可见，I</w:t>
      </w:r>
      <w:r>
        <w:rPr>
          <w:rFonts w:ascii="宋体" w:hAnsi="宋体" w:eastAsia="宋体"/>
          <w:sz w:val="18"/>
          <w:szCs w:val="18"/>
        </w:rPr>
        <w:t>T</w:t>
      </w:r>
      <w:r>
        <w:rPr>
          <w:rFonts w:hint="eastAsia" w:ascii="宋体" w:hAnsi="宋体" w:eastAsia="宋体"/>
          <w:sz w:val="18"/>
          <w:szCs w:val="18"/>
        </w:rPr>
        <w:t>产业薪资水平逐年上涨，但主要是在信息化较为发达的城市更为明显，而在一些二、三线城市，薪资水平只有小幅提高。</w:t>
      </w:r>
    </w:p>
    <w:p>
      <w:pPr>
        <w:rPr>
          <w:rFonts w:ascii="宋体" w:hAnsi="宋体" w:eastAsia="宋体"/>
          <w:sz w:val="18"/>
          <w:szCs w:val="18"/>
        </w:rPr>
      </w:pPr>
    </w:p>
    <w:p>
      <w:pPr>
        <w:rPr>
          <w:rFonts w:hint="eastAsia" w:ascii="宋体" w:hAnsi="宋体" w:eastAsia="宋体"/>
          <w:sz w:val="18"/>
          <w:szCs w:val="18"/>
        </w:rPr>
        <w:sectPr>
          <w:type w:val="continuous"/>
          <w:pgSz w:w="11906" w:h="16838"/>
          <w:pgMar w:top="1440" w:right="1080" w:bottom="1440" w:left="1080" w:header="851" w:footer="992" w:gutter="0"/>
          <w:cols w:space="316" w:num="1"/>
          <w:docGrid w:type="lines" w:linePitch="312" w:charSpace="0"/>
        </w:sectPr>
      </w:pPr>
    </w:p>
    <w:p>
      <w:pPr>
        <w:widowControl/>
        <w:jc w:val="center"/>
        <w:rPr>
          <w:rFonts w:ascii="宋体" w:hAnsi="宋体" w:eastAsia="宋体" w:cs="宋体"/>
          <w:color w:val="000000"/>
          <w:kern w:val="0"/>
          <w:sz w:val="15"/>
          <w:szCs w:val="15"/>
        </w:rPr>
        <w:sectPr>
          <w:type w:val="continuous"/>
          <w:pgSz w:w="11906" w:h="16838"/>
          <w:pgMar w:top="1440" w:right="1080" w:bottom="1440" w:left="1080" w:header="851" w:footer="992" w:gutter="0"/>
          <w:cols w:space="316" w:num="1"/>
          <w:docGrid w:type="lines" w:linePitch="312" w:charSpace="0"/>
        </w:sectPr>
      </w:pPr>
      <w:r>
        <w:rPr>
          <w:rFonts w:hint="eastAsia" w:ascii="宋体" w:hAnsi="宋体" w:eastAsia="宋体" w:cs="宋体"/>
          <w:color w:val="000000"/>
          <w:kern w:val="0"/>
          <w:sz w:val="15"/>
          <w:szCs w:val="15"/>
        </w:rPr>
        <w:t>表1</w:t>
      </w:r>
      <w:r>
        <w:rPr>
          <w:rFonts w:ascii="宋体" w:hAnsi="宋体" w:eastAsia="宋体" w:cs="宋体"/>
          <w:color w:val="000000"/>
          <w:kern w:val="0"/>
          <w:sz w:val="15"/>
          <w:szCs w:val="15"/>
        </w:rPr>
        <w:t xml:space="preserve">  </w:t>
      </w:r>
      <w:r>
        <w:rPr>
          <w:rFonts w:hint="eastAsia" w:ascii="宋体" w:hAnsi="宋体" w:eastAsia="宋体" w:cs="宋体"/>
          <w:color w:val="000000"/>
          <w:kern w:val="0"/>
          <w:sz w:val="15"/>
          <w:szCs w:val="15"/>
        </w:rPr>
        <w:t>2005年-2018年软件行业薪酬数据分析表</w:t>
      </w:r>
    </w:p>
    <w:tbl>
      <w:tblPr>
        <w:tblStyle w:val="5"/>
        <w:tblW w:w="8222" w:type="dxa"/>
        <w:jc w:val="center"/>
        <w:tblLayout w:type="autofit"/>
        <w:tblCellMar>
          <w:top w:w="0" w:type="dxa"/>
          <w:left w:w="108" w:type="dxa"/>
          <w:bottom w:w="0" w:type="dxa"/>
          <w:right w:w="108" w:type="dxa"/>
        </w:tblCellMar>
      </w:tblPr>
      <w:tblGrid>
        <w:gridCol w:w="1560"/>
        <w:gridCol w:w="1984"/>
        <w:gridCol w:w="2268"/>
        <w:gridCol w:w="2410"/>
      </w:tblGrid>
      <w:tr>
        <w:tblPrEx>
          <w:tblCellMar>
            <w:top w:w="0" w:type="dxa"/>
            <w:left w:w="108" w:type="dxa"/>
            <w:bottom w:w="0" w:type="dxa"/>
            <w:right w:w="108" w:type="dxa"/>
          </w:tblCellMar>
        </w:tblPrEx>
        <w:trPr>
          <w:trHeight w:val="312" w:hRule="atLeast"/>
          <w:jc w:val="center"/>
        </w:trPr>
        <w:tc>
          <w:tcPr>
            <w:tcW w:w="1560" w:type="dxa"/>
            <w:tcBorders>
              <w:top w:val="single" w:color="auto" w:sz="4" w:space="0"/>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(时间)/(指标)</w:t>
            </w:r>
          </w:p>
        </w:tc>
        <w:tc>
          <w:tcPr>
            <w:tcW w:w="1984" w:type="dxa"/>
            <w:tcBorders>
              <w:top w:val="single" w:color="auto" w:sz="4" w:space="0"/>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劳动者报酬(万元)</w:t>
            </w:r>
          </w:p>
        </w:tc>
        <w:tc>
          <w:tcPr>
            <w:tcW w:w="2268" w:type="dxa"/>
            <w:tcBorders>
              <w:top w:val="single" w:color="auto" w:sz="4" w:space="0"/>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从业人员年末人数(人)</w:t>
            </w:r>
          </w:p>
        </w:tc>
        <w:tc>
          <w:tcPr>
            <w:tcW w:w="2410" w:type="dxa"/>
            <w:tcBorders>
              <w:top w:val="single" w:color="auto" w:sz="4" w:space="0"/>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平均收入（万元/人）</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2005年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882610</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2006年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7077878</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1289530</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5.4887269</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2007年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7385458</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1528977</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4.830326421</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2008年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10029460</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1545028</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6.491442226</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2009年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14198259</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2131888</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6.65994602</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2010年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20863262</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2724556</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7.657490615</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2011年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28523736</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3439261</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8.293565391</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2012年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37492846</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4184030</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8.960941007</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2013年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47060921</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4702392</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10.00786855</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2014年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57531358</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5457806</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10.54111451</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2015年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59396494</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5742713</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10.34293269</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2016年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69158814</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5858212</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11.80544746</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2017年</w:t>
            </w:r>
          </w:p>
        </w:tc>
        <w:tc>
          <w:tcPr>
            <w:tcW w:w="1984"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84011570</w:t>
            </w:r>
          </w:p>
        </w:tc>
        <w:tc>
          <w:tcPr>
            <w:tcW w:w="2268"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6175562</w:t>
            </w:r>
          </w:p>
        </w:tc>
        <w:tc>
          <w:tcPr>
            <w:tcW w:w="2410" w:type="dxa"/>
            <w:tcBorders>
              <w:top w:val="nil"/>
              <w:left w:val="nil"/>
              <w:bottom w:val="nil"/>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13.60387443</w:t>
            </w:r>
          </w:p>
        </w:tc>
      </w:tr>
      <w:tr>
        <w:tblPrEx>
          <w:tblCellMar>
            <w:top w:w="0" w:type="dxa"/>
            <w:left w:w="108" w:type="dxa"/>
            <w:bottom w:w="0" w:type="dxa"/>
            <w:right w:w="108" w:type="dxa"/>
          </w:tblCellMar>
        </w:tblPrEx>
        <w:trPr>
          <w:trHeight w:val="312" w:hRule="atLeast"/>
          <w:jc w:val="center"/>
        </w:trPr>
        <w:tc>
          <w:tcPr>
            <w:tcW w:w="1560" w:type="dxa"/>
            <w:tcBorders>
              <w:top w:val="nil"/>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2018年</w:t>
            </w:r>
          </w:p>
        </w:tc>
        <w:tc>
          <w:tcPr>
            <w:tcW w:w="1984" w:type="dxa"/>
            <w:tcBorders>
              <w:top w:val="nil"/>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94779838</w:t>
            </w:r>
          </w:p>
        </w:tc>
        <w:tc>
          <w:tcPr>
            <w:tcW w:w="2268" w:type="dxa"/>
            <w:tcBorders>
              <w:top w:val="nil"/>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6445258</w:t>
            </w:r>
          </w:p>
        </w:tc>
        <w:tc>
          <w:tcPr>
            <w:tcW w:w="2410" w:type="dxa"/>
            <w:tcBorders>
              <w:top w:val="nil"/>
              <w:left w:val="nil"/>
              <w:bottom w:val="single" w:color="auto" w:sz="4" w:space="0"/>
              <w:right w:val="nil"/>
            </w:tcBorders>
            <w:shd w:val="clear" w:color="auto" w:fill="auto"/>
            <w:noWrap/>
            <w:vAlign w:val="bottom"/>
          </w:tcPr>
          <w:p>
            <w:pPr>
              <w:widowControl/>
              <w:jc w:val="center"/>
              <w:rPr>
                <w:rFonts w:ascii="黑体" w:hAnsi="黑体" w:eastAsia="黑体" w:cs="宋体"/>
                <w:color w:val="000000"/>
                <w:kern w:val="0"/>
                <w:sz w:val="16"/>
                <w:szCs w:val="16"/>
              </w:rPr>
            </w:pPr>
            <w:r>
              <w:rPr>
                <w:rFonts w:hint="eastAsia" w:ascii="黑体" w:hAnsi="黑体" w:eastAsia="黑体" w:cs="宋体"/>
                <w:color w:val="000000"/>
                <w:kern w:val="0"/>
                <w:sz w:val="16"/>
                <w:szCs w:val="16"/>
              </w:rPr>
              <w:t>14.70535982</w:t>
            </w:r>
          </w:p>
        </w:tc>
      </w:tr>
    </w:tbl>
    <w:p>
      <w:pPr>
        <w:sectPr>
          <w:type w:val="continuous"/>
          <w:pgSz w:w="11906" w:h="16838"/>
          <w:pgMar w:top="1440" w:right="1080" w:bottom="1440" w:left="1080" w:header="851" w:footer="992" w:gutter="0"/>
          <w:cols w:space="316" w:num="1"/>
          <w:docGrid w:type="lines" w:linePitch="312" w:charSpace="0"/>
        </w:sectPr>
      </w:pPr>
    </w:p>
    <w:p>
      <w:pPr>
        <w:pStyle w:val="2"/>
        <w:rPr>
          <w:rFonts w:ascii="黑体" w:hAnsi="黑体" w:eastAsia="黑体"/>
          <w:sz w:val="21"/>
          <w:szCs w:val="21"/>
        </w:rPr>
      </w:pPr>
      <w:r>
        <w:rPr>
          <w:rFonts w:ascii="黑体" w:hAnsi="黑体" w:eastAsia="黑体"/>
          <w:sz w:val="21"/>
          <w:szCs w:val="21"/>
        </w:rPr>
        <w:t>4 IT产业的薪资变化影响因素</w:t>
      </w:r>
    </w:p>
    <w:p>
      <w:pPr>
        <w:rPr>
          <w:rFonts w:hint="eastAsia"/>
        </w:rPr>
        <w:sectPr>
          <w:type w:val="continuous"/>
          <w:pgSz w:w="11906" w:h="16838"/>
          <w:pgMar w:top="1440" w:right="1080" w:bottom="1440" w:left="1080" w:header="851" w:footer="992" w:gutter="0"/>
          <w:cols w:space="316" w:num="1"/>
          <w:docGrid w:type="lines" w:linePitch="312" w:charSpace="0"/>
        </w:sectPr>
      </w:pPr>
    </w:p>
    <w:p>
      <w:pPr>
        <w:ind w:firstLine="360" w:firstLineChars="200"/>
        <w:rPr>
          <w:rFonts w:ascii="宋体" w:hAnsi="宋体" w:eastAsia="宋体"/>
          <w:sz w:val="18"/>
          <w:szCs w:val="18"/>
        </w:rPr>
      </w:pPr>
      <w:bookmarkStart w:id="0" w:name="_Hlk68764331"/>
      <w:r>
        <w:rPr>
          <w:rFonts w:hint="eastAsia" w:ascii="宋体" w:hAnsi="宋体" w:eastAsia="宋体"/>
          <w:sz w:val="18"/>
          <w:szCs w:val="18"/>
        </w:rPr>
        <w:t>从上文的数据分析中不难看出，I</w:t>
      </w:r>
      <w:r>
        <w:rPr>
          <w:rFonts w:ascii="宋体" w:hAnsi="宋体" w:eastAsia="宋体"/>
          <w:sz w:val="18"/>
          <w:szCs w:val="18"/>
        </w:rPr>
        <w:t>T</w:t>
      </w:r>
      <w:r>
        <w:rPr>
          <w:rFonts w:hint="eastAsia" w:ascii="宋体" w:hAnsi="宋体" w:eastAsia="宋体"/>
          <w:sz w:val="18"/>
          <w:szCs w:val="18"/>
        </w:rPr>
        <w:t>产业的薪资随着</w:t>
      </w:r>
      <w:r>
        <w:rPr>
          <w:rFonts w:ascii="宋体" w:hAnsi="宋体" w:eastAsia="宋体"/>
          <w:sz w:val="18"/>
          <w:szCs w:val="18"/>
        </w:rPr>
        <w:t>IT</w:t>
      </w:r>
      <w:r>
        <w:rPr>
          <w:rFonts w:hint="eastAsia" w:ascii="宋体" w:hAnsi="宋体" w:eastAsia="宋体"/>
          <w:sz w:val="18"/>
          <w:szCs w:val="18"/>
        </w:rPr>
        <w:t>产业的发展状况的提升逐年递增，比如</w:t>
      </w:r>
      <w:r>
        <w:rPr>
          <w:rFonts w:ascii="宋体" w:hAnsi="宋体" w:eastAsia="宋体"/>
          <w:sz w:val="18"/>
          <w:szCs w:val="18"/>
        </w:rPr>
        <w:t>2018年IT行业的整体走势并不算理想，所以不少公司的薪资涨幅可能也会有一定的缩水。</w:t>
      </w:r>
      <w:r>
        <w:rPr>
          <w:rFonts w:hint="eastAsia" w:ascii="宋体" w:hAnsi="宋体" w:eastAsia="宋体"/>
          <w:sz w:val="18"/>
          <w:szCs w:val="18"/>
        </w:rPr>
        <w:t>由此可见，产业发展情况是影响I</w:t>
      </w:r>
      <w:r>
        <w:rPr>
          <w:rFonts w:ascii="宋体" w:hAnsi="宋体" w:eastAsia="宋体"/>
          <w:sz w:val="18"/>
          <w:szCs w:val="18"/>
        </w:rPr>
        <w:t>T</w:t>
      </w:r>
      <w:r>
        <w:rPr>
          <w:rFonts w:hint="eastAsia" w:ascii="宋体" w:hAnsi="宋体" w:eastAsia="宋体"/>
          <w:sz w:val="18"/>
          <w:szCs w:val="18"/>
        </w:rPr>
        <w:t>产业薪资变化的直接因素。</w:t>
      </w:r>
    </w:p>
    <w:p>
      <w:pPr>
        <w:ind w:firstLine="360" w:firstLineChars="200"/>
        <w:rPr>
          <w:rFonts w:ascii="宋体" w:hAnsi="宋体" w:eastAsia="宋体"/>
          <w:sz w:val="18"/>
          <w:szCs w:val="18"/>
        </w:rPr>
      </w:pPr>
      <w:r>
        <w:rPr>
          <w:rFonts w:hint="eastAsia" w:ascii="宋体" w:hAnsi="宋体" w:eastAsia="宋体"/>
          <w:sz w:val="18"/>
          <w:szCs w:val="18"/>
        </w:rPr>
        <w:t>与此同时，</w:t>
      </w:r>
      <w:r>
        <w:rPr>
          <w:rFonts w:ascii="宋体" w:hAnsi="宋体" w:eastAsia="宋体"/>
          <w:sz w:val="18"/>
          <w:szCs w:val="18"/>
        </w:rPr>
        <w:t>IT行业的薪资涨幅往往</w:t>
      </w:r>
      <w:r>
        <w:rPr>
          <w:rFonts w:hint="eastAsia" w:ascii="宋体" w:hAnsi="宋体" w:eastAsia="宋体"/>
          <w:sz w:val="18"/>
          <w:szCs w:val="18"/>
        </w:rPr>
        <w:t>也</w:t>
      </w:r>
      <w:r>
        <w:rPr>
          <w:rFonts w:ascii="宋体" w:hAnsi="宋体" w:eastAsia="宋体"/>
          <w:sz w:val="18"/>
          <w:szCs w:val="18"/>
        </w:rPr>
        <w:t>与</w:t>
      </w:r>
      <w:r>
        <w:rPr>
          <w:rFonts w:hint="eastAsia" w:ascii="宋体" w:hAnsi="宋体" w:eastAsia="宋体"/>
          <w:sz w:val="18"/>
          <w:szCs w:val="18"/>
        </w:rPr>
        <w:t>多种其他</w:t>
      </w:r>
      <w:r>
        <w:rPr>
          <w:rFonts w:ascii="宋体" w:hAnsi="宋体" w:eastAsia="宋体"/>
          <w:sz w:val="18"/>
          <w:szCs w:val="18"/>
        </w:rPr>
        <w:t>因素有关系，比如具体岗位、工作能力、项目进展、细分领域发展、行业整体发展情况等因素都会影响薪资的涨幅，另外也与地域有一定的关系，通常一线城市的薪资待遇和涨幅会稍大一些。</w:t>
      </w:r>
    </w:p>
    <w:p>
      <w:pPr>
        <w:ind w:firstLine="360" w:firstLineChars="200"/>
        <w:rPr>
          <w:rFonts w:hint="eastAsia" w:ascii="宋体" w:hAnsi="宋体" w:eastAsia="宋体"/>
          <w:sz w:val="18"/>
          <w:szCs w:val="18"/>
        </w:rPr>
      </w:pPr>
      <w:r>
        <w:rPr>
          <w:rFonts w:hint="eastAsia" w:ascii="宋体" w:hAnsi="宋体" w:eastAsia="宋体"/>
          <w:sz w:val="18"/>
          <w:szCs w:val="18"/>
        </w:rPr>
        <w:t>项目进展情况以及细分领域的发展情况往往也会对薪资的涨幅产生较大的影响，比如近些年来的大数据领域、云计算领域、人工智能领域就比较热，相应的开发人员通常有比较好的薪资待遇。但是如果项目长期不能落地，可能会导致市场失去信心，此时的薪资待遇也会受到较大的影响，目前人工智能领域就存在一定的落地问题，当然这个情况应该是暂时的。</w:t>
      </w:r>
    </w:p>
    <w:p>
      <w:pPr>
        <w:pStyle w:val="2"/>
        <w:rPr>
          <w:rFonts w:ascii="黑体" w:hAnsi="黑体" w:eastAsia="黑体"/>
          <w:sz w:val="21"/>
          <w:szCs w:val="21"/>
        </w:rPr>
      </w:pPr>
      <w:r>
        <w:rPr>
          <w:rFonts w:hint="eastAsia" w:ascii="黑体" w:hAnsi="黑体" w:eastAsia="黑体"/>
          <w:sz w:val="21"/>
          <w:szCs w:val="21"/>
        </w:rPr>
        <w:t>5</w:t>
      </w:r>
      <w:r>
        <w:rPr>
          <w:rFonts w:ascii="黑体" w:hAnsi="黑体" w:eastAsia="黑体"/>
          <w:sz w:val="21"/>
          <w:szCs w:val="21"/>
        </w:rPr>
        <w:t xml:space="preserve"> IT</w:t>
      </w:r>
      <w:r>
        <w:rPr>
          <w:rFonts w:hint="eastAsia" w:ascii="黑体" w:hAnsi="黑体" w:eastAsia="黑体"/>
          <w:sz w:val="21"/>
          <w:szCs w:val="21"/>
        </w:rPr>
        <w:t>产业的薪资前景分析</w:t>
      </w:r>
    </w:p>
    <w:bookmarkEnd w:id="0"/>
    <w:p>
      <w:pPr>
        <w:ind w:firstLine="360" w:firstLineChars="200"/>
        <w:rPr>
          <w:rFonts w:hint="eastAsia" w:ascii="宋体" w:hAnsi="宋体" w:eastAsia="宋体"/>
          <w:sz w:val="18"/>
          <w:szCs w:val="18"/>
        </w:rPr>
      </w:pPr>
      <w:r>
        <w:rPr>
          <w:rFonts w:hint="eastAsia" w:ascii="宋体" w:hAnsi="宋体" w:eastAsia="宋体"/>
          <w:sz w:val="18"/>
          <w:szCs w:val="18"/>
        </w:rPr>
        <w:t>中国</w:t>
      </w:r>
      <w:r>
        <w:rPr>
          <w:rFonts w:ascii="宋体" w:hAnsi="宋体" w:eastAsia="宋体"/>
          <w:sz w:val="18"/>
          <w:szCs w:val="18"/>
        </w:rPr>
        <w:t>IT行业已经步入高速发展的时代。互联网也越来越广泛地深入到生活各个方面</w:t>
      </w:r>
      <w:r>
        <w:rPr>
          <w:rFonts w:hint="eastAsia" w:ascii="宋体" w:hAnsi="宋体" w:eastAsia="宋体"/>
          <w:sz w:val="18"/>
          <w:szCs w:val="18"/>
          <w:vertAlign w:val="superscript"/>
        </w:rPr>
        <w:t>[</w:t>
      </w:r>
      <w:r>
        <w:rPr>
          <w:rFonts w:ascii="宋体" w:hAnsi="宋体" w:eastAsia="宋体"/>
          <w:sz w:val="18"/>
          <w:szCs w:val="18"/>
          <w:vertAlign w:val="superscript"/>
        </w:rPr>
        <w:t>2]</w:t>
      </w:r>
      <w:r>
        <w:rPr>
          <w:rFonts w:ascii="宋体" w:hAnsi="宋体" w:eastAsia="宋体"/>
          <w:sz w:val="18"/>
          <w:szCs w:val="18"/>
        </w:rPr>
        <w:t>，IT技术服务市场需求空缺也会越来越大，岗位的技术要求也会越来越细，因此对IT行业人才的需求是不断加大的。</w:t>
      </w:r>
    </w:p>
    <w:p>
      <w:pPr>
        <w:ind w:firstLine="360" w:firstLineChars="200"/>
        <w:rPr>
          <w:rFonts w:ascii="宋体" w:hAnsi="宋体" w:eastAsia="宋体"/>
          <w:sz w:val="18"/>
          <w:szCs w:val="18"/>
        </w:rPr>
      </w:pPr>
      <w:r>
        <w:rPr>
          <w:rFonts w:hint="eastAsia" w:ascii="宋体" w:hAnsi="宋体" w:eastAsia="宋体"/>
          <w:sz w:val="18"/>
          <w:szCs w:val="18"/>
        </w:rPr>
        <w:t>而未来一段时期，我国将会利用国际产业转移的重大机遇，聚集各种资源，突破核心技术制约，在集成电路、软件、计算机与信息处理、现代移动通信、信息安全、信息服务和系统集成等技术领域加强创新，促进</w:t>
      </w:r>
      <w:r>
        <w:rPr>
          <w:rFonts w:ascii="宋体" w:hAnsi="宋体" w:eastAsia="宋体"/>
          <w:sz w:val="18"/>
          <w:szCs w:val="18"/>
        </w:rPr>
        <w:t>IT产品更新代，推动我国由IT大国向IT强国转变，并进而推动国民经济信息化进程</w:t>
      </w:r>
      <w:r>
        <w:rPr>
          <w:rFonts w:hint="eastAsia" w:ascii="宋体" w:hAnsi="宋体" w:eastAsia="宋体"/>
          <w:sz w:val="18"/>
          <w:szCs w:val="18"/>
          <w:vertAlign w:val="superscript"/>
        </w:rPr>
        <w:t>[</w:t>
      </w:r>
      <w:r>
        <w:rPr>
          <w:rFonts w:ascii="宋体" w:hAnsi="宋体" w:eastAsia="宋体"/>
          <w:sz w:val="18"/>
          <w:szCs w:val="18"/>
          <w:vertAlign w:val="superscript"/>
        </w:rPr>
        <w:t>3]</w:t>
      </w:r>
      <w:r>
        <w:rPr>
          <w:rFonts w:ascii="宋体" w:hAnsi="宋体" w:eastAsia="宋体"/>
          <w:sz w:val="18"/>
          <w:szCs w:val="18"/>
        </w:rPr>
        <w:t>，以信息化带动工业化，走出一条新型工业化道路。</w:t>
      </w:r>
    </w:p>
    <w:p>
      <w:pPr>
        <w:ind w:firstLine="360" w:firstLineChars="200"/>
        <w:rPr>
          <w:rFonts w:hint="eastAsia" w:ascii="宋体" w:hAnsi="宋体" w:eastAsia="宋体"/>
          <w:sz w:val="18"/>
          <w:szCs w:val="18"/>
        </w:rPr>
      </w:pPr>
      <w:r>
        <w:rPr>
          <w:rFonts w:hint="eastAsia" w:ascii="宋体" w:hAnsi="宋体" w:eastAsia="宋体"/>
          <w:sz w:val="18"/>
          <w:szCs w:val="18"/>
        </w:rPr>
        <w:t>国家对I</w:t>
      </w:r>
      <w:r>
        <w:rPr>
          <w:rFonts w:ascii="宋体" w:hAnsi="宋体" w:eastAsia="宋体"/>
          <w:sz w:val="18"/>
          <w:szCs w:val="18"/>
        </w:rPr>
        <w:t>T</w:t>
      </w:r>
      <w:r>
        <w:rPr>
          <w:rFonts w:hint="eastAsia" w:ascii="宋体" w:hAnsi="宋体" w:eastAsia="宋体"/>
          <w:sz w:val="18"/>
          <w:szCs w:val="18"/>
        </w:rPr>
        <w:t>产业的重视程度更加能提升I</w:t>
      </w:r>
      <w:r>
        <w:rPr>
          <w:rFonts w:ascii="宋体" w:hAnsi="宋体" w:eastAsia="宋体"/>
          <w:sz w:val="18"/>
          <w:szCs w:val="18"/>
        </w:rPr>
        <w:t>T</w:t>
      </w:r>
      <w:r>
        <w:rPr>
          <w:rFonts w:hint="eastAsia" w:ascii="宋体" w:hAnsi="宋体" w:eastAsia="宋体"/>
          <w:sz w:val="18"/>
          <w:szCs w:val="18"/>
        </w:rPr>
        <w:t>产业的薪资水平，可以预见，未来一段时间内，I</w:t>
      </w:r>
      <w:r>
        <w:rPr>
          <w:rFonts w:ascii="宋体" w:hAnsi="宋体" w:eastAsia="宋体"/>
          <w:sz w:val="18"/>
          <w:szCs w:val="18"/>
        </w:rPr>
        <w:t>T</w:t>
      </w:r>
      <w:r>
        <w:rPr>
          <w:rFonts w:hint="eastAsia" w:ascii="宋体" w:hAnsi="宋体" w:eastAsia="宋体"/>
          <w:sz w:val="18"/>
          <w:szCs w:val="18"/>
        </w:rPr>
        <w:t>产业仍是我国各项产业的重中之重，而I</w:t>
      </w:r>
      <w:r>
        <w:rPr>
          <w:rFonts w:ascii="宋体" w:hAnsi="宋体" w:eastAsia="宋体"/>
          <w:sz w:val="18"/>
          <w:szCs w:val="18"/>
        </w:rPr>
        <w:t>T</w:t>
      </w:r>
      <w:r>
        <w:rPr>
          <w:rFonts w:hint="eastAsia" w:ascii="宋体" w:hAnsi="宋体" w:eastAsia="宋体"/>
          <w:sz w:val="18"/>
          <w:szCs w:val="18"/>
        </w:rPr>
        <w:t>行业的薪资水平也将持续上涨，高于其余行业的平均水平。同时，</w:t>
      </w:r>
      <w:r>
        <w:rPr>
          <w:rFonts w:ascii="宋体" w:hAnsi="宋体" w:eastAsia="宋体"/>
          <w:sz w:val="18"/>
          <w:szCs w:val="18"/>
        </w:rPr>
        <w:t>IT</w:t>
      </w:r>
      <w:r>
        <w:rPr>
          <w:rFonts w:hint="eastAsia" w:ascii="宋体" w:hAnsi="宋体" w:eastAsia="宋体"/>
          <w:sz w:val="18"/>
          <w:szCs w:val="18"/>
        </w:rPr>
        <w:t>行业内部薪资水平高低差距将会拉大，依据个人能力水平等主观因素以及企业地域等客观因素产生相应的区别。</w:t>
      </w:r>
    </w:p>
    <w:p>
      <w:pPr>
        <w:pStyle w:val="2"/>
        <w:rPr>
          <w:rFonts w:hint="eastAsia" w:ascii="黑体" w:hAnsi="黑体" w:eastAsia="黑体"/>
          <w:sz w:val="21"/>
          <w:szCs w:val="21"/>
        </w:rPr>
      </w:pPr>
      <w:r>
        <w:rPr>
          <w:rFonts w:hint="eastAsia" w:ascii="黑体" w:hAnsi="黑体" w:eastAsia="黑体"/>
          <w:sz w:val="21"/>
          <w:szCs w:val="21"/>
        </w:rPr>
        <w:t>6</w:t>
      </w:r>
      <w:r>
        <w:rPr>
          <w:rFonts w:ascii="黑体" w:hAnsi="黑体" w:eastAsia="黑体"/>
          <w:sz w:val="21"/>
          <w:szCs w:val="21"/>
        </w:rPr>
        <w:t xml:space="preserve"> </w:t>
      </w:r>
      <w:r>
        <w:rPr>
          <w:rFonts w:hint="eastAsia" w:ascii="黑体" w:hAnsi="黑体" w:eastAsia="黑体"/>
          <w:sz w:val="21"/>
          <w:szCs w:val="21"/>
        </w:rPr>
        <w:t>结论</w:t>
      </w:r>
    </w:p>
    <w:p>
      <w:pPr>
        <w:ind w:firstLine="360" w:firstLineChars="200"/>
        <w:rPr>
          <w:rFonts w:hint="eastAsia" w:ascii="宋体" w:hAnsi="宋体" w:eastAsia="宋体"/>
          <w:sz w:val="18"/>
          <w:szCs w:val="18"/>
        </w:rPr>
      </w:pPr>
      <w:r>
        <w:rPr>
          <w:rFonts w:hint="eastAsia" w:ascii="宋体" w:hAnsi="宋体" w:eastAsia="宋体"/>
          <w:sz w:val="18"/>
          <w:szCs w:val="18"/>
        </w:rPr>
        <w:t>总体来说，I</w:t>
      </w:r>
      <w:r>
        <w:rPr>
          <w:rFonts w:ascii="宋体" w:hAnsi="宋体" w:eastAsia="宋体"/>
          <w:sz w:val="18"/>
          <w:szCs w:val="18"/>
        </w:rPr>
        <w:t>T</w:t>
      </w:r>
      <w:r>
        <w:rPr>
          <w:rFonts w:hint="eastAsia" w:ascii="宋体" w:hAnsi="宋体" w:eastAsia="宋体"/>
          <w:sz w:val="18"/>
          <w:szCs w:val="18"/>
        </w:rPr>
        <w:t>行业的薪资在过去十几年直线递增，且基于对数据的分析，未来也将持续上涨。但行业内部的各项竞争也愈加剧烈，无论是个人学历能力还是企业地域，都在不断影响着I</w:t>
      </w:r>
      <w:r>
        <w:rPr>
          <w:rFonts w:ascii="宋体" w:hAnsi="宋体" w:eastAsia="宋体"/>
          <w:sz w:val="18"/>
          <w:szCs w:val="18"/>
        </w:rPr>
        <w:t>T</w:t>
      </w:r>
      <w:r>
        <w:rPr>
          <w:rFonts w:hint="eastAsia" w:ascii="宋体" w:hAnsi="宋体" w:eastAsia="宋体"/>
          <w:sz w:val="18"/>
          <w:szCs w:val="18"/>
        </w:rPr>
        <w:t>行业的薪资水平。</w:t>
      </w:r>
    </w:p>
    <w:p>
      <w:pPr>
        <w:rPr>
          <w:rFonts w:hint="eastAsia" w:ascii="宋体" w:hAnsi="宋体" w:eastAsia="宋体"/>
          <w:sz w:val="18"/>
          <w:szCs w:val="18"/>
        </w:rPr>
        <w:sectPr>
          <w:type w:val="continuous"/>
          <w:pgSz w:w="11906" w:h="16838"/>
          <w:pgMar w:top="1440" w:right="1080" w:bottom="1440" w:left="1080" w:header="851" w:footer="992" w:gutter="0"/>
          <w:cols w:space="316" w:num="1"/>
          <w:docGrid w:type="lines" w:linePitch="312" w:charSpace="0"/>
        </w:sectPr>
      </w:pPr>
    </w:p>
    <w:p>
      <w:pPr>
        <w:rPr>
          <w:rFonts w:hint="eastAsia" w:ascii="宋体" w:hAnsi="宋体" w:eastAsia="宋体"/>
          <w:sz w:val="18"/>
          <w:szCs w:val="18"/>
        </w:rPr>
        <w:sectPr>
          <w:type w:val="continuous"/>
          <w:pgSz w:w="11906" w:h="16838"/>
          <w:pgMar w:top="1440" w:right="1080" w:bottom="1440" w:left="1080" w:header="851" w:footer="992" w:gutter="0"/>
          <w:cols w:space="316" w:num="1"/>
          <w:docGrid w:type="lines" w:linePitch="312" w:charSpace="0"/>
        </w:sectPr>
      </w:pPr>
    </w:p>
    <w:p>
      <w:pPr>
        <w:rPr>
          <w:rFonts w:hint="eastAsia"/>
        </w:rPr>
      </w:pPr>
    </w:p>
    <w:p>
      <w:pPr>
        <w:pStyle w:val="2"/>
        <w:jc w:val="center"/>
        <w:rPr>
          <w:rFonts w:ascii="宋体" w:hAnsi="宋体" w:eastAsia="宋体"/>
          <w:b w:val="0"/>
          <w:bCs w:val="0"/>
          <w:spacing w:val="130"/>
          <w:sz w:val="21"/>
          <w:szCs w:val="21"/>
        </w:rPr>
      </w:pPr>
      <w:r>
        <w:rPr>
          <w:rFonts w:hint="eastAsia" w:ascii="宋体" w:hAnsi="宋体" w:eastAsia="宋体"/>
          <w:b w:val="0"/>
          <w:bCs w:val="0"/>
          <w:spacing w:val="130"/>
          <w:sz w:val="21"/>
          <w:szCs w:val="21"/>
        </w:rPr>
        <w:t>参考文献</w:t>
      </w:r>
    </w:p>
    <w:p>
      <w:pPr>
        <w:rPr>
          <w:rFonts w:ascii="宋体" w:hAnsi="宋体" w:eastAsia="宋体"/>
          <w:sz w:val="18"/>
          <w:szCs w:val="18"/>
        </w:rPr>
      </w:pPr>
      <w:r>
        <w:rPr>
          <w:rFonts w:hint="eastAsia" w:ascii="宋体" w:hAnsi="宋体" w:eastAsia="宋体"/>
          <w:sz w:val="18"/>
          <w:szCs w:val="18"/>
        </w:rPr>
        <w:t>[</w:t>
      </w:r>
      <w:r>
        <w:rPr>
          <w:rFonts w:ascii="宋体" w:hAnsi="宋体" w:eastAsia="宋体"/>
          <w:sz w:val="18"/>
          <w:szCs w:val="18"/>
        </w:rPr>
        <w:t>1]</w:t>
      </w:r>
      <w:r>
        <w:rPr>
          <w:rFonts w:hint="eastAsia"/>
        </w:rPr>
        <w:t xml:space="preserve"> </w:t>
      </w:r>
      <w:r>
        <w:rPr>
          <w:rFonts w:hint="eastAsia" w:ascii="宋体" w:hAnsi="宋体" w:eastAsia="宋体"/>
          <w:sz w:val="18"/>
          <w:szCs w:val="18"/>
        </w:rPr>
        <w:t>罗文</w:t>
      </w:r>
      <w:r>
        <w:rPr>
          <w:rFonts w:ascii="宋体" w:hAnsi="宋体" w:eastAsia="宋体"/>
          <w:sz w:val="18"/>
          <w:szCs w:val="18"/>
        </w:rPr>
        <w:t>.中国电子信息产业发展蓝皮书(2012)[M].中央文献出版社,2012.</w:t>
      </w:r>
    </w:p>
    <w:p>
      <w:pPr>
        <w:rPr>
          <w:rFonts w:ascii="宋体" w:hAnsi="宋体" w:eastAsia="宋体"/>
          <w:sz w:val="18"/>
          <w:szCs w:val="18"/>
        </w:rPr>
      </w:pPr>
      <w:r>
        <w:rPr>
          <w:rFonts w:hint="eastAsia" w:ascii="宋体" w:hAnsi="宋体" w:eastAsia="宋体"/>
          <w:sz w:val="18"/>
          <w:szCs w:val="18"/>
        </w:rPr>
        <w:t>[</w:t>
      </w:r>
      <w:r>
        <w:rPr>
          <w:rFonts w:ascii="宋体" w:hAnsi="宋体" w:eastAsia="宋体"/>
          <w:sz w:val="18"/>
          <w:szCs w:val="18"/>
        </w:rPr>
        <w:t>2]姚聪, 孟禹彤.电子信息产业发展趋势及我国发展状况分析[J].科学技术创新, 2014 (3) :127-130.</w:t>
      </w:r>
    </w:p>
    <w:p>
      <w:pPr>
        <w:rPr>
          <w:rFonts w:ascii="宋体" w:hAnsi="宋体" w:eastAsia="宋体"/>
          <w:sz w:val="18"/>
          <w:szCs w:val="18"/>
        </w:rPr>
      </w:pPr>
      <w:r>
        <w:rPr>
          <w:rFonts w:ascii="宋体" w:hAnsi="宋体" w:eastAsia="宋体"/>
          <w:sz w:val="18"/>
          <w:szCs w:val="18"/>
        </w:rPr>
        <w:t>[3]杨鹏.浅析新形势下我国电子信息技术的应用与发展[J].学周刊, 2014 (18)</w:t>
      </w:r>
    </w:p>
    <w:p>
      <w:pPr>
        <w:rPr>
          <w:rFonts w:hint="eastAsia" w:ascii="宋体" w:hAnsi="宋体" w:eastAsia="宋体"/>
          <w:sz w:val="18"/>
          <w:szCs w:val="18"/>
        </w:rPr>
      </w:pPr>
    </w:p>
    <w:p>
      <w:pPr>
        <w:rPr>
          <w:rFonts w:hint="eastAsia"/>
        </w:rPr>
      </w:pPr>
    </w:p>
    <w:sectPr>
      <w:type w:val="continuous"/>
      <w:pgSz w:w="11906" w:h="16838"/>
      <w:pgMar w:top="1440" w:right="1080" w:bottom="1440" w:left="1080" w:header="851" w:footer="992" w:gutter="0"/>
      <w:cols w:space="316"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97"/>
    <w:rsid w:val="000501F2"/>
    <w:rsid w:val="00051DAA"/>
    <w:rsid w:val="00065C98"/>
    <w:rsid w:val="00067517"/>
    <w:rsid w:val="00077692"/>
    <w:rsid w:val="00084108"/>
    <w:rsid w:val="00086C3F"/>
    <w:rsid w:val="000C31F0"/>
    <w:rsid w:val="000C70BF"/>
    <w:rsid w:val="00105703"/>
    <w:rsid w:val="00114F8D"/>
    <w:rsid w:val="00137E21"/>
    <w:rsid w:val="00157E79"/>
    <w:rsid w:val="001648BD"/>
    <w:rsid w:val="00170AA7"/>
    <w:rsid w:val="00175C8A"/>
    <w:rsid w:val="001A269F"/>
    <w:rsid w:val="001C6976"/>
    <w:rsid w:val="002045A1"/>
    <w:rsid w:val="00211F09"/>
    <w:rsid w:val="0022293B"/>
    <w:rsid w:val="00291330"/>
    <w:rsid w:val="002A4D1B"/>
    <w:rsid w:val="002C05CE"/>
    <w:rsid w:val="002D5324"/>
    <w:rsid w:val="002F1BCD"/>
    <w:rsid w:val="002F32DB"/>
    <w:rsid w:val="00311003"/>
    <w:rsid w:val="003233E1"/>
    <w:rsid w:val="003A4BF4"/>
    <w:rsid w:val="003C657C"/>
    <w:rsid w:val="003D42A6"/>
    <w:rsid w:val="003D74F4"/>
    <w:rsid w:val="003F4A98"/>
    <w:rsid w:val="00431B7A"/>
    <w:rsid w:val="004D5E54"/>
    <w:rsid w:val="004E245F"/>
    <w:rsid w:val="004E7926"/>
    <w:rsid w:val="004F7C06"/>
    <w:rsid w:val="00533809"/>
    <w:rsid w:val="00570B6D"/>
    <w:rsid w:val="0057635C"/>
    <w:rsid w:val="005B24FF"/>
    <w:rsid w:val="005E3F99"/>
    <w:rsid w:val="005F18BB"/>
    <w:rsid w:val="00677490"/>
    <w:rsid w:val="006B14CF"/>
    <w:rsid w:val="006B2C97"/>
    <w:rsid w:val="006C2C1B"/>
    <w:rsid w:val="006C7BB9"/>
    <w:rsid w:val="006E21A4"/>
    <w:rsid w:val="00700E27"/>
    <w:rsid w:val="00701ADF"/>
    <w:rsid w:val="00725A39"/>
    <w:rsid w:val="0075052A"/>
    <w:rsid w:val="00754EF3"/>
    <w:rsid w:val="00773A5D"/>
    <w:rsid w:val="007B7C79"/>
    <w:rsid w:val="007F16B8"/>
    <w:rsid w:val="00800D3B"/>
    <w:rsid w:val="00824191"/>
    <w:rsid w:val="00881A6B"/>
    <w:rsid w:val="0088223A"/>
    <w:rsid w:val="008935B3"/>
    <w:rsid w:val="008A1BA0"/>
    <w:rsid w:val="008B2C0D"/>
    <w:rsid w:val="008C0FF4"/>
    <w:rsid w:val="008E66BF"/>
    <w:rsid w:val="008F1F97"/>
    <w:rsid w:val="00A33C90"/>
    <w:rsid w:val="00A3579C"/>
    <w:rsid w:val="00A41622"/>
    <w:rsid w:val="00A9543D"/>
    <w:rsid w:val="00A9581C"/>
    <w:rsid w:val="00A958EC"/>
    <w:rsid w:val="00AC0183"/>
    <w:rsid w:val="00AD0B4A"/>
    <w:rsid w:val="00AE3F00"/>
    <w:rsid w:val="00AE7FAC"/>
    <w:rsid w:val="00B13622"/>
    <w:rsid w:val="00B3095E"/>
    <w:rsid w:val="00B714A4"/>
    <w:rsid w:val="00B859A5"/>
    <w:rsid w:val="00B97400"/>
    <w:rsid w:val="00BA7D0D"/>
    <w:rsid w:val="00BE07FD"/>
    <w:rsid w:val="00BE58D3"/>
    <w:rsid w:val="00C06E52"/>
    <w:rsid w:val="00C342BD"/>
    <w:rsid w:val="00C641FE"/>
    <w:rsid w:val="00C73884"/>
    <w:rsid w:val="00C818AE"/>
    <w:rsid w:val="00C94AA7"/>
    <w:rsid w:val="00CB764A"/>
    <w:rsid w:val="00CE587B"/>
    <w:rsid w:val="00CF49B2"/>
    <w:rsid w:val="00D0346E"/>
    <w:rsid w:val="00D853DD"/>
    <w:rsid w:val="00DB465A"/>
    <w:rsid w:val="00DC72AF"/>
    <w:rsid w:val="00DD1436"/>
    <w:rsid w:val="00E03258"/>
    <w:rsid w:val="00E043D8"/>
    <w:rsid w:val="00E40DDE"/>
    <w:rsid w:val="00E85CFA"/>
    <w:rsid w:val="00E92666"/>
    <w:rsid w:val="00E96769"/>
    <w:rsid w:val="00ED358A"/>
    <w:rsid w:val="00EE3526"/>
    <w:rsid w:val="00EF0A8D"/>
    <w:rsid w:val="00EF364F"/>
    <w:rsid w:val="00EF4437"/>
    <w:rsid w:val="00EF4590"/>
    <w:rsid w:val="00EF5B3B"/>
    <w:rsid w:val="00F31C14"/>
    <w:rsid w:val="00F42581"/>
    <w:rsid w:val="00F860F1"/>
    <w:rsid w:val="00F957EC"/>
    <w:rsid w:val="00FC1006"/>
    <w:rsid w:val="00FE4663"/>
    <w:rsid w:val="00FF1C45"/>
    <w:rsid w:val="5E062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endnote text"/>
    <w:basedOn w:val="1"/>
    <w:link w:val="10"/>
    <w:semiHidden/>
    <w:unhideWhenUsed/>
    <w:qFormat/>
    <w:uiPriority w:val="99"/>
    <w:pPr>
      <w:snapToGrid w:val="0"/>
      <w:jc w:val="left"/>
    </w:pPr>
  </w:style>
  <w:style w:type="paragraph" w:styleId="4">
    <w:name w:val="footnote text"/>
    <w:basedOn w:val="1"/>
    <w:link w:val="11"/>
    <w:semiHidden/>
    <w:unhideWhenUsed/>
    <w:uiPriority w:val="99"/>
    <w:pPr>
      <w:snapToGrid w:val="0"/>
      <w:jc w:val="left"/>
    </w:pPr>
    <w:rPr>
      <w:sz w:val="18"/>
      <w:szCs w:val="18"/>
    </w:rPr>
  </w:style>
  <w:style w:type="character" w:styleId="7">
    <w:name w:val="endnote reference"/>
    <w:basedOn w:val="6"/>
    <w:semiHidden/>
    <w:unhideWhenUsed/>
    <w:uiPriority w:val="99"/>
    <w:rPr>
      <w:vertAlign w:val="superscript"/>
    </w:rPr>
  </w:style>
  <w:style w:type="character" w:styleId="8">
    <w:name w:val="footnote reference"/>
    <w:basedOn w:val="6"/>
    <w:semiHidden/>
    <w:unhideWhenUsed/>
    <w:qFormat/>
    <w:uiPriority w:val="99"/>
    <w:rPr>
      <w:vertAlign w:val="superscript"/>
    </w:rPr>
  </w:style>
  <w:style w:type="character" w:customStyle="1" w:styleId="9">
    <w:name w:val="标题 1 字符"/>
    <w:basedOn w:val="6"/>
    <w:link w:val="2"/>
    <w:qFormat/>
    <w:uiPriority w:val="9"/>
    <w:rPr>
      <w:b/>
      <w:bCs/>
      <w:kern w:val="44"/>
      <w:sz w:val="44"/>
      <w:szCs w:val="44"/>
    </w:rPr>
  </w:style>
  <w:style w:type="character" w:customStyle="1" w:styleId="10">
    <w:name w:val="尾注文本 字符"/>
    <w:basedOn w:val="6"/>
    <w:link w:val="3"/>
    <w:semiHidden/>
    <w:qFormat/>
    <w:uiPriority w:val="99"/>
  </w:style>
  <w:style w:type="character" w:customStyle="1" w:styleId="11">
    <w:name w:val="脚注文本 字符"/>
    <w:basedOn w:val="6"/>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8968F-DDFC-4293-BDF7-F831FA7C9041}">
  <ds:schemaRefs/>
</ds:datastoreItem>
</file>

<file path=docProps/app.xml><?xml version="1.0" encoding="utf-8"?>
<Properties xmlns="http://schemas.openxmlformats.org/officeDocument/2006/extended-properties" xmlns:vt="http://schemas.openxmlformats.org/officeDocument/2006/docPropsVTypes">
  <Template>Normal</Template>
  <Pages>4</Pages>
  <Words>439</Words>
  <Characters>2508</Characters>
  <Lines>20</Lines>
  <Paragraphs>5</Paragraphs>
  <TotalTime>596</TotalTime>
  <ScaleCrop>false</ScaleCrop>
  <LinksUpToDate>false</LinksUpToDate>
  <CharactersWithSpaces>2942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2021-03-31T01:21:00Z</dcterms:created>
  <dc:creator>杨 欣瑜</dc:creator>
  <cp:lastModifiedBy>范子璇</cp:lastModifiedBy>
  <dcterms:modified xsi:type="dcterms:W3CDTF">2021-04-08T06:20:42Z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96C699A4EAD243BD91F4E8E89D63A2FC</vt:lpwstr>
  </property>
</Properties>
</file>