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D0D" w:rsidRDefault="0092235E">
      <w:pPr>
        <w:spacing w:beforeLines="100" w:before="360" w:afterLines="100" w:after="360" w:line="220" w:lineRule="atLeast"/>
        <w:rPr>
          <w:rFonts w:ascii="黑体" w:eastAsia="黑体" w:hAnsi="黑体"/>
          <w:color w:val="FF0000"/>
          <w:sz w:val="36"/>
          <w:szCs w:val="36"/>
        </w:rPr>
      </w:pPr>
      <w:r>
        <w:rPr>
          <w:rFonts w:ascii="黑体" w:eastAsia="黑体" w:hAnsi="黑体" w:hint="eastAsia"/>
          <w:sz w:val="32"/>
          <w:szCs w:val="32"/>
        </w:rPr>
        <w:t>中国</w:t>
      </w:r>
      <w:r w:rsidR="00744742" w:rsidRPr="00744742">
        <w:rPr>
          <w:rFonts w:ascii="黑体" w:eastAsia="黑体" w:hAnsi="黑体" w:hint="eastAsia"/>
          <w:sz w:val="32"/>
          <w:szCs w:val="32"/>
        </w:rPr>
        <w:t>互联网行业的薪资变化决定机制</w:t>
      </w:r>
      <w:r w:rsidR="00744742">
        <w:rPr>
          <w:rFonts w:ascii="黑体" w:eastAsia="黑体" w:hAnsi="黑体" w:hint="eastAsia"/>
          <w:sz w:val="32"/>
          <w:szCs w:val="32"/>
        </w:rPr>
        <w:t>研究</w:t>
      </w:r>
      <w:r w:rsidR="005D7D0D">
        <w:rPr>
          <w:rFonts w:ascii="宋体" w:eastAsia="宋体" w:hAnsi="宋体"/>
          <w:color w:val="FF0000"/>
          <w:sz w:val="21"/>
          <w:szCs w:val="21"/>
        </w:rPr>
        <w:t xml:space="preserve"> </w:t>
      </w:r>
    </w:p>
    <w:p w:rsidR="005D7D0D" w:rsidRDefault="004410DF">
      <w:pPr>
        <w:spacing w:afterLines="50" w:after="180" w:line="220" w:lineRule="atLeast"/>
        <w:rPr>
          <w:rFonts w:ascii="宋体" w:eastAsia="宋体" w:hAnsi="宋体"/>
          <w:sz w:val="21"/>
          <w:szCs w:val="21"/>
          <w:vertAlign w:val="superscript"/>
        </w:rPr>
      </w:pPr>
      <w:proofErr w:type="gramStart"/>
      <w:r>
        <w:rPr>
          <w:rFonts w:ascii="宋体" w:eastAsia="宋体" w:hAnsi="宋体" w:hint="eastAsia"/>
          <w:b/>
          <w:sz w:val="21"/>
          <w:szCs w:val="21"/>
        </w:rPr>
        <w:t>林佳南</w:t>
      </w:r>
      <w:proofErr w:type="gramEnd"/>
      <w:r w:rsidR="005D7D0D">
        <w:rPr>
          <w:rFonts w:ascii="宋体" w:eastAsia="宋体" w:hAnsi="宋体" w:hint="eastAsia"/>
          <w:sz w:val="21"/>
          <w:szCs w:val="21"/>
          <w:vertAlign w:val="superscript"/>
        </w:rPr>
        <w:t xml:space="preserve"> </w:t>
      </w:r>
    </w:p>
    <w:p w:rsidR="005D7D0D" w:rsidRDefault="005D7D0D">
      <w:pPr>
        <w:spacing w:after="0" w:line="220" w:lineRule="atLeast"/>
        <w:jc w:val="both"/>
        <w:rPr>
          <w:rFonts w:ascii="仿宋" w:eastAsia="仿宋" w:hAnsi="仿宋"/>
          <w:sz w:val="21"/>
          <w:szCs w:val="21"/>
        </w:rPr>
      </w:pPr>
    </w:p>
    <w:p w:rsidR="005D7D0D" w:rsidRPr="00D97D37" w:rsidRDefault="005D7D0D">
      <w:pPr>
        <w:spacing w:beforeLines="50" w:before="180" w:afterLines="50" w:after="180" w:line="220" w:lineRule="atLeast"/>
        <w:rPr>
          <w:rFonts w:ascii="仿宋" w:eastAsia="仿宋" w:hAnsi="仿宋"/>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D97D37" w:rsidRPr="00D97D37">
        <w:rPr>
          <w:rFonts w:ascii="仿宋" w:eastAsia="仿宋" w:hAnsi="仿宋" w:hint="eastAsia"/>
          <w:sz w:val="18"/>
          <w:szCs w:val="18"/>
        </w:rPr>
        <w:t>研究互联网行业薪资变化的影响因素有助于为企业的薪酬水平设计和调整提供依据，并有助于理解互联网行业的发展现状。</w:t>
      </w:r>
      <w:r w:rsidR="0027161C" w:rsidRPr="0027161C">
        <w:rPr>
          <w:rFonts w:ascii="仿宋" w:eastAsia="仿宋" w:hAnsi="仿宋" w:hint="eastAsia"/>
          <w:sz w:val="18"/>
          <w:szCs w:val="18"/>
        </w:rPr>
        <w:t>通过</w:t>
      </w:r>
      <w:r w:rsidR="0027161C">
        <w:rPr>
          <w:rFonts w:ascii="仿宋" w:eastAsia="仿宋" w:hAnsi="仿宋" w:hint="eastAsia"/>
          <w:sz w:val="18"/>
          <w:szCs w:val="18"/>
        </w:rPr>
        <w:t>建立岭回归模型</w:t>
      </w:r>
      <w:r w:rsidR="0027161C" w:rsidRPr="0027161C">
        <w:rPr>
          <w:rFonts w:ascii="仿宋" w:eastAsia="仿宋" w:hAnsi="仿宋" w:hint="eastAsia"/>
          <w:sz w:val="18"/>
          <w:szCs w:val="18"/>
        </w:rPr>
        <w:t>研究2005—2018年间中国互联网行业的决定因素发现</w:t>
      </w:r>
      <w:r w:rsidR="0027161C">
        <w:rPr>
          <w:rFonts w:ascii="仿宋" w:eastAsia="仿宋" w:hAnsi="仿宋" w:hint="eastAsia"/>
          <w:sz w:val="18"/>
          <w:szCs w:val="18"/>
        </w:rPr>
        <w:t>，</w:t>
      </w:r>
      <w:r w:rsidR="0027161C" w:rsidRPr="0027161C">
        <w:rPr>
          <w:rFonts w:ascii="仿宋" w:eastAsia="仿宋" w:hAnsi="仿宋" w:hint="eastAsia"/>
          <w:sz w:val="18"/>
          <w:szCs w:val="18"/>
        </w:rPr>
        <w:t>互联网行业薪资随着时间呈不断上升趋势。其中企业生产效率、企业利润率、现金流能力因素与企业人均工资收入皆呈现出显著且稳定正向关系，说明企业生产效率、企业利润率、现金流能力因素是互联网行业薪资提升的主要影响因素。企业管理水平和税收负担与企业人均工资收入皆呈现出负向关系，但结果不显著，说明企业的管理水平提升或税收负担增加可能会导致互联网行业薪资降低。</w:t>
      </w:r>
    </w:p>
    <w:p w:rsidR="004410DF" w:rsidRDefault="004410DF">
      <w:pPr>
        <w:pStyle w:val="DepartCorrespond"/>
        <w:ind w:left="106" w:hanging="106"/>
        <w:rPr>
          <w:b/>
        </w:rPr>
        <w:sectPr w:rsidR="004410DF">
          <w:pgSz w:w="11906" w:h="16838"/>
          <w:pgMar w:top="1440" w:right="1800" w:bottom="1440" w:left="1800" w:header="708" w:footer="708" w:gutter="0"/>
          <w:cols w:space="720"/>
          <w:titlePg/>
          <w:docGrid w:type="lines" w:linePitch="360"/>
        </w:sectPr>
      </w:pPr>
    </w:p>
    <w:p w:rsidR="005D7D0D" w:rsidRDefault="005D7D0D">
      <w:pPr>
        <w:pStyle w:val="DepartCorrespond"/>
        <w:ind w:left="106" w:hanging="106"/>
        <w:rPr>
          <w:b/>
        </w:rPr>
      </w:pPr>
      <w:r>
        <w:rPr>
          <w:rFonts w:hint="eastAsia"/>
          <w:b/>
        </w:rPr>
        <w:t xml:space="preserve">  </w:t>
      </w:r>
    </w:p>
    <w:p w:rsidR="005D7D0D" w:rsidRDefault="005D7D0D" w:rsidP="004410DF">
      <w:pPr>
        <w:pStyle w:val="DepartCorrespond"/>
        <w:ind w:firstLineChars="0"/>
        <w:rPr>
          <w:rFonts w:ascii="黑体" w:eastAsia="黑体" w:hAnsi="黑体" w:hint="eastAsia"/>
          <w:color w:val="FF0000"/>
          <w:sz w:val="21"/>
          <w:szCs w:val="21"/>
        </w:rPr>
        <w:sectPr w:rsidR="005D7D0D" w:rsidSect="004410DF">
          <w:type w:val="continuous"/>
          <w:pgSz w:w="11906" w:h="16838"/>
          <w:pgMar w:top="1440" w:right="1800" w:bottom="1440" w:left="1800" w:header="708" w:footer="708" w:gutter="0"/>
          <w:cols w:space="720"/>
          <w:titlePg/>
          <w:docGrid w:type="lines" w:linePitch="360"/>
        </w:sectPr>
      </w:pPr>
    </w:p>
    <w:p w:rsidR="005D7D0D" w:rsidRDefault="004410DF" w:rsidP="00744742">
      <w:pPr>
        <w:pStyle w:val="ad"/>
        <w:numPr>
          <w:ilvl w:val="0"/>
          <w:numId w:val="1"/>
        </w:numPr>
      </w:pPr>
      <w:r w:rsidRPr="004410DF">
        <w:rPr>
          <w:rFonts w:ascii="黑体" w:eastAsia="黑体" w:hAnsi="黑体" w:hint="eastAsia"/>
          <w:szCs w:val="21"/>
        </w:rPr>
        <w:t>引言</w:t>
      </w:r>
    </w:p>
    <w:p w:rsidR="004410DF" w:rsidRPr="004410DF" w:rsidRDefault="004410DF" w:rsidP="004410DF">
      <w:pPr>
        <w:pStyle w:val="a9"/>
        <w:spacing w:after="0" w:line="400" w:lineRule="exact"/>
        <w:ind w:firstLineChars="200" w:firstLine="360"/>
        <w:rPr>
          <w:rFonts w:ascii="宋体" w:hAnsi="宋体" w:hint="eastAsia"/>
          <w:sz w:val="18"/>
          <w:szCs w:val="18"/>
        </w:rPr>
      </w:pPr>
      <w:r w:rsidRPr="004410DF">
        <w:rPr>
          <w:rFonts w:ascii="宋体" w:hAnsi="宋体" w:hint="eastAsia"/>
          <w:sz w:val="18"/>
          <w:szCs w:val="18"/>
        </w:rPr>
        <w:t>互联网+的快速发展，区块链技术的出现，使得技术人才的需求也逐步加大。2017年中美两国的互联网人才需求量是供应量的10倍[1] 。为了吸引人才，互联网行业的薪资和补贴越来越高。国</w:t>
      </w:r>
      <w:proofErr w:type="gramStart"/>
      <w:r w:rsidRPr="004410DF">
        <w:rPr>
          <w:rFonts w:ascii="宋体" w:hAnsi="宋体" w:hint="eastAsia"/>
          <w:sz w:val="18"/>
          <w:szCs w:val="18"/>
        </w:rPr>
        <w:t>研</w:t>
      </w:r>
      <w:proofErr w:type="gramEnd"/>
      <w:r w:rsidRPr="004410DF">
        <w:rPr>
          <w:rFonts w:ascii="宋体" w:hAnsi="宋体" w:hint="eastAsia"/>
          <w:sz w:val="18"/>
          <w:szCs w:val="18"/>
        </w:rPr>
        <w:t>网统计数据显示，2006年到2018年，互联网行业劳动者报酬变化呈逐年上升趋势，如图1。</w:t>
      </w:r>
    </w:p>
    <w:p w:rsidR="004410DF" w:rsidRDefault="004410DF" w:rsidP="00744742">
      <w:pPr>
        <w:pStyle w:val="a9"/>
        <w:spacing w:after="0"/>
        <w:ind w:firstLineChars="200" w:firstLine="360"/>
        <w:rPr>
          <w:rFonts w:ascii="宋体" w:hAnsi="宋体"/>
          <w:sz w:val="18"/>
          <w:szCs w:val="18"/>
        </w:rPr>
      </w:pPr>
      <w:r w:rsidRPr="004410DF">
        <w:rPr>
          <w:rFonts w:ascii="宋体" w:hAnsi="宋体"/>
          <w:sz w:val="18"/>
          <w:szCs w:val="18"/>
        </w:rPr>
        <w:t xml:space="preserve"> </w:t>
      </w:r>
    </w:p>
    <w:p w:rsidR="00D0323F" w:rsidRPr="004410DF" w:rsidRDefault="00054FE6" w:rsidP="00744742">
      <w:pPr>
        <w:pStyle w:val="a9"/>
        <w:spacing w:after="0"/>
        <w:jc w:val="center"/>
        <w:rPr>
          <w:rFonts w:ascii="宋体" w:hAnsi="宋体" w:hint="eastAsia"/>
          <w:sz w:val="18"/>
          <w:szCs w:val="18"/>
        </w:rPr>
      </w:pPr>
      <w:r>
        <w:rPr>
          <w:rFonts w:ascii="宋体" w:hAnsi="宋体" w:hint="eastAsia"/>
          <w:noProof/>
          <w:sz w:val="18"/>
          <w:szCs w:val="18"/>
        </w:rPr>
        <w:drawing>
          <wp:inline distT="0" distB="0" distL="0" distR="0">
            <wp:extent cx="4450080" cy="2720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0080" cy="2720340"/>
                    </a:xfrm>
                    <a:prstGeom prst="rect">
                      <a:avLst/>
                    </a:prstGeom>
                    <a:noFill/>
                    <a:ln>
                      <a:noFill/>
                    </a:ln>
                  </pic:spPr>
                </pic:pic>
              </a:graphicData>
            </a:graphic>
          </wp:inline>
        </w:drawing>
      </w:r>
    </w:p>
    <w:p w:rsidR="004410DF" w:rsidRPr="00D0323F" w:rsidRDefault="004410DF" w:rsidP="00744742">
      <w:pPr>
        <w:pStyle w:val="a9"/>
        <w:spacing w:after="0" w:line="400" w:lineRule="exact"/>
        <w:jc w:val="center"/>
        <w:rPr>
          <w:rFonts w:ascii="宋体" w:hAnsi="宋体" w:hint="eastAsia"/>
          <w:sz w:val="15"/>
          <w:szCs w:val="15"/>
        </w:rPr>
      </w:pPr>
      <w:r w:rsidRPr="00D0323F">
        <w:rPr>
          <w:rFonts w:ascii="宋体" w:hAnsi="宋体" w:hint="eastAsia"/>
          <w:sz w:val="15"/>
          <w:szCs w:val="15"/>
        </w:rPr>
        <w:t>图 1 互联网行业劳动者报酬变化</w:t>
      </w:r>
    </w:p>
    <w:p w:rsidR="004410DF" w:rsidRPr="004410DF" w:rsidRDefault="004410DF" w:rsidP="004410DF">
      <w:pPr>
        <w:pStyle w:val="a9"/>
        <w:spacing w:after="0" w:line="400" w:lineRule="exact"/>
        <w:ind w:firstLineChars="200" w:firstLine="360"/>
        <w:rPr>
          <w:rFonts w:ascii="宋体" w:hAnsi="宋体"/>
          <w:sz w:val="18"/>
          <w:szCs w:val="18"/>
        </w:rPr>
      </w:pPr>
    </w:p>
    <w:p w:rsidR="005D7D0D" w:rsidRDefault="004410DF" w:rsidP="004410DF">
      <w:pPr>
        <w:pStyle w:val="a9"/>
        <w:spacing w:after="0" w:line="400" w:lineRule="exact"/>
        <w:ind w:firstLineChars="200" w:firstLine="360"/>
        <w:rPr>
          <w:rFonts w:ascii="宋体" w:hAnsi="宋体"/>
          <w:sz w:val="18"/>
          <w:szCs w:val="18"/>
        </w:rPr>
      </w:pPr>
      <w:r w:rsidRPr="004410DF">
        <w:rPr>
          <w:rFonts w:ascii="宋体" w:hAnsi="宋体" w:hint="eastAsia"/>
          <w:sz w:val="18"/>
          <w:szCs w:val="18"/>
        </w:rPr>
        <w:t>研究互联网行业薪资变化的影响因素有助于为企业的薪酬水平设计和调整提供依据，并有助于理解互联网行业的发展现状。张杰等人通过构造计量模型分析了中国企业的工资变化趋势与决定机制[2]。郭丽清等人</w:t>
      </w:r>
      <w:proofErr w:type="gramStart"/>
      <w:r w:rsidRPr="004410DF">
        <w:rPr>
          <w:rFonts w:ascii="宋体" w:hAnsi="宋体" w:hint="eastAsia"/>
          <w:sz w:val="18"/>
          <w:szCs w:val="18"/>
        </w:rPr>
        <w:t>通过爬取数万条</w:t>
      </w:r>
      <w:proofErr w:type="gramEnd"/>
      <w:r w:rsidRPr="004410DF">
        <w:rPr>
          <w:rFonts w:ascii="宋体" w:hAnsi="宋体" w:hint="eastAsia"/>
          <w:sz w:val="18"/>
          <w:szCs w:val="18"/>
        </w:rPr>
        <w:t>互联网行业的招聘信息，并利用描述性分析、相关性分析方法，得出工作经验、城市、学历、公司规模等多个维</w:t>
      </w:r>
      <w:proofErr w:type="gramStart"/>
      <w:r w:rsidRPr="004410DF">
        <w:rPr>
          <w:rFonts w:ascii="宋体" w:hAnsi="宋体" w:hint="eastAsia"/>
          <w:sz w:val="18"/>
          <w:szCs w:val="18"/>
        </w:rPr>
        <w:t>度因素</w:t>
      </w:r>
      <w:proofErr w:type="gramEnd"/>
      <w:r w:rsidRPr="004410DF">
        <w:rPr>
          <w:rFonts w:ascii="宋体" w:hAnsi="宋体" w:hint="eastAsia"/>
          <w:sz w:val="18"/>
          <w:szCs w:val="18"/>
        </w:rPr>
        <w:t>对薪资的影响作用[3]。本文将使用关联分析方法，分析互联网行业薪资变化的影响因素，以期对人力招聘和人才求职的过程提供有益的参考。</w:t>
      </w:r>
    </w:p>
    <w:p w:rsidR="004410DF" w:rsidRDefault="004410DF" w:rsidP="004410DF">
      <w:pPr>
        <w:pStyle w:val="a9"/>
        <w:spacing w:after="0" w:line="400" w:lineRule="exact"/>
        <w:ind w:firstLineChars="200" w:firstLine="360"/>
        <w:rPr>
          <w:rFonts w:ascii="宋体" w:hAnsi="宋体"/>
          <w:sz w:val="18"/>
          <w:szCs w:val="18"/>
        </w:rPr>
      </w:pPr>
    </w:p>
    <w:p w:rsidR="00744742" w:rsidRDefault="00744742" w:rsidP="00744742">
      <w:pPr>
        <w:pStyle w:val="DepartCorrespond"/>
        <w:ind w:left="106" w:hanging="106"/>
        <w:rPr>
          <w:b/>
        </w:rPr>
      </w:pPr>
      <w:r>
        <w:rPr>
          <w:rFonts w:hint="eastAsia"/>
          <w:b/>
        </w:rPr>
        <w:t xml:space="preserve">  </w:t>
      </w:r>
    </w:p>
    <w:p w:rsidR="00744742" w:rsidRDefault="00744742" w:rsidP="00744742">
      <w:pPr>
        <w:pStyle w:val="DepartCorrespond"/>
        <w:ind w:firstLineChars="0"/>
        <w:rPr>
          <w:rFonts w:ascii="黑体" w:eastAsia="黑体" w:hAnsi="黑体" w:hint="eastAsia"/>
          <w:color w:val="FF0000"/>
          <w:sz w:val="21"/>
          <w:szCs w:val="21"/>
        </w:rPr>
        <w:sectPr w:rsidR="00744742" w:rsidSect="004410DF">
          <w:type w:val="continuous"/>
          <w:pgSz w:w="11906" w:h="16838"/>
          <w:pgMar w:top="1440" w:right="1800" w:bottom="1440" w:left="1800" w:header="708" w:footer="708" w:gutter="0"/>
          <w:cols w:space="720"/>
          <w:titlePg/>
          <w:docGrid w:type="lines" w:linePitch="360"/>
        </w:sectPr>
      </w:pPr>
    </w:p>
    <w:p w:rsidR="005D7D0D" w:rsidRPr="00170E65" w:rsidRDefault="00170E65" w:rsidP="00170E65">
      <w:pPr>
        <w:pStyle w:val="ad"/>
        <w:numPr>
          <w:ilvl w:val="0"/>
          <w:numId w:val="1"/>
        </w:numPr>
      </w:pPr>
      <w:r w:rsidRPr="00170E65">
        <w:rPr>
          <w:rFonts w:ascii="黑体" w:eastAsia="黑体" w:hAnsi="黑体" w:hint="eastAsia"/>
          <w:szCs w:val="21"/>
        </w:rPr>
        <w:lastRenderedPageBreak/>
        <w:t>分析方法</w:t>
      </w:r>
    </w:p>
    <w:p w:rsidR="00170E65" w:rsidRPr="00170E65" w:rsidRDefault="00170E65" w:rsidP="00170E65">
      <w:pPr>
        <w:pStyle w:val="DepartCorrespond"/>
        <w:numPr>
          <w:ilvl w:val="1"/>
          <w:numId w:val="1"/>
        </w:numPr>
        <w:ind w:left="119" w:hanging="119"/>
        <w:rPr>
          <w:rFonts w:ascii="黑体" w:eastAsia="黑体" w:hAnsi="黑体" w:hint="eastAsia"/>
          <w:sz w:val="18"/>
          <w:szCs w:val="18"/>
        </w:rPr>
      </w:pPr>
      <w:r w:rsidRPr="00170E65">
        <w:rPr>
          <w:rFonts w:ascii="黑体" w:eastAsia="黑体" w:hAnsi="黑体" w:hint="eastAsia"/>
          <w:sz w:val="18"/>
          <w:szCs w:val="18"/>
        </w:rPr>
        <w:t>数据来源</w:t>
      </w:r>
    </w:p>
    <w:p w:rsidR="00170E65" w:rsidRDefault="00170E65">
      <w:pPr>
        <w:pStyle w:val="Textof"/>
        <w:spacing w:line="400" w:lineRule="exact"/>
        <w:ind w:left="0" w:firstLineChars="200" w:firstLine="360"/>
        <w:rPr>
          <w:rFonts w:ascii="宋体" w:hAnsi="宋体"/>
          <w:sz w:val="18"/>
          <w:szCs w:val="18"/>
        </w:rPr>
      </w:pPr>
      <w:r w:rsidRPr="00170E65">
        <w:rPr>
          <w:rFonts w:ascii="宋体" w:hAnsi="宋体" w:hint="eastAsia"/>
          <w:sz w:val="18"/>
          <w:szCs w:val="18"/>
        </w:rPr>
        <w:t>本文采用国</w:t>
      </w:r>
      <w:proofErr w:type="gramStart"/>
      <w:r w:rsidRPr="00170E65">
        <w:rPr>
          <w:rFonts w:ascii="宋体" w:hAnsi="宋体" w:hint="eastAsia"/>
          <w:sz w:val="18"/>
          <w:szCs w:val="18"/>
        </w:rPr>
        <w:t>研</w:t>
      </w:r>
      <w:proofErr w:type="gramEnd"/>
      <w:r w:rsidRPr="00170E65">
        <w:rPr>
          <w:rFonts w:ascii="宋体" w:hAnsi="宋体" w:hint="eastAsia"/>
          <w:sz w:val="18"/>
          <w:szCs w:val="18"/>
        </w:rPr>
        <w:t>网统计数据库数据，包括2005年到2018年间中国互联网企业的经济指标，具体包含劳动者报酬、企业个数、软件业务收入、从业人员年末人数、资产合计、负债合计等44个指标。</w:t>
      </w:r>
    </w:p>
    <w:p w:rsidR="00170E65" w:rsidRPr="00170E65" w:rsidRDefault="00170E65" w:rsidP="00170E65">
      <w:pPr>
        <w:pStyle w:val="DepartCorrespond"/>
        <w:numPr>
          <w:ilvl w:val="1"/>
          <w:numId w:val="1"/>
        </w:numPr>
        <w:ind w:left="119" w:hanging="119"/>
        <w:rPr>
          <w:rFonts w:ascii="黑体" w:eastAsia="黑体" w:hAnsi="黑体" w:hint="eastAsia"/>
          <w:sz w:val="18"/>
          <w:szCs w:val="18"/>
        </w:rPr>
      </w:pPr>
      <w:r w:rsidRPr="00170E65">
        <w:rPr>
          <w:rFonts w:ascii="黑体" w:eastAsia="黑体" w:hAnsi="黑体" w:hint="eastAsia"/>
          <w:sz w:val="18"/>
          <w:szCs w:val="18"/>
        </w:rPr>
        <w:t>计量模型设定和变量设计</w:t>
      </w:r>
    </w:p>
    <w:p w:rsidR="00170E65" w:rsidRPr="00170E65" w:rsidRDefault="00170E65" w:rsidP="00170E65">
      <w:pPr>
        <w:pStyle w:val="Textof"/>
        <w:tabs>
          <w:tab w:val="clear" w:pos="346"/>
          <w:tab w:val="left" w:pos="284"/>
        </w:tabs>
        <w:spacing w:line="400" w:lineRule="exact"/>
        <w:ind w:left="0" w:firstLineChars="200" w:firstLine="360"/>
        <w:rPr>
          <w:rFonts w:ascii="宋体" w:hAnsi="宋体" w:hint="eastAsia"/>
          <w:kern w:val="2"/>
          <w:sz w:val="18"/>
          <w:szCs w:val="18"/>
        </w:rPr>
      </w:pPr>
      <w:r w:rsidRPr="00170E65">
        <w:rPr>
          <w:rFonts w:ascii="宋体" w:hAnsi="宋体" w:hint="eastAsia"/>
          <w:kern w:val="2"/>
          <w:sz w:val="18"/>
          <w:szCs w:val="18"/>
        </w:rPr>
        <w:t>在充分借鉴已有理论和既有文献对影响企业层面人均工资水平因素的研究基础上，结合中国现实背景，我们构造了如下的计量模型（1）：</w:t>
      </w:r>
    </w:p>
    <w:p w:rsidR="00170E65" w:rsidRPr="00170E65" w:rsidRDefault="00054FE6" w:rsidP="00877FC8">
      <w:pPr>
        <w:pStyle w:val="Textof"/>
        <w:tabs>
          <w:tab w:val="left" w:pos="284"/>
        </w:tabs>
        <w:spacing w:line="400" w:lineRule="exact"/>
        <w:ind w:left="0" w:firstLineChars="200" w:firstLine="360"/>
        <w:rPr>
          <w:rFonts w:ascii="宋体" w:hAnsi="宋体" w:hint="eastAsia"/>
          <w:kern w:val="2"/>
          <w:sz w:val="18"/>
          <w:szCs w:val="18"/>
        </w:rPr>
      </w:pPr>
      <m:oMath>
        <m:r>
          <w:rPr>
            <w:rFonts w:ascii="Cambria Math" w:hAnsi="Cambria Math"/>
            <w:kern w:val="2"/>
            <w:sz w:val="18"/>
            <w:szCs w:val="18"/>
          </w:rPr>
          <m:t>S</m:t>
        </m:r>
        <m:r>
          <w:rPr>
            <w:rFonts w:ascii="Cambria Math" w:hAnsi="Cambria Math"/>
            <w:kern w:val="2"/>
            <w:sz w:val="18"/>
            <w:szCs w:val="18"/>
          </w:rPr>
          <m:t>a</m:t>
        </m:r>
        <m:r>
          <w:rPr>
            <w:rFonts w:ascii="Cambria Math" w:hAnsi="Cambria Math" w:hint="eastAsia"/>
            <w:kern w:val="2"/>
            <w:sz w:val="18"/>
            <w:szCs w:val="18"/>
          </w:rPr>
          <m:t>l</m:t>
        </m:r>
        <m:r>
          <w:rPr>
            <w:rFonts w:ascii="Cambria Math" w:hAnsi="Cambria Math"/>
            <w:kern w:val="2"/>
            <w:sz w:val="18"/>
            <w:szCs w:val="18"/>
          </w:rPr>
          <m:t>ary</m:t>
        </m:r>
        <m:r>
          <m:rPr>
            <m:sty m:val="p"/>
          </m:rPr>
          <w:rPr>
            <w:rFonts w:ascii="Cambria Math" w:hAnsi="Cambria Math"/>
            <w:kern w:val="2"/>
            <w:sz w:val="18"/>
            <w:szCs w:val="18"/>
          </w:rPr>
          <m:t>=</m:t>
        </m:r>
        <m:sSub>
          <m:sSubPr>
            <m:ctrlPr>
              <w:rPr>
                <w:rFonts w:ascii="Cambria Math" w:hAnsi="Cambria Math"/>
                <w:kern w:val="2"/>
                <w:sz w:val="18"/>
                <w:szCs w:val="18"/>
              </w:rPr>
            </m:ctrlPr>
          </m:sSubPr>
          <m:e>
            <m:r>
              <m:rPr>
                <m:sty m:val="p"/>
              </m:rPr>
              <w:rPr>
                <w:rFonts w:ascii="Cambria Math" w:hAnsi="Cambria Math"/>
                <w:kern w:val="2"/>
                <w:sz w:val="18"/>
                <w:szCs w:val="18"/>
              </w:rPr>
              <m:t>β</m:t>
            </m:r>
          </m:e>
          <m:sub>
            <m:r>
              <m:rPr>
                <m:sty m:val="p"/>
              </m:rPr>
              <w:rPr>
                <w:rFonts w:ascii="Cambria Math" w:hAnsi="Cambria Math"/>
                <w:kern w:val="2"/>
                <w:sz w:val="18"/>
                <w:szCs w:val="18"/>
              </w:rPr>
              <m:t>0</m:t>
            </m:r>
          </m:sub>
        </m:sSub>
        <m:r>
          <w:rPr>
            <w:rFonts w:ascii="Cambria Math" w:hAnsi="Cambria Math"/>
            <w:kern w:val="2"/>
            <w:sz w:val="18"/>
            <w:szCs w:val="18"/>
          </w:rPr>
          <m:t>+</m:t>
        </m:r>
        <m:sSub>
          <m:sSubPr>
            <m:ctrlPr>
              <w:rPr>
                <w:rFonts w:ascii="Cambria Math" w:hAnsi="Cambria Math"/>
                <w:kern w:val="2"/>
                <w:sz w:val="18"/>
                <w:szCs w:val="18"/>
              </w:rPr>
            </m:ctrlPr>
          </m:sSubPr>
          <m:e>
            <m:r>
              <m:rPr>
                <m:sty m:val="p"/>
              </m:rPr>
              <w:rPr>
                <w:rFonts w:ascii="Cambria Math" w:hAnsi="Cambria Math"/>
                <w:kern w:val="2"/>
                <w:sz w:val="18"/>
                <w:szCs w:val="18"/>
              </w:rPr>
              <m:t>β</m:t>
            </m:r>
          </m:e>
          <m:sub>
            <m:r>
              <w:rPr>
                <w:rFonts w:ascii="Cambria Math" w:hAnsi="Cambria Math"/>
                <w:kern w:val="2"/>
                <w:sz w:val="18"/>
                <w:szCs w:val="18"/>
              </w:rPr>
              <m:t>1</m:t>
            </m:r>
          </m:sub>
        </m:sSub>
        <m:r>
          <w:rPr>
            <w:rFonts w:ascii="Cambria Math" w:hAnsi="Cambria Math"/>
            <w:kern w:val="2"/>
            <w:sz w:val="18"/>
            <w:szCs w:val="18"/>
          </w:rPr>
          <m:t>capital+</m:t>
        </m:r>
        <m:sSub>
          <m:sSubPr>
            <m:ctrlPr>
              <w:rPr>
                <w:rFonts w:ascii="Cambria Math" w:hAnsi="Cambria Math"/>
                <w:kern w:val="2"/>
                <w:sz w:val="18"/>
                <w:szCs w:val="18"/>
              </w:rPr>
            </m:ctrlPr>
          </m:sSubPr>
          <m:e>
            <m:r>
              <m:rPr>
                <m:sty m:val="p"/>
              </m:rPr>
              <w:rPr>
                <w:rFonts w:ascii="Cambria Math" w:hAnsi="Cambria Math"/>
                <w:kern w:val="2"/>
                <w:sz w:val="18"/>
                <w:szCs w:val="18"/>
              </w:rPr>
              <m:t>β</m:t>
            </m:r>
          </m:e>
          <m:sub>
            <m:r>
              <m:rPr>
                <m:sty m:val="p"/>
              </m:rPr>
              <w:rPr>
                <w:rFonts w:ascii="Cambria Math" w:hAnsi="Cambria Math"/>
                <w:kern w:val="2"/>
                <w:sz w:val="18"/>
                <w:szCs w:val="18"/>
              </w:rPr>
              <m:t>2</m:t>
            </m:r>
          </m:sub>
        </m:sSub>
        <m:r>
          <w:rPr>
            <w:rFonts w:ascii="Cambria Math" w:hAnsi="Cambria Math"/>
            <w:kern w:val="2"/>
            <w:sz w:val="18"/>
            <w:szCs w:val="18"/>
          </w:rPr>
          <m:t>tfp+</m:t>
        </m:r>
        <m:sSub>
          <m:sSubPr>
            <m:ctrlPr>
              <w:rPr>
                <w:rFonts w:ascii="Cambria Math" w:hAnsi="Cambria Math"/>
                <w:kern w:val="2"/>
                <w:sz w:val="18"/>
                <w:szCs w:val="18"/>
              </w:rPr>
            </m:ctrlPr>
          </m:sSubPr>
          <m:e>
            <m:r>
              <m:rPr>
                <m:sty m:val="p"/>
              </m:rPr>
              <w:rPr>
                <w:rFonts w:ascii="Cambria Math" w:hAnsi="Cambria Math"/>
                <w:kern w:val="2"/>
                <w:sz w:val="18"/>
                <w:szCs w:val="18"/>
              </w:rPr>
              <m:t>β</m:t>
            </m:r>
          </m:e>
          <m:sub>
            <m:r>
              <m:rPr>
                <m:sty m:val="p"/>
              </m:rPr>
              <w:rPr>
                <w:rFonts w:ascii="Cambria Math" w:hAnsi="Cambria Math"/>
                <w:kern w:val="2"/>
                <w:sz w:val="18"/>
                <w:szCs w:val="18"/>
              </w:rPr>
              <m:t>3</m:t>
            </m:r>
          </m:sub>
        </m:sSub>
        <m:r>
          <w:rPr>
            <w:rFonts w:ascii="Cambria Math" w:hAnsi="Cambria Math"/>
            <w:kern w:val="2"/>
            <w:sz w:val="18"/>
            <w:szCs w:val="18"/>
          </w:rPr>
          <m:t>profit+</m:t>
        </m:r>
        <m:sSub>
          <m:sSubPr>
            <m:ctrlPr>
              <w:rPr>
                <w:rFonts w:ascii="Cambria Math" w:hAnsi="Cambria Math"/>
                <w:kern w:val="2"/>
                <w:sz w:val="18"/>
                <w:szCs w:val="18"/>
              </w:rPr>
            </m:ctrlPr>
          </m:sSubPr>
          <m:e>
            <m:r>
              <m:rPr>
                <m:sty m:val="p"/>
              </m:rPr>
              <w:rPr>
                <w:rFonts w:ascii="Cambria Math" w:hAnsi="Cambria Math"/>
                <w:kern w:val="2"/>
                <w:sz w:val="18"/>
                <w:szCs w:val="18"/>
              </w:rPr>
              <m:t>β</m:t>
            </m:r>
          </m:e>
          <m:sub>
            <m:r>
              <m:rPr>
                <m:sty m:val="p"/>
              </m:rPr>
              <w:rPr>
                <w:rFonts w:ascii="Cambria Math" w:hAnsi="Cambria Math"/>
                <w:kern w:val="2"/>
                <w:sz w:val="18"/>
                <w:szCs w:val="18"/>
              </w:rPr>
              <m:t>4</m:t>
            </m:r>
          </m:sub>
        </m:sSub>
        <m:r>
          <w:rPr>
            <w:rFonts w:ascii="Cambria Math" w:hAnsi="Cambria Math"/>
            <w:kern w:val="2"/>
            <w:sz w:val="18"/>
            <w:szCs w:val="18"/>
          </w:rPr>
          <m:t>manage+</m:t>
        </m:r>
        <m:sSub>
          <m:sSubPr>
            <m:ctrlPr>
              <w:rPr>
                <w:rFonts w:ascii="Cambria Math" w:hAnsi="Cambria Math"/>
                <w:kern w:val="2"/>
                <w:sz w:val="18"/>
                <w:szCs w:val="18"/>
              </w:rPr>
            </m:ctrlPr>
          </m:sSubPr>
          <m:e>
            <m:r>
              <m:rPr>
                <m:sty m:val="p"/>
              </m:rPr>
              <w:rPr>
                <w:rFonts w:ascii="Cambria Math" w:hAnsi="Cambria Math"/>
                <w:kern w:val="2"/>
                <w:sz w:val="18"/>
                <w:szCs w:val="18"/>
              </w:rPr>
              <m:t>β</m:t>
            </m:r>
          </m:e>
          <m:sub>
            <m:r>
              <m:rPr>
                <m:sty m:val="p"/>
              </m:rPr>
              <w:rPr>
                <w:rFonts w:ascii="Cambria Math" w:hAnsi="Cambria Math"/>
                <w:kern w:val="2"/>
                <w:sz w:val="18"/>
                <w:szCs w:val="18"/>
              </w:rPr>
              <m:t>5</m:t>
            </m:r>
          </m:sub>
        </m:sSub>
        <m:r>
          <w:rPr>
            <w:rFonts w:ascii="Cambria Math" w:hAnsi="Cambria Math"/>
            <w:kern w:val="2"/>
            <w:sz w:val="18"/>
            <w:szCs w:val="18"/>
          </w:rPr>
          <m:t>debt+</m:t>
        </m:r>
        <m:sSub>
          <m:sSubPr>
            <m:ctrlPr>
              <w:rPr>
                <w:rFonts w:ascii="Cambria Math" w:hAnsi="Cambria Math"/>
                <w:kern w:val="2"/>
                <w:sz w:val="18"/>
                <w:szCs w:val="18"/>
              </w:rPr>
            </m:ctrlPr>
          </m:sSubPr>
          <m:e>
            <m:r>
              <m:rPr>
                <m:sty m:val="p"/>
              </m:rPr>
              <w:rPr>
                <w:rFonts w:ascii="Cambria Math" w:hAnsi="Cambria Math"/>
                <w:kern w:val="2"/>
                <w:sz w:val="18"/>
                <w:szCs w:val="18"/>
              </w:rPr>
              <m:t>β</m:t>
            </m:r>
          </m:e>
          <m:sub>
            <m:r>
              <m:rPr>
                <m:sty m:val="p"/>
              </m:rPr>
              <w:rPr>
                <w:rFonts w:ascii="Cambria Math" w:hAnsi="Cambria Math"/>
                <w:kern w:val="2"/>
                <w:sz w:val="18"/>
                <w:szCs w:val="18"/>
              </w:rPr>
              <m:t>6</m:t>
            </m:r>
          </m:sub>
        </m:sSub>
        <m:r>
          <w:rPr>
            <w:rFonts w:ascii="Cambria Math" w:hAnsi="Cambria Math"/>
            <w:kern w:val="2"/>
            <w:sz w:val="18"/>
            <w:szCs w:val="18"/>
          </w:rPr>
          <m:t>liuq+</m:t>
        </m:r>
        <m:sSub>
          <m:sSubPr>
            <m:ctrlPr>
              <w:rPr>
                <w:rFonts w:ascii="Cambria Math" w:hAnsi="Cambria Math"/>
                <w:kern w:val="2"/>
                <w:sz w:val="18"/>
                <w:szCs w:val="18"/>
              </w:rPr>
            </m:ctrlPr>
          </m:sSubPr>
          <m:e>
            <m:r>
              <m:rPr>
                <m:sty m:val="p"/>
              </m:rPr>
              <w:rPr>
                <w:rFonts w:ascii="Cambria Math" w:hAnsi="Cambria Math"/>
                <w:kern w:val="2"/>
                <w:sz w:val="18"/>
                <w:szCs w:val="18"/>
              </w:rPr>
              <m:t>β</m:t>
            </m:r>
          </m:e>
          <m:sub>
            <m:r>
              <m:rPr>
                <m:sty m:val="p"/>
              </m:rPr>
              <w:rPr>
                <w:rFonts w:ascii="Cambria Math" w:hAnsi="Cambria Math"/>
                <w:kern w:val="2"/>
                <w:sz w:val="18"/>
                <w:szCs w:val="18"/>
              </w:rPr>
              <m:t>7</m:t>
            </m:r>
          </m:sub>
        </m:sSub>
        <m:r>
          <w:rPr>
            <w:rFonts w:ascii="Cambria Math" w:hAnsi="Cambria Math"/>
            <w:kern w:val="2"/>
            <w:sz w:val="18"/>
            <w:szCs w:val="18"/>
          </w:rPr>
          <m:t>tax+</m:t>
        </m:r>
        <m:sSub>
          <m:sSubPr>
            <m:ctrlPr>
              <w:rPr>
                <w:rFonts w:ascii="Cambria Math" w:hAnsi="Cambria Math"/>
                <w:kern w:val="2"/>
                <w:sz w:val="18"/>
                <w:szCs w:val="18"/>
              </w:rPr>
            </m:ctrlPr>
          </m:sSubPr>
          <m:e>
            <m:r>
              <m:rPr>
                <m:sty m:val="p"/>
              </m:rPr>
              <w:rPr>
                <w:rFonts w:ascii="Cambria Math" w:hAnsi="Cambria Math"/>
                <w:kern w:val="2"/>
                <w:sz w:val="18"/>
                <w:szCs w:val="18"/>
              </w:rPr>
              <m:t>β</m:t>
            </m:r>
          </m:e>
          <m:sub>
            <m:r>
              <m:rPr>
                <m:sty m:val="p"/>
              </m:rPr>
              <w:rPr>
                <w:rFonts w:ascii="Cambria Math" w:hAnsi="Cambria Math"/>
                <w:kern w:val="2"/>
                <w:sz w:val="18"/>
                <w:szCs w:val="18"/>
              </w:rPr>
              <m:t>8</m:t>
            </m:r>
          </m:sub>
        </m:sSub>
        <m:r>
          <w:rPr>
            <w:rFonts w:ascii="Cambria Math" w:hAnsi="Cambria Math"/>
            <w:kern w:val="2"/>
            <w:sz w:val="18"/>
            <w:szCs w:val="18"/>
          </w:rPr>
          <m:t>ex</m:t>
        </m:r>
      </m:oMath>
      <w:r>
        <w:rPr>
          <w:rFonts w:ascii="宋体" w:hAnsi="宋体" w:hint="eastAsia"/>
          <w:kern w:val="2"/>
          <w:sz w:val="18"/>
          <w:szCs w:val="18"/>
        </w:rPr>
        <w:t xml:space="preserve"> </w:t>
      </w:r>
      <w:r>
        <w:rPr>
          <w:rFonts w:ascii="宋体" w:hAnsi="宋体"/>
          <w:kern w:val="2"/>
          <w:sz w:val="18"/>
          <w:szCs w:val="18"/>
        </w:rPr>
        <w:t xml:space="preserve"> </w:t>
      </w:r>
      <w:r w:rsidRPr="00170E65">
        <w:rPr>
          <w:rFonts w:ascii="宋体" w:hAnsi="宋体" w:hint="eastAsia"/>
          <w:kern w:val="2"/>
          <w:sz w:val="18"/>
          <w:szCs w:val="18"/>
        </w:rPr>
        <w:t>（1）</w:t>
      </w:r>
      <w:bookmarkStart w:id="0" w:name="_GoBack"/>
      <w:bookmarkEnd w:id="0"/>
    </w:p>
    <w:p w:rsidR="00170E65" w:rsidRPr="00170E65" w:rsidRDefault="00170E65" w:rsidP="00170E65">
      <w:pPr>
        <w:pStyle w:val="Textof"/>
        <w:tabs>
          <w:tab w:val="left" w:pos="284"/>
        </w:tabs>
        <w:spacing w:line="400" w:lineRule="exact"/>
        <w:ind w:left="0" w:firstLineChars="200" w:firstLine="360"/>
        <w:rPr>
          <w:rFonts w:ascii="宋体" w:hAnsi="宋体" w:hint="eastAsia"/>
          <w:kern w:val="2"/>
          <w:sz w:val="18"/>
          <w:szCs w:val="18"/>
        </w:rPr>
      </w:pPr>
      <w:r w:rsidRPr="00170E65">
        <w:rPr>
          <w:rFonts w:ascii="宋体" w:hAnsi="宋体" w:hint="eastAsia"/>
          <w:kern w:val="2"/>
          <w:sz w:val="18"/>
          <w:szCs w:val="18"/>
        </w:rPr>
        <w:t>计量模型（1）中的解释变量分为如下三大类：</w:t>
      </w:r>
    </w:p>
    <w:p w:rsidR="00170E65" w:rsidRPr="00170E65" w:rsidRDefault="00170E65" w:rsidP="00170E65">
      <w:pPr>
        <w:pStyle w:val="Textof"/>
        <w:tabs>
          <w:tab w:val="left" w:pos="284"/>
        </w:tabs>
        <w:spacing w:line="400" w:lineRule="exact"/>
        <w:ind w:left="0" w:firstLineChars="200" w:firstLine="360"/>
        <w:rPr>
          <w:rFonts w:ascii="宋体" w:hAnsi="宋体" w:hint="eastAsia"/>
          <w:kern w:val="2"/>
          <w:sz w:val="18"/>
          <w:szCs w:val="18"/>
        </w:rPr>
      </w:pPr>
      <w:r w:rsidRPr="00170E65">
        <w:rPr>
          <w:rFonts w:ascii="宋体" w:hAnsi="宋体" w:hint="eastAsia"/>
          <w:kern w:val="2"/>
          <w:sz w:val="18"/>
          <w:szCs w:val="18"/>
        </w:rPr>
        <w:t>（1）反映企业自身特征的变量：企业资本密集度（capital）。我们使用人均资本量（企业固定资产净额/企业员工数）来表示企业是采用劳动密集型生产方式还是资本密集型生产方式，劳动密集型企业的员工工资</w:t>
      </w:r>
      <w:r w:rsidR="006841C4">
        <w:rPr>
          <w:rFonts w:ascii="宋体" w:hAnsi="宋体" w:hint="eastAsia"/>
          <w:kern w:val="2"/>
          <w:sz w:val="18"/>
          <w:szCs w:val="18"/>
        </w:rPr>
        <w:t>通常</w:t>
      </w:r>
      <w:r w:rsidRPr="00170E65">
        <w:rPr>
          <w:rFonts w:ascii="宋体" w:hAnsi="宋体" w:hint="eastAsia"/>
          <w:kern w:val="2"/>
          <w:sz w:val="18"/>
          <w:szCs w:val="18"/>
        </w:rPr>
        <w:t>会低于资本密集型企业。企业生产效率（</w:t>
      </w:r>
      <w:proofErr w:type="spellStart"/>
      <w:r w:rsidRPr="00170E65">
        <w:rPr>
          <w:rFonts w:ascii="宋体" w:hAnsi="宋体" w:hint="eastAsia"/>
          <w:kern w:val="2"/>
          <w:sz w:val="18"/>
          <w:szCs w:val="18"/>
        </w:rPr>
        <w:t>tfp</w:t>
      </w:r>
      <w:proofErr w:type="spellEnd"/>
      <w:r w:rsidRPr="00170E65">
        <w:rPr>
          <w:rFonts w:ascii="宋体" w:hAnsi="宋体" w:hint="eastAsia"/>
          <w:kern w:val="2"/>
          <w:sz w:val="18"/>
          <w:szCs w:val="18"/>
        </w:rPr>
        <w:t>）。企业生产效率越高，企业支付员工高工资水平能力相对越强。我们利用劳动生产率（工业增加值/全部从业人员平均人数）作为企业生产效率度量指标。利润率（profit）（净利润/销售额）。通常认为，企业利润率越高可能对员工支付的薪水越高。管理水平（manage）。表示企业管理水平，我们使用常用的总资产周转率指标来反映企业管理水平。总资产周转率=（主营业务收入/平均资产总额）×100%。资产负债率（debt）（总负债/总资产）。用以衡量企业利用债权人提供资金进行经营活动的能力,以及反映债权人发放贷款的安全程度的指标。现金流动性（</w:t>
      </w:r>
      <w:proofErr w:type="spellStart"/>
      <w:r w:rsidRPr="00170E65">
        <w:rPr>
          <w:rFonts w:ascii="宋体" w:hAnsi="宋体" w:hint="eastAsia"/>
          <w:kern w:val="2"/>
          <w:sz w:val="18"/>
          <w:szCs w:val="18"/>
        </w:rPr>
        <w:t>liuq</w:t>
      </w:r>
      <w:proofErr w:type="spellEnd"/>
      <w:r w:rsidRPr="00170E65">
        <w:rPr>
          <w:rFonts w:ascii="宋体" w:hAnsi="宋体" w:hint="eastAsia"/>
          <w:kern w:val="2"/>
          <w:sz w:val="18"/>
          <w:szCs w:val="18"/>
        </w:rPr>
        <w:t>）。我们使用（企业应收账款-企业应付账款）/企业销售额来反映企业现金流动性。企业现金流动性越好，越不会拖欠企业员工工资，越有实力支付员工工资。</w:t>
      </w:r>
    </w:p>
    <w:p w:rsidR="00170E65" w:rsidRPr="00170E65" w:rsidRDefault="00170E65" w:rsidP="00170E65">
      <w:pPr>
        <w:pStyle w:val="Textof"/>
        <w:tabs>
          <w:tab w:val="left" w:pos="284"/>
        </w:tabs>
        <w:spacing w:line="400" w:lineRule="exact"/>
        <w:ind w:left="0" w:firstLineChars="200" w:firstLine="360"/>
        <w:rPr>
          <w:rFonts w:ascii="宋体" w:hAnsi="宋体" w:hint="eastAsia"/>
          <w:kern w:val="2"/>
          <w:sz w:val="18"/>
          <w:szCs w:val="18"/>
        </w:rPr>
      </w:pPr>
      <w:r w:rsidRPr="00170E65">
        <w:rPr>
          <w:rFonts w:ascii="宋体" w:hAnsi="宋体" w:hint="eastAsia"/>
          <w:kern w:val="2"/>
          <w:sz w:val="18"/>
          <w:szCs w:val="18"/>
        </w:rPr>
        <w:t>（2）反映外部环境特征的变量：税收（tax）（所得税/企业税前利润）。企业税收负担越大，在资本谈判力强势于劳动谈判力的前提下，企业越有可能通过挤占企业员工的工资收入来转嫁企业税收负担，因此，企业支付给员工的总体工资水平相对就较低。出口（ex）。众多研究表明，出口企业为了保证国外消费市场对产品质量、安全、环保等的严格要求，会采用相对较高的技术装备、雇佣高技能、高素质员工和高学历有经验管理人才生产产品，因此，出口企业有可能比非出口企业对员工支付更高工资。</w:t>
      </w:r>
    </w:p>
    <w:p w:rsidR="005D7D0D" w:rsidRDefault="00170E65" w:rsidP="00170E65">
      <w:pPr>
        <w:pStyle w:val="Textof"/>
        <w:tabs>
          <w:tab w:val="left" w:pos="284"/>
        </w:tabs>
        <w:spacing w:line="400" w:lineRule="exact"/>
        <w:ind w:left="0" w:firstLineChars="200" w:firstLine="360"/>
        <w:rPr>
          <w:rFonts w:ascii="宋体" w:hAnsi="宋体"/>
          <w:kern w:val="2"/>
          <w:sz w:val="18"/>
          <w:szCs w:val="18"/>
        </w:rPr>
      </w:pPr>
      <w:r w:rsidRPr="00170E65">
        <w:rPr>
          <w:rFonts w:ascii="宋体" w:hAnsi="宋体" w:hint="eastAsia"/>
          <w:kern w:val="2"/>
          <w:sz w:val="18"/>
          <w:szCs w:val="18"/>
        </w:rPr>
        <w:t>（3）控制变量：年份（year）。表示时间趋势，可表示企业员工工资水平随时间的自然增长趋势。</w:t>
      </w:r>
    </w:p>
    <w:p w:rsidR="00170E65" w:rsidRDefault="00170E65" w:rsidP="00170E65">
      <w:pPr>
        <w:pStyle w:val="Textof"/>
        <w:spacing w:line="400" w:lineRule="exact"/>
        <w:ind w:left="0" w:firstLineChars="200" w:firstLine="360"/>
        <w:rPr>
          <w:rFonts w:ascii="宋体" w:hAnsi="宋体" w:hint="eastAsia"/>
          <w:kern w:val="2"/>
          <w:sz w:val="18"/>
          <w:szCs w:val="18"/>
        </w:rPr>
      </w:pPr>
    </w:p>
    <w:p w:rsidR="00170E65" w:rsidRDefault="00170E65" w:rsidP="00170E65">
      <w:pPr>
        <w:pStyle w:val="ad"/>
        <w:numPr>
          <w:ilvl w:val="0"/>
          <w:numId w:val="1"/>
        </w:numPr>
      </w:pPr>
      <w:r w:rsidRPr="00170E65">
        <w:rPr>
          <w:rFonts w:ascii="黑体" w:eastAsia="黑体" w:hAnsi="黑体" w:hint="eastAsia"/>
          <w:szCs w:val="21"/>
        </w:rPr>
        <w:t>分析</w:t>
      </w:r>
      <w:r>
        <w:rPr>
          <w:rFonts w:ascii="黑体" w:eastAsia="黑体" w:hAnsi="黑体" w:hint="eastAsia"/>
          <w:szCs w:val="21"/>
        </w:rPr>
        <w:t>结果</w:t>
      </w:r>
    </w:p>
    <w:p w:rsidR="00170E65" w:rsidRPr="00170E65" w:rsidRDefault="00170E65" w:rsidP="00170E65">
      <w:pPr>
        <w:pStyle w:val="DepartCorrespond"/>
        <w:numPr>
          <w:ilvl w:val="1"/>
          <w:numId w:val="1"/>
        </w:numPr>
        <w:ind w:left="119" w:hanging="119"/>
        <w:rPr>
          <w:rFonts w:ascii="黑体" w:eastAsia="黑体" w:hAnsi="黑体" w:hint="eastAsia"/>
          <w:sz w:val="18"/>
          <w:szCs w:val="18"/>
        </w:rPr>
      </w:pPr>
      <w:r w:rsidRPr="00170E65">
        <w:rPr>
          <w:rFonts w:ascii="黑体" w:eastAsia="黑体" w:hAnsi="黑体" w:hint="eastAsia"/>
          <w:sz w:val="18"/>
          <w:szCs w:val="18"/>
        </w:rPr>
        <w:t>变量的相关性分析</w:t>
      </w:r>
    </w:p>
    <w:p w:rsidR="005D7D0D" w:rsidRDefault="00170E65">
      <w:pPr>
        <w:pStyle w:val="a9"/>
        <w:spacing w:after="0" w:line="400" w:lineRule="exact"/>
        <w:ind w:firstLine="357"/>
        <w:rPr>
          <w:rFonts w:ascii="宋体" w:hAnsi="宋体"/>
          <w:sz w:val="18"/>
          <w:szCs w:val="18"/>
        </w:rPr>
      </w:pPr>
      <w:bookmarkStart w:id="1" w:name="_Hlk68615810"/>
      <w:r w:rsidRPr="00170E65">
        <w:rPr>
          <w:rFonts w:ascii="宋体" w:hAnsi="宋体" w:hint="eastAsia"/>
          <w:sz w:val="18"/>
          <w:szCs w:val="18"/>
        </w:rPr>
        <w:t>图2给出了计量模型（1）中人均工资收入与各主要解释变量之间的相关矩阵。从图中初步可以看出，企业人均工资收入与管理水平、现金流动性和税收之间呈现出负相关，而与企业资本密集度、企业生产效率、利润率、以及出口各变量之间呈现出正相关。针对计量模型（1），需要重点关注的是各主要解释变量之间可能存在多重共线性问题。通过对相关系数矩阵进行观察，发现企业生产效率、利润率、管理水平、资产负债率和税收变量之间存在共线性问题，因此我们使用岭回归模型以一定程度上避免多重共线性问题。</w:t>
      </w:r>
    </w:p>
    <w:bookmarkEnd w:id="1"/>
    <w:p w:rsidR="00170E65" w:rsidRDefault="00170E65">
      <w:pPr>
        <w:pStyle w:val="a9"/>
        <w:spacing w:after="0" w:line="400" w:lineRule="exact"/>
        <w:ind w:firstLine="357"/>
        <w:rPr>
          <w:rFonts w:ascii="宋体" w:hAnsi="宋体" w:hint="eastAsia"/>
          <w:sz w:val="18"/>
          <w:szCs w:val="18"/>
        </w:rPr>
      </w:pPr>
    </w:p>
    <w:p w:rsidR="005D7D0D" w:rsidRDefault="00054FE6" w:rsidP="00170E65">
      <w:pPr>
        <w:pStyle w:val="a9"/>
        <w:spacing w:after="0"/>
        <w:jc w:val="center"/>
        <w:rPr>
          <w:noProof/>
        </w:rPr>
      </w:pPr>
      <w:r w:rsidRPr="00E06356">
        <w:rPr>
          <w:noProof/>
        </w:rPr>
        <w:lastRenderedPageBreak/>
        <w:drawing>
          <wp:inline distT="0" distB="0" distL="0" distR="0">
            <wp:extent cx="3413760" cy="352806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3760" cy="3528060"/>
                    </a:xfrm>
                    <a:prstGeom prst="rect">
                      <a:avLst/>
                    </a:prstGeom>
                    <a:noFill/>
                    <a:ln>
                      <a:noFill/>
                    </a:ln>
                  </pic:spPr>
                </pic:pic>
              </a:graphicData>
            </a:graphic>
          </wp:inline>
        </w:drawing>
      </w:r>
    </w:p>
    <w:p w:rsidR="00170E65" w:rsidRPr="00D0323F" w:rsidRDefault="00170E65" w:rsidP="00170E65">
      <w:pPr>
        <w:pStyle w:val="a9"/>
        <w:spacing w:after="0" w:line="400" w:lineRule="exact"/>
        <w:jc w:val="center"/>
        <w:rPr>
          <w:rFonts w:ascii="宋体" w:hAnsi="宋体" w:hint="eastAsia"/>
          <w:sz w:val="15"/>
          <w:szCs w:val="15"/>
        </w:rPr>
      </w:pPr>
      <w:r w:rsidRPr="00170E65">
        <w:rPr>
          <w:rFonts w:ascii="宋体" w:hAnsi="宋体" w:hint="eastAsia"/>
          <w:sz w:val="15"/>
          <w:szCs w:val="15"/>
        </w:rPr>
        <w:t>图 2 各主要解释变量的相关系数矩阵</w:t>
      </w:r>
    </w:p>
    <w:p w:rsidR="00170E65" w:rsidRDefault="00170E65" w:rsidP="00170E65">
      <w:pPr>
        <w:pStyle w:val="a9"/>
        <w:spacing w:after="0"/>
        <w:jc w:val="center"/>
        <w:rPr>
          <w:rFonts w:ascii="宋体" w:hAnsi="宋体"/>
          <w:color w:val="C00000"/>
          <w:sz w:val="18"/>
          <w:szCs w:val="18"/>
        </w:rPr>
      </w:pPr>
    </w:p>
    <w:p w:rsidR="00554850" w:rsidRPr="00554850" w:rsidRDefault="00554850" w:rsidP="00554850">
      <w:pPr>
        <w:pStyle w:val="DepartCorrespond"/>
        <w:numPr>
          <w:ilvl w:val="1"/>
          <w:numId w:val="1"/>
        </w:numPr>
        <w:ind w:left="119" w:hanging="119"/>
        <w:rPr>
          <w:rFonts w:ascii="黑体" w:eastAsia="黑体" w:hAnsi="黑体" w:hint="eastAsia"/>
          <w:sz w:val="18"/>
          <w:szCs w:val="18"/>
        </w:rPr>
      </w:pPr>
      <w:r w:rsidRPr="00554850">
        <w:rPr>
          <w:rFonts w:ascii="黑体" w:eastAsia="黑体" w:hAnsi="黑体" w:hint="eastAsia"/>
          <w:sz w:val="18"/>
          <w:szCs w:val="18"/>
        </w:rPr>
        <w:t>回归结果</w:t>
      </w:r>
    </w:p>
    <w:p w:rsidR="00554850" w:rsidRDefault="00554850" w:rsidP="00554850">
      <w:pPr>
        <w:pStyle w:val="a9"/>
        <w:spacing w:after="0" w:line="400" w:lineRule="exact"/>
        <w:ind w:firstLine="357"/>
        <w:rPr>
          <w:rFonts w:ascii="宋体" w:hAnsi="宋体"/>
          <w:sz w:val="18"/>
          <w:szCs w:val="18"/>
        </w:rPr>
      </w:pPr>
      <w:r w:rsidRPr="00554850">
        <w:rPr>
          <w:rFonts w:ascii="宋体" w:hAnsi="宋体" w:hint="eastAsia"/>
          <w:sz w:val="18"/>
          <w:szCs w:val="18"/>
        </w:rPr>
        <w:t>表 1是互联网行业人均工资的决定因素的回归结果。</w:t>
      </w:r>
    </w:p>
    <w:p w:rsidR="00170E65" w:rsidRPr="00554850" w:rsidRDefault="00170E65" w:rsidP="00554850">
      <w:pPr>
        <w:pStyle w:val="a9"/>
        <w:spacing w:after="0"/>
        <w:jc w:val="left"/>
        <w:rPr>
          <w:rFonts w:ascii="宋体" w:hAnsi="宋体" w:hint="eastAsia"/>
          <w:color w:val="C00000"/>
          <w:sz w:val="18"/>
          <w:szCs w:val="18"/>
        </w:rPr>
      </w:pPr>
    </w:p>
    <w:p w:rsidR="005D7D0D" w:rsidRPr="00554850" w:rsidRDefault="005D7D0D" w:rsidP="00554850">
      <w:pPr>
        <w:pStyle w:val="a9"/>
        <w:spacing w:after="0" w:line="240" w:lineRule="atLeast"/>
        <w:jc w:val="center"/>
        <w:rPr>
          <w:rFonts w:hint="eastAsia"/>
          <w:color w:val="FF0000"/>
          <w:sz w:val="18"/>
          <w:szCs w:val="18"/>
        </w:rPr>
      </w:pPr>
      <w:r>
        <w:rPr>
          <w:rFonts w:ascii="宋体" w:hAnsi="宋体" w:hint="eastAsia"/>
          <w:sz w:val="15"/>
          <w:szCs w:val="15"/>
        </w:rPr>
        <w:t xml:space="preserve">表1   </w:t>
      </w:r>
      <w:r w:rsidR="00554850" w:rsidRPr="00554850">
        <w:rPr>
          <w:rFonts w:ascii="宋体" w:hAnsi="宋体" w:hint="eastAsia"/>
          <w:sz w:val="15"/>
          <w:szCs w:val="15"/>
        </w:rPr>
        <w:t>互联网行业人均工资的决定因素的回归结果</w:t>
      </w:r>
    </w:p>
    <w:tbl>
      <w:tblPr>
        <w:tblW w:w="0" w:type="auto"/>
        <w:jc w:val="center"/>
        <w:tblInd w:w="0" w:type="dxa"/>
        <w:tblBorders>
          <w:top w:val="single" w:sz="4" w:space="0" w:color="auto"/>
          <w:bottom w:val="single" w:sz="4" w:space="0" w:color="auto"/>
          <w:insideH w:val="single" w:sz="4" w:space="0" w:color="auto"/>
        </w:tblBorders>
        <w:tblLook w:val="04A0" w:firstRow="1" w:lastRow="0" w:firstColumn="1" w:lastColumn="0" w:noHBand="0" w:noVBand="1"/>
      </w:tblPr>
      <w:tblGrid>
        <w:gridCol w:w="1988"/>
        <w:gridCol w:w="2046"/>
        <w:gridCol w:w="1781"/>
      </w:tblGrid>
      <w:tr w:rsidR="00426A12" w:rsidRPr="00877FC8" w:rsidTr="00877FC8">
        <w:trPr>
          <w:trHeight w:val="304"/>
          <w:jc w:val="center"/>
        </w:trPr>
        <w:tc>
          <w:tcPr>
            <w:tcW w:w="1988" w:type="dxa"/>
            <w:tcBorders>
              <w:bottom w:val="single" w:sz="4" w:space="0" w:color="auto"/>
            </w:tcBorders>
            <w:shd w:val="clear" w:color="auto" w:fill="auto"/>
            <w:vAlign w:val="center"/>
          </w:tcPr>
          <w:p w:rsidR="00554850" w:rsidRPr="00877FC8" w:rsidRDefault="00554850" w:rsidP="00877FC8">
            <w:pPr>
              <w:adjustRightInd/>
              <w:snapToGrid/>
              <w:spacing w:after="0"/>
              <w:jc w:val="center"/>
              <w:rPr>
                <w:rFonts w:ascii="宋体" w:eastAsia="宋体" w:hAnsi="宋体"/>
                <w:kern w:val="2"/>
                <w:sz w:val="15"/>
                <w:szCs w:val="15"/>
              </w:rPr>
            </w:pPr>
            <w:r w:rsidRPr="00877FC8">
              <w:rPr>
                <w:rFonts w:ascii="宋体" w:eastAsia="宋体" w:hAnsi="宋体"/>
                <w:kern w:val="2"/>
                <w:sz w:val="15"/>
                <w:szCs w:val="15"/>
              </w:rPr>
              <w:t>影响因素</w:t>
            </w:r>
          </w:p>
        </w:tc>
        <w:tc>
          <w:tcPr>
            <w:tcW w:w="2046" w:type="dxa"/>
            <w:tcBorders>
              <w:bottom w:val="single" w:sz="4" w:space="0" w:color="auto"/>
            </w:tcBorders>
            <w:shd w:val="clear" w:color="auto" w:fill="auto"/>
            <w:vAlign w:val="center"/>
          </w:tcPr>
          <w:p w:rsidR="00554850" w:rsidRPr="00877FC8" w:rsidRDefault="00554850" w:rsidP="00877FC8">
            <w:pPr>
              <w:adjustRightInd/>
              <w:snapToGrid/>
              <w:spacing w:after="0"/>
              <w:jc w:val="center"/>
              <w:rPr>
                <w:rFonts w:ascii="宋体" w:eastAsia="宋体" w:hAnsi="宋体"/>
                <w:kern w:val="2"/>
                <w:sz w:val="15"/>
                <w:szCs w:val="15"/>
              </w:rPr>
            </w:pPr>
            <w:r w:rsidRPr="00877FC8">
              <w:rPr>
                <w:rFonts w:ascii="宋体" w:eastAsia="宋体" w:hAnsi="宋体"/>
                <w:kern w:val="2"/>
                <w:sz w:val="15"/>
                <w:szCs w:val="15"/>
              </w:rPr>
              <w:t>系数</w:t>
            </w:r>
          </w:p>
        </w:tc>
        <w:tc>
          <w:tcPr>
            <w:tcW w:w="1781" w:type="dxa"/>
            <w:tcBorders>
              <w:bottom w:val="single" w:sz="4" w:space="0" w:color="auto"/>
            </w:tcBorders>
            <w:shd w:val="clear" w:color="auto" w:fill="auto"/>
            <w:vAlign w:val="center"/>
          </w:tcPr>
          <w:p w:rsidR="00554850" w:rsidRPr="00877FC8" w:rsidRDefault="00554850" w:rsidP="00877FC8">
            <w:pPr>
              <w:adjustRightInd/>
              <w:snapToGrid/>
              <w:spacing w:after="0"/>
              <w:jc w:val="center"/>
              <w:rPr>
                <w:rFonts w:ascii="宋体" w:eastAsia="宋体" w:hAnsi="宋体"/>
                <w:kern w:val="2"/>
                <w:sz w:val="15"/>
                <w:szCs w:val="15"/>
              </w:rPr>
            </w:pPr>
            <w:r w:rsidRPr="00877FC8">
              <w:rPr>
                <w:rFonts w:ascii="宋体" w:eastAsia="宋体" w:hAnsi="宋体"/>
                <w:kern w:val="2"/>
                <w:sz w:val="15"/>
                <w:szCs w:val="15"/>
              </w:rPr>
              <w:t>显著性水平</w:t>
            </w:r>
          </w:p>
        </w:tc>
      </w:tr>
      <w:tr w:rsidR="00426A12" w:rsidRPr="00877FC8" w:rsidTr="00877FC8">
        <w:trPr>
          <w:trHeight w:val="266"/>
          <w:jc w:val="center"/>
        </w:trPr>
        <w:tc>
          <w:tcPr>
            <w:tcW w:w="1988" w:type="dxa"/>
            <w:tcBorders>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capital</w:t>
            </w:r>
          </w:p>
        </w:tc>
        <w:tc>
          <w:tcPr>
            <w:tcW w:w="2046" w:type="dxa"/>
            <w:tcBorders>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0.013723</w:t>
            </w:r>
          </w:p>
        </w:tc>
        <w:tc>
          <w:tcPr>
            <w:tcW w:w="1781" w:type="dxa"/>
            <w:tcBorders>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0.950790</w:t>
            </w:r>
          </w:p>
        </w:tc>
      </w:tr>
      <w:tr w:rsidR="00426A12" w:rsidRPr="00877FC8" w:rsidTr="00877FC8">
        <w:trPr>
          <w:trHeight w:val="285"/>
          <w:jc w:val="center"/>
        </w:trPr>
        <w:tc>
          <w:tcPr>
            <w:tcW w:w="1988"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proofErr w:type="spellStart"/>
            <w:r w:rsidRPr="00877FC8">
              <w:rPr>
                <w:rFonts w:ascii="Times New Roman" w:eastAsia="等线" w:hAnsi="Times New Roman"/>
                <w:kern w:val="2"/>
                <w:sz w:val="15"/>
                <w:szCs w:val="15"/>
              </w:rPr>
              <w:t>tfp</w:t>
            </w:r>
            <w:proofErr w:type="spellEnd"/>
          </w:p>
        </w:tc>
        <w:tc>
          <w:tcPr>
            <w:tcW w:w="2046"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0.000017</w:t>
            </w:r>
          </w:p>
        </w:tc>
        <w:tc>
          <w:tcPr>
            <w:tcW w:w="1781"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0.000000</w:t>
            </w:r>
          </w:p>
        </w:tc>
      </w:tr>
      <w:tr w:rsidR="00426A12" w:rsidRPr="00877FC8" w:rsidTr="00877FC8">
        <w:trPr>
          <w:trHeight w:val="266"/>
          <w:jc w:val="center"/>
        </w:trPr>
        <w:tc>
          <w:tcPr>
            <w:tcW w:w="1988"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profit</w:t>
            </w:r>
          </w:p>
        </w:tc>
        <w:tc>
          <w:tcPr>
            <w:tcW w:w="2046"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27.726430</w:t>
            </w:r>
          </w:p>
        </w:tc>
        <w:tc>
          <w:tcPr>
            <w:tcW w:w="1781"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0.009779</w:t>
            </w:r>
          </w:p>
        </w:tc>
      </w:tr>
      <w:tr w:rsidR="00426A12" w:rsidRPr="00877FC8" w:rsidTr="00877FC8">
        <w:trPr>
          <w:trHeight w:val="266"/>
          <w:jc w:val="center"/>
        </w:trPr>
        <w:tc>
          <w:tcPr>
            <w:tcW w:w="1988"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manage</w:t>
            </w:r>
          </w:p>
        </w:tc>
        <w:tc>
          <w:tcPr>
            <w:tcW w:w="2046"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-4.996818</w:t>
            </w:r>
          </w:p>
        </w:tc>
        <w:tc>
          <w:tcPr>
            <w:tcW w:w="1781"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0.260896</w:t>
            </w:r>
          </w:p>
        </w:tc>
      </w:tr>
      <w:tr w:rsidR="00426A12" w:rsidRPr="00877FC8" w:rsidTr="00877FC8">
        <w:trPr>
          <w:trHeight w:val="285"/>
          <w:jc w:val="center"/>
        </w:trPr>
        <w:tc>
          <w:tcPr>
            <w:tcW w:w="1988"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debt</w:t>
            </w:r>
          </w:p>
        </w:tc>
        <w:tc>
          <w:tcPr>
            <w:tcW w:w="2046"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0.815718</w:t>
            </w:r>
          </w:p>
        </w:tc>
        <w:tc>
          <w:tcPr>
            <w:tcW w:w="1781"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0.886398</w:t>
            </w:r>
          </w:p>
        </w:tc>
      </w:tr>
      <w:tr w:rsidR="00426A12" w:rsidRPr="00877FC8" w:rsidTr="00877FC8">
        <w:trPr>
          <w:trHeight w:val="266"/>
          <w:jc w:val="center"/>
        </w:trPr>
        <w:tc>
          <w:tcPr>
            <w:tcW w:w="1988"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proofErr w:type="spellStart"/>
            <w:r w:rsidRPr="00877FC8">
              <w:rPr>
                <w:rFonts w:ascii="Times New Roman" w:eastAsia="等线" w:hAnsi="Times New Roman"/>
                <w:kern w:val="2"/>
                <w:sz w:val="15"/>
                <w:szCs w:val="15"/>
              </w:rPr>
              <w:t>liuq</w:t>
            </w:r>
            <w:proofErr w:type="spellEnd"/>
          </w:p>
        </w:tc>
        <w:tc>
          <w:tcPr>
            <w:tcW w:w="2046"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1.277180</w:t>
            </w:r>
          </w:p>
        </w:tc>
        <w:tc>
          <w:tcPr>
            <w:tcW w:w="1781"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0.041016</w:t>
            </w:r>
          </w:p>
        </w:tc>
      </w:tr>
      <w:tr w:rsidR="00426A12" w:rsidRPr="00877FC8" w:rsidTr="00877FC8">
        <w:trPr>
          <w:trHeight w:val="266"/>
          <w:jc w:val="center"/>
        </w:trPr>
        <w:tc>
          <w:tcPr>
            <w:tcW w:w="1988"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tax</w:t>
            </w:r>
          </w:p>
        </w:tc>
        <w:tc>
          <w:tcPr>
            <w:tcW w:w="2046"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-0.766882</w:t>
            </w:r>
          </w:p>
        </w:tc>
        <w:tc>
          <w:tcPr>
            <w:tcW w:w="1781"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0.887089</w:t>
            </w:r>
          </w:p>
        </w:tc>
      </w:tr>
      <w:tr w:rsidR="00426A12" w:rsidRPr="00877FC8" w:rsidTr="00877FC8">
        <w:trPr>
          <w:trHeight w:val="285"/>
          <w:jc w:val="center"/>
        </w:trPr>
        <w:tc>
          <w:tcPr>
            <w:tcW w:w="1988"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ex</w:t>
            </w:r>
          </w:p>
        </w:tc>
        <w:tc>
          <w:tcPr>
            <w:tcW w:w="2046"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-0.000001</w:t>
            </w:r>
          </w:p>
        </w:tc>
        <w:tc>
          <w:tcPr>
            <w:tcW w:w="1781" w:type="dxa"/>
            <w:tcBorders>
              <w:top w:val="nil"/>
              <w:bottom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0.000034</w:t>
            </w:r>
          </w:p>
        </w:tc>
      </w:tr>
      <w:tr w:rsidR="00426A12" w:rsidRPr="00877FC8" w:rsidTr="00877FC8">
        <w:trPr>
          <w:trHeight w:val="323"/>
          <w:jc w:val="center"/>
        </w:trPr>
        <w:tc>
          <w:tcPr>
            <w:tcW w:w="1988" w:type="dxa"/>
            <w:tcBorders>
              <w:top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常数项</w:t>
            </w:r>
          </w:p>
        </w:tc>
        <w:tc>
          <w:tcPr>
            <w:tcW w:w="2046" w:type="dxa"/>
            <w:tcBorders>
              <w:top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r w:rsidRPr="00877FC8">
              <w:rPr>
                <w:rFonts w:ascii="Times New Roman" w:eastAsia="等线" w:hAnsi="Times New Roman"/>
                <w:kern w:val="2"/>
                <w:sz w:val="15"/>
                <w:szCs w:val="15"/>
              </w:rPr>
              <w:t>-1.716557</w:t>
            </w:r>
          </w:p>
        </w:tc>
        <w:tc>
          <w:tcPr>
            <w:tcW w:w="1781" w:type="dxa"/>
            <w:tcBorders>
              <w:top w:val="nil"/>
            </w:tcBorders>
            <w:shd w:val="clear" w:color="auto" w:fill="auto"/>
            <w:vAlign w:val="center"/>
          </w:tcPr>
          <w:p w:rsidR="00554850" w:rsidRPr="00877FC8" w:rsidRDefault="00554850" w:rsidP="00877FC8">
            <w:pPr>
              <w:adjustRightInd/>
              <w:snapToGrid/>
              <w:spacing w:after="0"/>
              <w:jc w:val="center"/>
              <w:rPr>
                <w:rFonts w:ascii="Times New Roman" w:eastAsia="等线" w:hAnsi="Times New Roman"/>
                <w:kern w:val="2"/>
                <w:sz w:val="15"/>
                <w:szCs w:val="15"/>
              </w:rPr>
            </w:pPr>
          </w:p>
        </w:tc>
      </w:tr>
    </w:tbl>
    <w:p w:rsidR="005D7D0D" w:rsidRDefault="005D7D0D" w:rsidP="00426A12"/>
    <w:p w:rsidR="00984CD8" w:rsidRPr="00984CD8" w:rsidRDefault="00984CD8" w:rsidP="00984CD8">
      <w:pPr>
        <w:widowControl w:val="0"/>
        <w:adjustRightInd/>
        <w:snapToGrid/>
        <w:spacing w:after="0" w:line="400" w:lineRule="exact"/>
        <w:ind w:firstLine="357"/>
        <w:jc w:val="both"/>
        <w:rPr>
          <w:rFonts w:ascii="宋体" w:eastAsia="宋体" w:hAnsi="宋体" w:hint="eastAsia"/>
          <w:kern w:val="2"/>
          <w:sz w:val="18"/>
          <w:szCs w:val="18"/>
        </w:rPr>
      </w:pPr>
      <w:r w:rsidRPr="00984CD8">
        <w:rPr>
          <w:rFonts w:ascii="宋体" w:eastAsia="宋体" w:hAnsi="宋体" w:hint="eastAsia"/>
          <w:kern w:val="2"/>
          <w:sz w:val="18"/>
          <w:szCs w:val="18"/>
        </w:rPr>
        <w:t>有研究认为，中国作为劳动力禀赋的发展中国家，劳动密集型工业的发展可以扭转劳动力市场中劳动力供给和需求关系，从而提升劳动力在国民收入中的比重[4]。然而，我们检验结果显示，企业人均资本量与人均工资之间呈现出正向关系，但该结果不显著。这表明，从中国互联网企业微观层面的视野来看的话，越是资本密集型企业越是倾向于支付企业员工更高的工资水平，相反，越是劳动密集型企业越是支付给企业员工相对更低的工资水平。</w:t>
      </w:r>
    </w:p>
    <w:p w:rsidR="006C1471" w:rsidRDefault="00984CD8" w:rsidP="006C1471">
      <w:pPr>
        <w:widowControl w:val="0"/>
        <w:adjustRightInd/>
        <w:snapToGrid/>
        <w:spacing w:after="0" w:line="400" w:lineRule="exact"/>
        <w:ind w:firstLine="357"/>
        <w:jc w:val="both"/>
        <w:rPr>
          <w:rFonts w:ascii="宋体" w:eastAsia="宋体" w:hAnsi="宋体"/>
          <w:kern w:val="2"/>
          <w:sz w:val="18"/>
          <w:szCs w:val="18"/>
        </w:rPr>
      </w:pPr>
      <w:r w:rsidRPr="00984CD8">
        <w:rPr>
          <w:rFonts w:ascii="宋体" w:eastAsia="宋体" w:hAnsi="宋体" w:hint="eastAsia"/>
          <w:kern w:val="2"/>
          <w:sz w:val="18"/>
          <w:szCs w:val="18"/>
        </w:rPr>
        <w:t>回归结果显示，互联网企业利润率（净利润/销售额）越高，企业人均工资收入相应也会越高，二者</w:t>
      </w:r>
      <w:r w:rsidRPr="00984CD8">
        <w:rPr>
          <w:rFonts w:ascii="宋体" w:eastAsia="宋体" w:hAnsi="宋体" w:hint="eastAsia"/>
          <w:kern w:val="2"/>
          <w:sz w:val="18"/>
          <w:szCs w:val="18"/>
        </w:rPr>
        <w:lastRenderedPageBreak/>
        <w:t>之间有着显著的正向关系，这是因为企业利润率越高，企业支付员工工资的实力就越强。</w:t>
      </w:r>
    </w:p>
    <w:p w:rsidR="00776502" w:rsidRPr="006C1471" w:rsidRDefault="006C1471" w:rsidP="006C1471">
      <w:pPr>
        <w:widowControl w:val="0"/>
        <w:adjustRightInd/>
        <w:snapToGrid/>
        <w:spacing w:after="0" w:line="400" w:lineRule="exact"/>
        <w:ind w:firstLine="357"/>
        <w:jc w:val="both"/>
        <w:rPr>
          <w:rFonts w:ascii="宋体" w:eastAsia="宋体" w:hAnsi="宋体"/>
          <w:kern w:val="2"/>
          <w:sz w:val="18"/>
          <w:szCs w:val="18"/>
        </w:rPr>
      </w:pPr>
      <w:r w:rsidRPr="00984CD8">
        <w:rPr>
          <w:rFonts w:ascii="宋体" w:eastAsia="宋体" w:hAnsi="宋体" w:hint="eastAsia"/>
          <w:kern w:val="2"/>
          <w:sz w:val="18"/>
          <w:szCs w:val="18"/>
        </w:rPr>
        <w:t>企业生产效率与企业人均工资水平之间呈现显著的正向关系，这说明</w:t>
      </w:r>
      <w:r w:rsidR="00683039">
        <w:rPr>
          <w:rFonts w:ascii="宋体" w:eastAsia="宋体" w:hAnsi="宋体" w:hint="eastAsia"/>
          <w:kern w:val="2"/>
          <w:sz w:val="18"/>
          <w:szCs w:val="18"/>
        </w:rPr>
        <w:t>随着互联网</w:t>
      </w:r>
      <w:r w:rsidRPr="00984CD8">
        <w:rPr>
          <w:rFonts w:ascii="宋体" w:eastAsia="宋体" w:hAnsi="宋体" w:hint="eastAsia"/>
          <w:kern w:val="2"/>
          <w:sz w:val="18"/>
          <w:szCs w:val="18"/>
        </w:rPr>
        <w:t>企业生产效率</w:t>
      </w:r>
      <w:r w:rsidR="00683039">
        <w:rPr>
          <w:rFonts w:ascii="宋体" w:eastAsia="宋体" w:hAnsi="宋体" w:hint="eastAsia"/>
          <w:kern w:val="2"/>
          <w:sz w:val="18"/>
          <w:szCs w:val="18"/>
        </w:rPr>
        <w:t>的提升</w:t>
      </w:r>
      <w:r w:rsidRPr="00984CD8">
        <w:rPr>
          <w:rFonts w:ascii="宋体" w:eastAsia="宋体" w:hAnsi="宋体" w:hint="eastAsia"/>
          <w:kern w:val="2"/>
          <w:sz w:val="18"/>
          <w:szCs w:val="18"/>
        </w:rPr>
        <w:t>，企业支付员工高工资水平能力相对</w:t>
      </w:r>
      <w:r w:rsidR="00683039">
        <w:rPr>
          <w:rFonts w:ascii="宋体" w:eastAsia="宋体" w:hAnsi="宋体" w:hint="eastAsia"/>
          <w:kern w:val="2"/>
          <w:sz w:val="18"/>
          <w:szCs w:val="18"/>
        </w:rPr>
        <w:t>变</w:t>
      </w:r>
      <w:r w:rsidRPr="00984CD8">
        <w:rPr>
          <w:rFonts w:ascii="宋体" w:eastAsia="宋体" w:hAnsi="宋体" w:hint="eastAsia"/>
          <w:kern w:val="2"/>
          <w:sz w:val="18"/>
          <w:szCs w:val="18"/>
        </w:rPr>
        <w:t>强。</w:t>
      </w:r>
    </w:p>
    <w:p w:rsidR="00984CD8" w:rsidRPr="00984CD8" w:rsidRDefault="00984CD8" w:rsidP="00984CD8">
      <w:pPr>
        <w:widowControl w:val="0"/>
        <w:adjustRightInd/>
        <w:snapToGrid/>
        <w:spacing w:after="0" w:line="400" w:lineRule="exact"/>
        <w:ind w:firstLine="357"/>
        <w:jc w:val="both"/>
        <w:rPr>
          <w:rFonts w:ascii="宋体" w:eastAsia="宋体" w:hAnsi="宋体" w:hint="eastAsia"/>
          <w:kern w:val="2"/>
          <w:sz w:val="18"/>
          <w:szCs w:val="18"/>
        </w:rPr>
      </w:pPr>
      <w:r w:rsidRPr="00984CD8">
        <w:rPr>
          <w:rFonts w:ascii="宋体" w:eastAsia="宋体" w:hAnsi="宋体" w:hint="eastAsia"/>
          <w:kern w:val="2"/>
          <w:sz w:val="18"/>
          <w:szCs w:val="18"/>
        </w:rPr>
        <w:t>我们认为，管理水平越高的企业其员工工资水平相应越高。然而，与预期不同，互联网企业管理水平与人均工资水平之间呈现负向关系，但该结果不显著。这表明，中国互联网企业中管理水平越高的企业其员工工资水平可能相应越低。我们的解释是，企业的管理水平越高，可能更倾向于聘请高薪水的中高层管理人员，因而，</w:t>
      </w:r>
      <w:r w:rsidR="00A226B8">
        <w:rPr>
          <w:rFonts w:ascii="宋体" w:eastAsia="宋体" w:hAnsi="宋体" w:hint="eastAsia"/>
          <w:kern w:val="2"/>
          <w:sz w:val="18"/>
          <w:szCs w:val="18"/>
        </w:rPr>
        <w:t>当</w:t>
      </w:r>
      <w:r w:rsidRPr="00984CD8">
        <w:rPr>
          <w:rFonts w:ascii="宋体" w:eastAsia="宋体" w:hAnsi="宋体" w:hint="eastAsia"/>
          <w:kern w:val="2"/>
          <w:sz w:val="18"/>
          <w:szCs w:val="18"/>
        </w:rPr>
        <w:t>企业的</w:t>
      </w:r>
      <w:r w:rsidR="00A226B8" w:rsidRPr="00984CD8">
        <w:rPr>
          <w:rFonts w:ascii="宋体" w:eastAsia="宋体" w:hAnsi="宋体" w:hint="eastAsia"/>
          <w:kern w:val="2"/>
          <w:sz w:val="18"/>
          <w:szCs w:val="18"/>
        </w:rPr>
        <w:t>管理水平</w:t>
      </w:r>
      <w:r w:rsidR="00A226B8">
        <w:rPr>
          <w:rFonts w:ascii="宋体" w:eastAsia="宋体" w:hAnsi="宋体" w:hint="eastAsia"/>
          <w:kern w:val="2"/>
          <w:sz w:val="18"/>
          <w:szCs w:val="18"/>
        </w:rPr>
        <w:t>提升时，</w:t>
      </w:r>
      <w:r w:rsidRPr="00984CD8">
        <w:rPr>
          <w:rFonts w:ascii="宋体" w:eastAsia="宋体" w:hAnsi="宋体" w:hint="eastAsia"/>
          <w:kern w:val="2"/>
          <w:sz w:val="18"/>
          <w:szCs w:val="18"/>
        </w:rPr>
        <w:t>工资支出偏向于少数的中高层管理人员而不是一般员工，企业中高层管理人员与一般员工的工资水平的差距就会拉大，这种情景下管理水平越高的企业其员工的总体工资水平可能相应就会越低。</w:t>
      </w:r>
    </w:p>
    <w:p w:rsidR="00984CD8" w:rsidRPr="00984CD8" w:rsidRDefault="00984CD8" w:rsidP="00984CD8">
      <w:pPr>
        <w:widowControl w:val="0"/>
        <w:adjustRightInd/>
        <w:snapToGrid/>
        <w:spacing w:after="0" w:line="400" w:lineRule="exact"/>
        <w:ind w:firstLine="357"/>
        <w:jc w:val="both"/>
        <w:rPr>
          <w:rFonts w:ascii="宋体" w:eastAsia="宋体" w:hAnsi="宋体" w:hint="eastAsia"/>
          <w:kern w:val="2"/>
          <w:sz w:val="18"/>
          <w:szCs w:val="18"/>
        </w:rPr>
      </w:pPr>
      <w:r w:rsidRPr="00984CD8">
        <w:rPr>
          <w:rFonts w:ascii="宋体" w:eastAsia="宋体" w:hAnsi="宋体" w:hint="eastAsia"/>
          <w:kern w:val="2"/>
          <w:sz w:val="18"/>
          <w:szCs w:val="18"/>
        </w:rPr>
        <w:t>企业现金流能力和企业员工工资水平之间显著的正向关系说明，越是有净负债的企业其企业员工工资水平越高。这个结果表明，互联网企业越是具有良好现金流能力，支付企业员工工资水平能力越强。</w:t>
      </w:r>
    </w:p>
    <w:p w:rsidR="00984CD8" w:rsidRPr="00984CD8" w:rsidRDefault="00984CD8" w:rsidP="00984CD8">
      <w:pPr>
        <w:widowControl w:val="0"/>
        <w:adjustRightInd/>
        <w:snapToGrid/>
        <w:spacing w:after="0" w:line="400" w:lineRule="exact"/>
        <w:ind w:firstLine="357"/>
        <w:jc w:val="both"/>
        <w:rPr>
          <w:rFonts w:ascii="宋体" w:eastAsia="宋体" w:hAnsi="宋体"/>
          <w:kern w:val="2"/>
          <w:sz w:val="18"/>
          <w:szCs w:val="18"/>
        </w:rPr>
      </w:pPr>
      <w:bookmarkStart w:id="2" w:name="_Hlk68616405"/>
      <w:r w:rsidRPr="00984CD8">
        <w:rPr>
          <w:rFonts w:ascii="宋体" w:eastAsia="宋体" w:hAnsi="宋体" w:hint="eastAsia"/>
          <w:kern w:val="2"/>
          <w:sz w:val="18"/>
          <w:szCs w:val="18"/>
        </w:rPr>
        <w:t>企业税收负担与企业人均工资水平之间呈现负向关系，但该结果不显著。这个结果一定程度上说明互联网企业负担税收越重，越有可能通过挤占企业员工的工资收入来转嫁企业税收负担。</w:t>
      </w:r>
    </w:p>
    <w:bookmarkEnd w:id="2"/>
    <w:p w:rsidR="005D7D0D" w:rsidRPr="00984CD8" w:rsidRDefault="005D7D0D" w:rsidP="00426A12">
      <w:pPr>
        <w:pStyle w:val="Textof"/>
        <w:spacing w:line="240" w:lineRule="auto"/>
        <w:ind w:left="0" w:firstLineChars="0" w:firstLine="0"/>
        <w:rPr>
          <w:color w:val="FF0000"/>
          <w:sz w:val="18"/>
          <w:szCs w:val="18"/>
        </w:rPr>
      </w:pPr>
    </w:p>
    <w:p w:rsidR="00984CD8" w:rsidRDefault="00984CD8" w:rsidP="00984CD8">
      <w:pPr>
        <w:pStyle w:val="ad"/>
        <w:numPr>
          <w:ilvl w:val="0"/>
          <w:numId w:val="1"/>
        </w:numPr>
      </w:pPr>
      <w:r w:rsidRPr="00984CD8">
        <w:rPr>
          <w:rFonts w:ascii="黑体" w:eastAsia="黑体" w:hAnsi="黑体" w:hint="eastAsia"/>
          <w:szCs w:val="21"/>
        </w:rPr>
        <w:t>结论</w:t>
      </w:r>
    </w:p>
    <w:p w:rsidR="00984CD8" w:rsidRPr="00984CD8" w:rsidRDefault="00984CD8" w:rsidP="00984CD8">
      <w:pPr>
        <w:widowControl w:val="0"/>
        <w:adjustRightInd/>
        <w:snapToGrid/>
        <w:spacing w:after="0" w:line="400" w:lineRule="exact"/>
        <w:ind w:firstLine="357"/>
        <w:jc w:val="both"/>
        <w:rPr>
          <w:rFonts w:ascii="宋体" w:eastAsia="宋体" w:hAnsi="宋体"/>
          <w:kern w:val="2"/>
          <w:sz w:val="18"/>
          <w:szCs w:val="18"/>
        </w:rPr>
      </w:pPr>
      <w:bookmarkStart w:id="3" w:name="_Hlk68616948"/>
      <w:r w:rsidRPr="00984CD8">
        <w:rPr>
          <w:rFonts w:ascii="宋体" w:eastAsia="宋体" w:hAnsi="宋体" w:hint="eastAsia"/>
          <w:kern w:val="2"/>
          <w:sz w:val="18"/>
          <w:szCs w:val="18"/>
        </w:rPr>
        <w:t>通过研究2005—2018年间中国互联网行业的决定</w:t>
      </w:r>
      <w:r w:rsidR="0027161C">
        <w:rPr>
          <w:rFonts w:ascii="宋体" w:eastAsia="宋体" w:hAnsi="宋体" w:hint="eastAsia"/>
          <w:kern w:val="2"/>
          <w:sz w:val="18"/>
          <w:szCs w:val="18"/>
        </w:rPr>
        <w:t>因素</w:t>
      </w:r>
      <w:r w:rsidRPr="00984CD8">
        <w:rPr>
          <w:rFonts w:ascii="宋体" w:eastAsia="宋体" w:hAnsi="宋体" w:hint="eastAsia"/>
          <w:kern w:val="2"/>
          <w:sz w:val="18"/>
          <w:szCs w:val="18"/>
        </w:rPr>
        <w:t>，我们的主要发现是：互联网行业薪资随着时间呈不断上升趋势。其中企业生产效率、企业利润率、现金流能力因素与企业人均工资收入皆呈现出显著且稳定正向关系，说明企业生产效率、企业利润率、现金流能力因素是互联网行业薪资提升的主要影响因素。企业管理水平和税收负担与企业人均工资收入皆呈现出负向关系，但结果不显著，说明企业的管理水平提升或税收负担增加可能会导致互联网行业薪资降低。</w:t>
      </w:r>
      <w:bookmarkEnd w:id="3"/>
    </w:p>
    <w:p w:rsidR="005D7D0D" w:rsidRPr="00984CD8" w:rsidRDefault="005D7D0D" w:rsidP="00426A12">
      <w:pPr>
        <w:pStyle w:val="Textof"/>
        <w:spacing w:line="240" w:lineRule="auto"/>
        <w:ind w:left="0" w:firstLineChars="0" w:firstLine="0"/>
        <w:rPr>
          <w:rFonts w:hint="eastAsia"/>
          <w:b/>
          <w:color w:val="FF0000"/>
          <w:sz w:val="18"/>
          <w:szCs w:val="18"/>
        </w:rPr>
      </w:pPr>
    </w:p>
    <w:p w:rsidR="005D7D0D" w:rsidRDefault="005D7D0D">
      <w:pPr>
        <w:pStyle w:val="Textof"/>
        <w:ind w:leftChars="34" w:left="333" w:firstLineChars="0"/>
        <w:jc w:val="left"/>
        <w:rPr>
          <w:rFonts w:hAnsi="宋体"/>
          <w:b/>
          <w:sz w:val="18"/>
          <w:szCs w:val="18"/>
        </w:rPr>
      </w:pPr>
      <w:r>
        <w:rPr>
          <w:rFonts w:hAnsi="宋体" w:hint="eastAsia"/>
          <w:b/>
          <w:sz w:val="18"/>
          <w:szCs w:val="18"/>
        </w:rPr>
        <w:t>参考文献</w:t>
      </w:r>
    </w:p>
    <w:p w:rsidR="005D7D0D" w:rsidRDefault="005D7D0D">
      <w:pPr>
        <w:pStyle w:val="Textof"/>
        <w:ind w:leftChars="34" w:left="333" w:firstLineChars="0"/>
        <w:jc w:val="left"/>
        <w:rPr>
          <w:rFonts w:hAnsi="宋体"/>
          <w:b/>
          <w:sz w:val="18"/>
          <w:szCs w:val="18"/>
        </w:rPr>
      </w:pPr>
    </w:p>
    <w:p w:rsidR="00984CD8" w:rsidRPr="00984CD8" w:rsidRDefault="00984CD8" w:rsidP="00984CD8">
      <w:pPr>
        <w:jc w:val="both"/>
        <w:rPr>
          <w:rFonts w:ascii="宋体" w:eastAsia="宋体" w:hAnsi="宋体"/>
          <w:sz w:val="18"/>
          <w:szCs w:val="18"/>
        </w:rPr>
      </w:pPr>
      <w:r w:rsidRPr="00984CD8">
        <w:rPr>
          <w:rFonts w:ascii="宋体" w:eastAsia="宋体" w:hAnsi="宋体"/>
          <w:sz w:val="18"/>
          <w:szCs w:val="18"/>
        </w:rPr>
        <w:t>[1]</w:t>
      </w:r>
      <w:r w:rsidRPr="007C0248">
        <w:rPr>
          <w:rFonts w:ascii="Times New Roman" w:eastAsia="宋体" w:hAnsi="Times New Roman"/>
          <w:sz w:val="18"/>
          <w:szCs w:val="18"/>
        </w:rPr>
        <w:t xml:space="preserve"> </w:t>
      </w:r>
      <w:proofErr w:type="spellStart"/>
      <w:r w:rsidRPr="007C0248">
        <w:rPr>
          <w:rFonts w:ascii="Times New Roman" w:eastAsia="宋体" w:hAnsi="Times New Roman"/>
          <w:sz w:val="18"/>
          <w:szCs w:val="18"/>
        </w:rPr>
        <w:t>Doglioli</w:t>
      </w:r>
      <w:proofErr w:type="spellEnd"/>
      <w:r w:rsidRPr="007C0248">
        <w:rPr>
          <w:rFonts w:ascii="Times New Roman" w:eastAsia="宋体" w:hAnsi="Times New Roman"/>
          <w:sz w:val="18"/>
          <w:szCs w:val="18"/>
        </w:rPr>
        <w:t xml:space="preserve">, A. M., B. </w:t>
      </w:r>
      <w:proofErr w:type="spellStart"/>
      <w:r w:rsidRPr="007C0248">
        <w:rPr>
          <w:rFonts w:ascii="Times New Roman" w:eastAsia="宋体" w:hAnsi="Times New Roman"/>
          <w:sz w:val="18"/>
          <w:szCs w:val="18"/>
        </w:rPr>
        <w:t>Blanke</w:t>
      </w:r>
      <w:proofErr w:type="spellEnd"/>
      <w:r w:rsidRPr="007C0248">
        <w:rPr>
          <w:rFonts w:ascii="Times New Roman" w:eastAsia="宋体" w:hAnsi="Times New Roman"/>
          <w:sz w:val="18"/>
          <w:szCs w:val="18"/>
        </w:rPr>
        <w:t xml:space="preserve">, S. </w:t>
      </w:r>
      <w:proofErr w:type="spellStart"/>
      <w:r w:rsidRPr="007C0248">
        <w:rPr>
          <w:rFonts w:ascii="Times New Roman" w:eastAsia="宋体" w:hAnsi="Times New Roman"/>
          <w:sz w:val="18"/>
          <w:szCs w:val="18"/>
        </w:rPr>
        <w:t>Speich</w:t>
      </w:r>
      <w:proofErr w:type="spellEnd"/>
      <w:r w:rsidRPr="007C0248">
        <w:rPr>
          <w:rFonts w:ascii="Times New Roman" w:eastAsia="宋体" w:hAnsi="Times New Roman"/>
          <w:sz w:val="18"/>
          <w:szCs w:val="18"/>
        </w:rPr>
        <w:t xml:space="preserve">, et al. Tracking coherent structures in a regional ocean model with wavelet analysis: Application to Cape Basin eddies. Journal of Geophysical </w:t>
      </w:r>
      <w:proofErr w:type="gramStart"/>
      <w:r w:rsidRPr="007C0248">
        <w:rPr>
          <w:rFonts w:ascii="Times New Roman" w:eastAsia="宋体" w:hAnsi="Times New Roman"/>
          <w:sz w:val="18"/>
          <w:szCs w:val="18"/>
        </w:rPr>
        <w:t>Research;Oceans</w:t>
      </w:r>
      <w:proofErr w:type="gramEnd"/>
      <w:r w:rsidRPr="007C0248">
        <w:rPr>
          <w:rFonts w:ascii="Times New Roman" w:eastAsia="宋体" w:hAnsi="Times New Roman"/>
          <w:sz w:val="18"/>
          <w:szCs w:val="18"/>
        </w:rPr>
        <w:t>,2007,112.C5</w:t>
      </w:r>
      <w:r w:rsidRPr="00984CD8">
        <w:rPr>
          <w:rFonts w:ascii="宋体" w:eastAsia="宋体" w:hAnsi="宋体"/>
          <w:sz w:val="18"/>
          <w:szCs w:val="18"/>
        </w:rPr>
        <w:t>.</w:t>
      </w:r>
    </w:p>
    <w:p w:rsidR="00984CD8" w:rsidRPr="00984CD8" w:rsidRDefault="00984CD8" w:rsidP="00984CD8">
      <w:pPr>
        <w:jc w:val="both"/>
        <w:rPr>
          <w:rFonts w:ascii="宋体" w:eastAsia="宋体" w:hAnsi="宋体" w:hint="eastAsia"/>
          <w:sz w:val="18"/>
          <w:szCs w:val="18"/>
        </w:rPr>
      </w:pPr>
      <w:r w:rsidRPr="00984CD8">
        <w:rPr>
          <w:rFonts w:ascii="宋体" w:eastAsia="宋体" w:hAnsi="宋体" w:hint="eastAsia"/>
          <w:sz w:val="18"/>
          <w:szCs w:val="18"/>
        </w:rPr>
        <w:t>[2]张杰,</w:t>
      </w:r>
      <w:proofErr w:type="gramStart"/>
      <w:r w:rsidRPr="00984CD8">
        <w:rPr>
          <w:rFonts w:ascii="宋体" w:eastAsia="宋体" w:hAnsi="宋体" w:hint="eastAsia"/>
          <w:sz w:val="18"/>
          <w:szCs w:val="18"/>
        </w:rPr>
        <w:t>黄泰岩</w:t>
      </w:r>
      <w:proofErr w:type="gramEnd"/>
      <w:r w:rsidRPr="00984CD8">
        <w:rPr>
          <w:rFonts w:ascii="宋体" w:eastAsia="宋体" w:hAnsi="宋体" w:hint="eastAsia"/>
          <w:sz w:val="18"/>
          <w:szCs w:val="18"/>
        </w:rPr>
        <w:t>.中国企业的工资变化趋势与决定机制研究[J].中国工业经济,2010(03):42-53.</w:t>
      </w:r>
    </w:p>
    <w:p w:rsidR="00984CD8" w:rsidRPr="00984CD8" w:rsidRDefault="00984CD8" w:rsidP="00984CD8">
      <w:pPr>
        <w:jc w:val="both"/>
        <w:rPr>
          <w:rFonts w:ascii="宋体" w:eastAsia="宋体" w:hAnsi="宋体" w:hint="eastAsia"/>
          <w:sz w:val="18"/>
          <w:szCs w:val="18"/>
        </w:rPr>
      </w:pPr>
      <w:r w:rsidRPr="00984CD8">
        <w:rPr>
          <w:rFonts w:ascii="宋体" w:eastAsia="宋体" w:hAnsi="宋体" w:hint="eastAsia"/>
          <w:sz w:val="18"/>
          <w:szCs w:val="18"/>
        </w:rPr>
        <w:t>[3]郭丽清,蓝康伟,朱思霖,李泓锴,</w:t>
      </w:r>
      <w:proofErr w:type="gramStart"/>
      <w:r w:rsidRPr="00984CD8">
        <w:rPr>
          <w:rFonts w:ascii="宋体" w:eastAsia="宋体" w:hAnsi="宋体" w:hint="eastAsia"/>
          <w:sz w:val="18"/>
          <w:szCs w:val="18"/>
        </w:rPr>
        <w:t>许颖</w:t>
      </w:r>
      <w:proofErr w:type="gramEnd"/>
      <w:r w:rsidRPr="00984CD8">
        <w:rPr>
          <w:rFonts w:ascii="宋体" w:eastAsia="宋体" w:hAnsi="宋体" w:hint="eastAsia"/>
          <w:sz w:val="18"/>
          <w:szCs w:val="18"/>
        </w:rPr>
        <w:t>.基于大数据的互联网行业人才薪资影响因素分析[J].计算机时代,2020(02):9-12+17.</w:t>
      </w:r>
    </w:p>
    <w:p w:rsidR="005D7D0D" w:rsidRDefault="00984CD8" w:rsidP="00984CD8">
      <w:pPr>
        <w:jc w:val="both"/>
        <w:rPr>
          <w:rFonts w:ascii="宋体" w:eastAsia="宋体" w:hAnsi="宋体" w:hint="eastAsia"/>
          <w:b/>
          <w:color w:val="FF0000"/>
          <w:sz w:val="21"/>
          <w:szCs w:val="21"/>
        </w:rPr>
      </w:pPr>
      <w:r w:rsidRPr="00984CD8">
        <w:rPr>
          <w:rFonts w:ascii="宋体" w:eastAsia="宋体" w:hAnsi="宋体" w:hint="eastAsia"/>
          <w:sz w:val="18"/>
          <w:szCs w:val="18"/>
        </w:rPr>
        <w:t>[4]罗长远， 张军. 经济发展中的劳动收入占比：基于中国产业数据的实证研究[J]. 中国社会科学，2009，(4).</w:t>
      </w:r>
    </w:p>
    <w:sectPr w:rsidR="005D7D0D" w:rsidSect="005B4695">
      <w:headerReference w:type="even" r:id="rId9"/>
      <w:type w:val="continuous"/>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D0D" w:rsidRDefault="005D7D0D">
      <w:pPr>
        <w:spacing w:after="0"/>
      </w:pPr>
      <w:r>
        <w:separator/>
      </w:r>
    </w:p>
  </w:endnote>
  <w:endnote w:type="continuationSeparator" w:id="0">
    <w:p w:rsidR="005D7D0D" w:rsidRDefault="005D7D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D0D" w:rsidRDefault="005D7D0D">
      <w:pPr>
        <w:spacing w:after="0"/>
      </w:pPr>
      <w:r>
        <w:separator/>
      </w:r>
    </w:p>
  </w:footnote>
  <w:footnote w:type="continuationSeparator" w:id="0">
    <w:p w:rsidR="005D7D0D" w:rsidRDefault="005D7D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0D" w:rsidRPr="00E50A92" w:rsidRDefault="005D7D0D" w:rsidP="00E50A92">
    <w:pPr>
      <w:pStyle w:val="af1"/>
      <w:jc w:val="left"/>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FA72002"/>
    <w:multiLevelType w:val="hybridMultilevel"/>
    <w:tmpl w:val="383CAF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noPunctuationKerning/>
  <w:characterSpacingControl w:val="doNotCompress"/>
  <w:hdrShapeDefaults>
    <o:shapedefaults v:ext="edit" spidmax="3074"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3163B"/>
    <w:rsid w:val="00046BD9"/>
    <w:rsid w:val="00054FE6"/>
    <w:rsid w:val="00065F87"/>
    <w:rsid w:val="0007521F"/>
    <w:rsid w:val="000A59B1"/>
    <w:rsid w:val="000D28FE"/>
    <w:rsid w:val="000D3421"/>
    <w:rsid w:val="001127F6"/>
    <w:rsid w:val="001201EC"/>
    <w:rsid w:val="00132A8B"/>
    <w:rsid w:val="00133034"/>
    <w:rsid w:val="00144784"/>
    <w:rsid w:val="00145238"/>
    <w:rsid w:val="00146AB7"/>
    <w:rsid w:val="001611D8"/>
    <w:rsid w:val="00170945"/>
    <w:rsid w:val="00170E65"/>
    <w:rsid w:val="00175F84"/>
    <w:rsid w:val="001819DE"/>
    <w:rsid w:val="00196857"/>
    <w:rsid w:val="001B7B77"/>
    <w:rsid w:val="001C0031"/>
    <w:rsid w:val="001F117C"/>
    <w:rsid w:val="001F14BC"/>
    <w:rsid w:val="001F5C3E"/>
    <w:rsid w:val="0022631A"/>
    <w:rsid w:val="00234F25"/>
    <w:rsid w:val="002569B6"/>
    <w:rsid w:val="00262119"/>
    <w:rsid w:val="0027161C"/>
    <w:rsid w:val="00295131"/>
    <w:rsid w:val="002A0C9F"/>
    <w:rsid w:val="002C012B"/>
    <w:rsid w:val="002D1CAD"/>
    <w:rsid w:val="002D23E0"/>
    <w:rsid w:val="002E64DA"/>
    <w:rsid w:val="002E69E9"/>
    <w:rsid w:val="00314D29"/>
    <w:rsid w:val="00323B43"/>
    <w:rsid w:val="0035118C"/>
    <w:rsid w:val="00353E80"/>
    <w:rsid w:val="00355DB1"/>
    <w:rsid w:val="00356246"/>
    <w:rsid w:val="00356B35"/>
    <w:rsid w:val="003629F0"/>
    <w:rsid w:val="00396BDA"/>
    <w:rsid w:val="003A1A54"/>
    <w:rsid w:val="003B2C4E"/>
    <w:rsid w:val="003C0375"/>
    <w:rsid w:val="003D37D8"/>
    <w:rsid w:val="003E3D6E"/>
    <w:rsid w:val="003E56A3"/>
    <w:rsid w:val="003E5DEA"/>
    <w:rsid w:val="004218D3"/>
    <w:rsid w:val="00423B48"/>
    <w:rsid w:val="004244DF"/>
    <w:rsid w:val="00426133"/>
    <w:rsid w:val="00426A12"/>
    <w:rsid w:val="0043152A"/>
    <w:rsid w:val="004358AB"/>
    <w:rsid w:val="004410DF"/>
    <w:rsid w:val="00455E4A"/>
    <w:rsid w:val="004643D6"/>
    <w:rsid w:val="00471492"/>
    <w:rsid w:val="004A1432"/>
    <w:rsid w:val="004A70F7"/>
    <w:rsid w:val="004B077A"/>
    <w:rsid w:val="004B276E"/>
    <w:rsid w:val="004C3DF4"/>
    <w:rsid w:val="004D192B"/>
    <w:rsid w:val="004F0AF9"/>
    <w:rsid w:val="004F2ACA"/>
    <w:rsid w:val="005035CF"/>
    <w:rsid w:val="00517707"/>
    <w:rsid w:val="0052123D"/>
    <w:rsid w:val="005255E5"/>
    <w:rsid w:val="005268B4"/>
    <w:rsid w:val="00554850"/>
    <w:rsid w:val="005A5532"/>
    <w:rsid w:val="005A7831"/>
    <w:rsid w:val="005B0ECC"/>
    <w:rsid w:val="005B2AB9"/>
    <w:rsid w:val="005B4695"/>
    <w:rsid w:val="005D7D0D"/>
    <w:rsid w:val="005E7636"/>
    <w:rsid w:val="005F123B"/>
    <w:rsid w:val="005F3802"/>
    <w:rsid w:val="006502CA"/>
    <w:rsid w:val="00683039"/>
    <w:rsid w:val="006841C4"/>
    <w:rsid w:val="00693E85"/>
    <w:rsid w:val="0069403C"/>
    <w:rsid w:val="00697CD8"/>
    <w:rsid w:val="00697E45"/>
    <w:rsid w:val="006A1ECD"/>
    <w:rsid w:val="006A5F12"/>
    <w:rsid w:val="006B0AFA"/>
    <w:rsid w:val="006C1471"/>
    <w:rsid w:val="006D01C9"/>
    <w:rsid w:val="00704E20"/>
    <w:rsid w:val="00715BDA"/>
    <w:rsid w:val="00731C07"/>
    <w:rsid w:val="00741402"/>
    <w:rsid w:val="00744742"/>
    <w:rsid w:val="00745A61"/>
    <w:rsid w:val="00746742"/>
    <w:rsid w:val="00746FC4"/>
    <w:rsid w:val="0075297D"/>
    <w:rsid w:val="00755B1D"/>
    <w:rsid w:val="00765FFB"/>
    <w:rsid w:val="00766FAB"/>
    <w:rsid w:val="00776502"/>
    <w:rsid w:val="00785F05"/>
    <w:rsid w:val="0078600A"/>
    <w:rsid w:val="007B19A1"/>
    <w:rsid w:val="007B462D"/>
    <w:rsid w:val="007C0248"/>
    <w:rsid w:val="007C7ABE"/>
    <w:rsid w:val="007F3263"/>
    <w:rsid w:val="007F6C9F"/>
    <w:rsid w:val="008070D9"/>
    <w:rsid w:val="00810BB4"/>
    <w:rsid w:val="00846B1B"/>
    <w:rsid w:val="008573D5"/>
    <w:rsid w:val="00860195"/>
    <w:rsid w:val="00877FC8"/>
    <w:rsid w:val="00880E4F"/>
    <w:rsid w:val="008A3CA0"/>
    <w:rsid w:val="008B2DBD"/>
    <w:rsid w:val="008B7726"/>
    <w:rsid w:val="008B776A"/>
    <w:rsid w:val="008D396D"/>
    <w:rsid w:val="008F2195"/>
    <w:rsid w:val="008F42D8"/>
    <w:rsid w:val="009079F3"/>
    <w:rsid w:val="0092235E"/>
    <w:rsid w:val="00935DB1"/>
    <w:rsid w:val="00951CF0"/>
    <w:rsid w:val="009569A3"/>
    <w:rsid w:val="009655B0"/>
    <w:rsid w:val="009710C4"/>
    <w:rsid w:val="00984CD8"/>
    <w:rsid w:val="00991066"/>
    <w:rsid w:val="009A0899"/>
    <w:rsid w:val="009A4F8D"/>
    <w:rsid w:val="00A05569"/>
    <w:rsid w:val="00A13D49"/>
    <w:rsid w:val="00A175A0"/>
    <w:rsid w:val="00A200A8"/>
    <w:rsid w:val="00A226B8"/>
    <w:rsid w:val="00A242BB"/>
    <w:rsid w:val="00A27DFA"/>
    <w:rsid w:val="00A30793"/>
    <w:rsid w:val="00A3289B"/>
    <w:rsid w:val="00A37B7D"/>
    <w:rsid w:val="00A40CBC"/>
    <w:rsid w:val="00A447E6"/>
    <w:rsid w:val="00A53DCC"/>
    <w:rsid w:val="00A56BBC"/>
    <w:rsid w:val="00A815FC"/>
    <w:rsid w:val="00A85C65"/>
    <w:rsid w:val="00A86094"/>
    <w:rsid w:val="00AA0B0C"/>
    <w:rsid w:val="00AA4B32"/>
    <w:rsid w:val="00AC4A0C"/>
    <w:rsid w:val="00AD3015"/>
    <w:rsid w:val="00AD78C1"/>
    <w:rsid w:val="00AF5C53"/>
    <w:rsid w:val="00B10DB9"/>
    <w:rsid w:val="00B110E3"/>
    <w:rsid w:val="00B33B87"/>
    <w:rsid w:val="00B37295"/>
    <w:rsid w:val="00B5088D"/>
    <w:rsid w:val="00B509A4"/>
    <w:rsid w:val="00B5710A"/>
    <w:rsid w:val="00B61CDB"/>
    <w:rsid w:val="00B643C2"/>
    <w:rsid w:val="00B72428"/>
    <w:rsid w:val="00B77B69"/>
    <w:rsid w:val="00B81724"/>
    <w:rsid w:val="00B85C37"/>
    <w:rsid w:val="00BB777A"/>
    <w:rsid w:val="00BC13D7"/>
    <w:rsid w:val="00BC5279"/>
    <w:rsid w:val="00BF1FE2"/>
    <w:rsid w:val="00C13FD2"/>
    <w:rsid w:val="00C33244"/>
    <w:rsid w:val="00C51650"/>
    <w:rsid w:val="00C524FD"/>
    <w:rsid w:val="00C61EA8"/>
    <w:rsid w:val="00C84715"/>
    <w:rsid w:val="00C91F12"/>
    <w:rsid w:val="00C93556"/>
    <w:rsid w:val="00CC7F46"/>
    <w:rsid w:val="00CD18DD"/>
    <w:rsid w:val="00CE1B09"/>
    <w:rsid w:val="00CF7426"/>
    <w:rsid w:val="00CF7A9E"/>
    <w:rsid w:val="00D0323F"/>
    <w:rsid w:val="00D31D50"/>
    <w:rsid w:val="00D50EED"/>
    <w:rsid w:val="00D56A27"/>
    <w:rsid w:val="00D62134"/>
    <w:rsid w:val="00D96FC0"/>
    <w:rsid w:val="00D97D37"/>
    <w:rsid w:val="00DB53F9"/>
    <w:rsid w:val="00DE25C1"/>
    <w:rsid w:val="00DF66AD"/>
    <w:rsid w:val="00E04D7F"/>
    <w:rsid w:val="00E15199"/>
    <w:rsid w:val="00E26DEA"/>
    <w:rsid w:val="00E31A09"/>
    <w:rsid w:val="00E50A92"/>
    <w:rsid w:val="00E57558"/>
    <w:rsid w:val="00E838DC"/>
    <w:rsid w:val="00E879BF"/>
    <w:rsid w:val="00E92AC4"/>
    <w:rsid w:val="00E93ABA"/>
    <w:rsid w:val="00EB22D5"/>
    <w:rsid w:val="00EB7B12"/>
    <w:rsid w:val="00EC28D2"/>
    <w:rsid w:val="00EC61F0"/>
    <w:rsid w:val="00F34918"/>
    <w:rsid w:val="00F60B7E"/>
    <w:rsid w:val="00F746D8"/>
    <w:rsid w:val="00F81581"/>
    <w:rsid w:val="00F837DC"/>
    <w:rsid w:val="00F9124B"/>
    <w:rsid w:val="00FE4CAF"/>
    <w:rsid w:val="025224ED"/>
    <w:rsid w:val="095F1821"/>
    <w:rsid w:val="0B8160C8"/>
    <w:rsid w:val="15F264FE"/>
    <w:rsid w:val="24903351"/>
    <w:rsid w:val="27D5172C"/>
    <w:rsid w:val="33621B91"/>
    <w:rsid w:val="38B75B73"/>
    <w:rsid w:val="3BFC2917"/>
    <w:rsid w:val="4B27224E"/>
    <w:rsid w:val="4CA14097"/>
    <w:rsid w:val="533B3115"/>
    <w:rsid w:val="6DBB7DE5"/>
    <w:rsid w:val="77B462C0"/>
    <w:rsid w:val="7AE97DF9"/>
    <w:rsid w:val="7B5A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4332C0E5"/>
  <w15:chartTrackingRefBased/>
  <w15:docId w15:val="{95371852-F578-4398-9CA3-731DBF03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4CD8"/>
    <w:pPr>
      <w:adjustRightInd w:val="0"/>
      <w:snapToGrid w:val="0"/>
      <w:spacing w:after="200"/>
    </w:pPr>
    <w:rPr>
      <w:rFonts w:ascii="Tahoma" w:eastAsia="微软雅黑" w:hAnsi="Tahoma"/>
      <w:sz w:val="2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qFormat/>
    <w:rPr>
      <w:color w:val="0000FF"/>
      <w:u w:val="single"/>
    </w:rPr>
  </w:style>
  <w:style w:type="character" w:styleId="a4">
    <w:name w:val="annotation reference"/>
    <w:semiHidden/>
    <w:qFormat/>
    <w:rPr>
      <w:sz w:val="21"/>
      <w:szCs w:val="21"/>
    </w:rPr>
  </w:style>
  <w:style w:type="character" w:styleId="a5">
    <w:name w:val="Intense Emphasis"/>
    <w:uiPriority w:val="21"/>
    <w:qFormat/>
    <w:rPr>
      <w:b/>
      <w:bCs/>
      <w:i/>
      <w:iCs/>
      <w:color w:val="4F81BD"/>
    </w:rPr>
  </w:style>
  <w:style w:type="character" w:customStyle="1" w:styleId="a6">
    <w:name w:val="批注框文本 字符"/>
    <w:link w:val="a7"/>
    <w:uiPriority w:val="99"/>
    <w:semiHidden/>
    <w:qFormat/>
    <w:rPr>
      <w:rFonts w:ascii="Tahoma" w:hAnsi="Tahoma"/>
      <w:sz w:val="18"/>
      <w:szCs w:val="18"/>
    </w:rPr>
  </w:style>
  <w:style w:type="character" w:customStyle="1" w:styleId="a8">
    <w:name w:val="正文文本 字符"/>
    <w:link w:val="a9"/>
    <w:rPr>
      <w:rFonts w:ascii="Times New Roman" w:eastAsia="宋体" w:hAnsi="Times New Roman" w:cs="Times New Roman"/>
      <w:kern w:val="2"/>
      <w:sz w:val="21"/>
      <w:szCs w:val="24"/>
    </w:rPr>
  </w:style>
  <w:style w:type="character" w:customStyle="1" w:styleId="aa">
    <w:name w:val="批注主题 字符"/>
    <w:link w:val="ab"/>
    <w:uiPriority w:val="99"/>
    <w:semiHidden/>
    <w:qFormat/>
    <w:rPr>
      <w:rFonts w:ascii="Tahoma" w:eastAsia="微软雅黑" w:hAnsi="Tahoma" w:cs="Times New Roman"/>
      <w:b/>
      <w:bCs/>
      <w:kern w:val="2"/>
      <w:sz w:val="22"/>
      <w:szCs w:val="22"/>
    </w:rPr>
  </w:style>
  <w:style w:type="character" w:customStyle="1" w:styleId="ac">
    <w:name w:val="批注文字 字符"/>
    <w:link w:val="ad"/>
    <w:semiHidden/>
    <w:rPr>
      <w:rFonts w:ascii="Times New Roman" w:eastAsia="宋体" w:hAnsi="Times New Roman" w:cs="Times New Roman"/>
      <w:kern w:val="2"/>
      <w:sz w:val="21"/>
      <w:szCs w:val="24"/>
    </w:rPr>
  </w:style>
  <w:style w:type="character" w:customStyle="1" w:styleId="ae">
    <w:name w:val="页脚 字符"/>
    <w:link w:val="af"/>
    <w:uiPriority w:val="99"/>
    <w:qFormat/>
    <w:rPr>
      <w:rFonts w:ascii="Tahoma" w:hAnsi="Tahoma"/>
      <w:sz w:val="18"/>
      <w:szCs w:val="18"/>
    </w:rPr>
  </w:style>
  <w:style w:type="character" w:customStyle="1" w:styleId="af0">
    <w:name w:val="页眉 字符"/>
    <w:link w:val="af1"/>
    <w:uiPriority w:val="99"/>
    <w:qFormat/>
    <w:rPr>
      <w:rFonts w:ascii="Tahoma" w:hAnsi="Tahoma"/>
      <w:sz w:val="18"/>
      <w:szCs w:val="18"/>
    </w:rPr>
  </w:style>
  <w:style w:type="paragraph" w:styleId="a7">
    <w:name w:val="Balloon Text"/>
    <w:basedOn w:val="a"/>
    <w:link w:val="a6"/>
    <w:uiPriority w:val="99"/>
    <w:unhideWhenUsed/>
    <w:qFormat/>
    <w:pPr>
      <w:spacing w:after="0"/>
    </w:pPr>
    <w:rPr>
      <w:sz w:val="18"/>
      <w:szCs w:val="18"/>
    </w:rPr>
  </w:style>
  <w:style w:type="paragraph" w:styleId="af1">
    <w:name w:val="header"/>
    <w:basedOn w:val="a"/>
    <w:link w:val="af0"/>
    <w:uiPriority w:val="99"/>
    <w:unhideWhenUsed/>
    <w:qFormat/>
    <w:pPr>
      <w:pBdr>
        <w:bottom w:val="single" w:sz="6" w:space="1" w:color="auto"/>
      </w:pBdr>
      <w:tabs>
        <w:tab w:val="center" w:pos="4153"/>
        <w:tab w:val="right" w:pos="8306"/>
      </w:tabs>
      <w:jc w:val="center"/>
    </w:pPr>
    <w:rPr>
      <w:sz w:val="18"/>
      <w:szCs w:val="18"/>
    </w:rPr>
  </w:style>
  <w:style w:type="paragraph" w:styleId="af">
    <w:name w:val="footer"/>
    <w:basedOn w:val="a"/>
    <w:link w:val="ae"/>
    <w:uiPriority w:val="99"/>
    <w:unhideWhenUsed/>
    <w:qFormat/>
    <w:pPr>
      <w:tabs>
        <w:tab w:val="center" w:pos="4153"/>
        <w:tab w:val="right" w:pos="8306"/>
      </w:tabs>
    </w:pPr>
    <w:rPr>
      <w:sz w:val="18"/>
      <w:szCs w:val="18"/>
    </w:rPr>
  </w:style>
  <w:style w:type="paragraph" w:styleId="ab">
    <w:name w:val="annotation subject"/>
    <w:basedOn w:val="ad"/>
    <w:next w:val="ad"/>
    <w:link w:val="aa"/>
    <w:uiPriority w:val="99"/>
    <w:unhideWhenUsed/>
    <w:pPr>
      <w:widowControl/>
      <w:adjustRightInd w:val="0"/>
      <w:snapToGrid w:val="0"/>
      <w:spacing w:after="200"/>
    </w:pPr>
    <w:rPr>
      <w:rFonts w:ascii="Tahoma" w:eastAsia="微软雅黑" w:hAnsi="Tahoma"/>
      <w:b/>
      <w:bCs/>
      <w:kern w:val="0"/>
      <w:sz w:val="22"/>
      <w:szCs w:val="22"/>
    </w:rPr>
  </w:style>
  <w:style w:type="paragraph" w:styleId="a9">
    <w:name w:val="Body Text"/>
    <w:basedOn w:val="a"/>
    <w:link w:val="a8"/>
    <w:qFormat/>
    <w:pPr>
      <w:widowControl w:val="0"/>
      <w:adjustRightInd/>
      <w:snapToGrid/>
      <w:spacing w:after="120"/>
      <w:jc w:val="both"/>
    </w:pPr>
    <w:rPr>
      <w:rFonts w:ascii="Times New Roman" w:eastAsia="宋体" w:hAnsi="Times New Roman"/>
      <w:kern w:val="2"/>
      <w:sz w:val="21"/>
      <w:szCs w:val="24"/>
    </w:rPr>
  </w:style>
  <w:style w:type="paragraph" w:styleId="ad">
    <w:name w:val="annotation text"/>
    <w:basedOn w:val="a"/>
    <w:link w:val="ac"/>
    <w:semiHidden/>
    <w:qFormat/>
    <w:pPr>
      <w:widowControl w:val="0"/>
      <w:adjustRightInd/>
      <w:snapToGrid/>
      <w:spacing w:after="0"/>
    </w:pPr>
    <w:rPr>
      <w:rFonts w:ascii="Times New Roman" w:eastAsia="宋体" w:hAnsi="Times New Roman"/>
      <w:kern w:val="2"/>
      <w:sz w:val="21"/>
      <w:szCs w:val="24"/>
    </w:rPr>
  </w:style>
  <w:style w:type="paragraph" w:customStyle="1" w:styleId="1">
    <w:name w:val="列出段落1"/>
    <w:basedOn w:val="a"/>
    <w:uiPriority w:val="34"/>
    <w:qFormat/>
    <w:pPr>
      <w:widowControl w:val="0"/>
      <w:adjustRightInd/>
      <w:snapToGrid/>
      <w:spacing w:after="0"/>
      <w:ind w:firstLineChars="200" w:firstLine="420"/>
      <w:jc w:val="both"/>
    </w:pPr>
    <w:rPr>
      <w:rFonts w:ascii="Calibri" w:eastAsia="宋体" w:hAnsi="Calibri"/>
      <w:kern w:val="2"/>
      <w:sz w:val="21"/>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styleId="af2">
    <w:name w:val="List Paragraph"/>
    <w:basedOn w:val="a"/>
    <w:uiPriority w:val="34"/>
    <w:qFormat/>
    <w:pPr>
      <w:ind w:firstLineChars="200" w:firstLine="420"/>
    </w:pPr>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iCs/>
      <w:sz w:val="16"/>
      <w:szCs w:val="20"/>
    </w:rPr>
  </w:style>
  <w:style w:type="paragraph" w:customStyle="1" w:styleId="2">
    <w:name w:val="列出段落2"/>
    <w:basedOn w:val="a"/>
    <w:uiPriority w:val="34"/>
    <w:qFormat/>
    <w:pPr>
      <w:ind w:firstLineChars="200" w:firstLine="420"/>
    </w:pPr>
  </w:style>
  <w:style w:type="table" w:styleId="af3">
    <w:name w:val="Table Grid"/>
    <w:basedOn w:val="a1"/>
    <w:uiPriority w:val="39"/>
    <w:rsid w:val="00554850"/>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uiPriority w:val="99"/>
    <w:unhideWhenUsed/>
    <w:rsid w:val="00877F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551</Words>
  <Characters>3143</Characters>
  <Application>Microsoft Office Word</Application>
  <DocSecurity>0</DocSecurity>
  <Lines>26</Lines>
  <Paragraphs>7</Paragraphs>
  <ScaleCrop>false</ScaleCrop>
  <Company>Microsoft</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大白</cp:lastModifiedBy>
  <cp:revision>2</cp:revision>
  <cp:lastPrinted>2019-07-11T06:22:00Z</cp:lastPrinted>
  <dcterms:created xsi:type="dcterms:W3CDTF">2021-04-06T08:13:00Z</dcterms:created>
  <dcterms:modified xsi:type="dcterms:W3CDTF">2021-04-06T08:13:00Z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