
<file path=[Content_Types].xml><?xml version="1.0" encoding="utf-8"?>
<Types xmlns="http://schemas.openxmlformats.org/package/2006/content-types">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04E55" w14:textId="240FAC83" w:rsidR="00256992" w:rsidRPr="00256992" w:rsidRDefault="00256992" w:rsidP="00256992">
      <w:pPr>
        <w:spacing w:beforeLines="100" w:before="360" w:afterLines="100" w:after="360" w:line="220" w:lineRule="atLeast"/>
        <w:rPr>
          <w:rFonts w:ascii="黑体" w:eastAsia="黑体" w:hAnsi="黑体"/>
          <w:sz w:val="32"/>
          <w:szCs w:val="32"/>
        </w:rPr>
      </w:pPr>
      <w:r w:rsidRPr="00256992">
        <w:rPr>
          <w:rFonts w:ascii="黑体" w:eastAsia="黑体" w:hAnsi="黑体" w:hint="eastAsia"/>
          <w:sz w:val="32"/>
          <w:szCs w:val="32"/>
        </w:rPr>
        <w:t>2</w:t>
      </w:r>
      <w:r w:rsidRPr="00256992">
        <w:rPr>
          <w:rFonts w:ascii="黑体" w:eastAsia="黑体" w:hAnsi="黑体"/>
          <w:sz w:val="32"/>
          <w:szCs w:val="32"/>
        </w:rPr>
        <w:t>005</w:t>
      </w:r>
      <w:r w:rsidR="00F30941">
        <w:rPr>
          <w:rFonts w:ascii="黑体" w:eastAsia="黑体" w:hAnsi="黑体" w:hint="eastAsia"/>
          <w:sz w:val="32"/>
          <w:szCs w:val="32"/>
        </w:rPr>
        <w:t>年</w:t>
      </w:r>
      <w:r w:rsidRPr="00256992">
        <w:rPr>
          <w:rFonts w:ascii="黑体" w:eastAsia="黑体" w:hAnsi="黑体"/>
          <w:sz w:val="32"/>
          <w:szCs w:val="32"/>
        </w:rPr>
        <w:t>至</w:t>
      </w:r>
      <w:r w:rsidR="002774DB">
        <w:rPr>
          <w:rFonts w:ascii="黑体" w:eastAsia="黑体" w:hAnsi="黑体"/>
          <w:sz w:val="32"/>
          <w:szCs w:val="32"/>
        </w:rPr>
        <w:t>2</w:t>
      </w:r>
      <w:r w:rsidRPr="00256992">
        <w:rPr>
          <w:rFonts w:ascii="黑体" w:eastAsia="黑体" w:hAnsi="黑体"/>
          <w:sz w:val="32"/>
          <w:szCs w:val="32"/>
        </w:rPr>
        <w:t>018年</w:t>
      </w:r>
      <w:r w:rsidRPr="00256992">
        <w:rPr>
          <w:rFonts w:ascii="黑体" w:eastAsia="黑体" w:hAnsi="黑体" w:hint="eastAsia"/>
          <w:sz w:val="32"/>
          <w:szCs w:val="32"/>
        </w:rPr>
        <w:t>信息技术</w:t>
      </w:r>
      <w:r w:rsidRPr="00256992">
        <w:rPr>
          <w:rFonts w:ascii="黑体" w:eastAsia="黑体" w:hAnsi="黑体"/>
          <w:sz w:val="32"/>
          <w:szCs w:val="32"/>
        </w:rPr>
        <w:t>行业</w:t>
      </w:r>
      <w:r w:rsidRPr="00256992">
        <w:rPr>
          <w:rFonts w:ascii="黑体" w:eastAsia="黑体" w:hAnsi="黑体" w:hint="eastAsia"/>
          <w:sz w:val="32"/>
          <w:szCs w:val="32"/>
        </w:rPr>
        <w:t>薪酬变化数据分析</w:t>
      </w:r>
    </w:p>
    <w:p w14:paraId="31EB9B55" w14:textId="75B065AC" w:rsidR="00000000" w:rsidRPr="004D36D4" w:rsidRDefault="00256992">
      <w:pPr>
        <w:spacing w:afterLines="50" w:after="180" w:line="220" w:lineRule="atLeast"/>
        <w:rPr>
          <w:rFonts w:ascii="宋体" w:eastAsia="宋体" w:hAnsi="宋体"/>
          <w:sz w:val="21"/>
          <w:szCs w:val="21"/>
          <w:vertAlign w:val="superscript"/>
        </w:rPr>
      </w:pPr>
      <w:r>
        <w:rPr>
          <w:rFonts w:ascii="宋体" w:eastAsia="宋体" w:hAnsi="宋体" w:hint="eastAsia"/>
          <w:b/>
          <w:sz w:val="21"/>
          <w:szCs w:val="21"/>
        </w:rPr>
        <w:t>沈佳眉</w:t>
      </w:r>
      <w:r w:rsidR="00116A7B">
        <w:rPr>
          <w:rFonts w:ascii="宋体" w:eastAsia="宋体" w:hAnsi="宋体" w:hint="eastAsia"/>
          <w:sz w:val="21"/>
          <w:szCs w:val="21"/>
          <w:vertAlign w:val="superscript"/>
        </w:rPr>
        <w:t>1</w:t>
      </w:r>
      <w:r w:rsidR="00116A7B">
        <w:rPr>
          <w:rFonts w:ascii="宋体" w:eastAsia="宋体" w:hAnsi="宋体" w:hint="eastAsia"/>
          <w:b/>
          <w:sz w:val="21"/>
          <w:szCs w:val="21"/>
        </w:rPr>
        <w:t xml:space="preserve">  </w:t>
      </w:r>
      <w:r w:rsidR="00116A7B">
        <w:rPr>
          <w:rFonts w:ascii="宋体" w:eastAsia="宋体" w:hAnsi="宋体" w:hint="eastAsia"/>
          <w:color w:val="FF0000"/>
          <w:sz w:val="21"/>
          <w:szCs w:val="21"/>
          <w:bdr w:val="single" w:sz="4" w:space="0" w:color="auto"/>
        </w:rPr>
        <w:t xml:space="preserve"> </w:t>
      </w:r>
      <w:r w:rsidR="00116A7B">
        <w:rPr>
          <w:rFonts w:hint="eastAsia"/>
          <w:color w:val="FF0000"/>
          <w:bdr w:val="single" w:sz="4" w:space="0" w:color="auto"/>
        </w:rPr>
        <w:t xml:space="preserve">       </w:t>
      </w:r>
      <w:r w:rsidR="00116A7B">
        <w:rPr>
          <w:rFonts w:ascii="黑体" w:eastAsia="黑体" w:hAnsi="黑体"/>
          <w:color w:val="FF0000"/>
          <w:sz w:val="36"/>
          <w:szCs w:val="36"/>
        </w:rPr>
        <w:t xml:space="preserve"> </w:t>
      </w:r>
      <w:r w:rsidR="00116A7B">
        <w:rPr>
          <w:rFonts w:hint="eastAsia"/>
          <w:color w:val="FF0000"/>
          <w:bdr w:val="single" w:sz="4" w:space="0" w:color="auto"/>
        </w:rPr>
        <w:t xml:space="preserve">     </w:t>
      </w:r>
    </w:p>
    <w:p w14:paraId="36B2E6EB" w14:textId="6AC8DA84" w:rsidR="00000000" w:rsidRDefault="00116A7B">
      <w:pPr>
        <w:spacing w:after="0" w:line="220" w:lineRule="atLeast"/>
        <w:rPr>
          <w:rFonts w:ascii="宋体" w:eastAsia="宋体" w:hAnsi="宋体"/>
          <w:sz w:val="18"/>
          <w:szCs w:val="18"/>
          <w:vertAlign w:val="superscript"/>
        </w:rPr>
      </w:pPr>
      <w:r>
        <w:rPr>
          <w:rFonts w:ascii="仿宋" w:eastAsia="仿宋" w:hAnsi="仿宋" w:hint="eastAsia"/>
          <w:sz w:val="18"/>
          <w:szCs w:val="18"/>
        </w:rPr>
        <w:t xml:space="preserve">1 </w:t>
      </w:r>
      <w:r w:rsidR="00256992">
        <w:rPr>
          <w:rFonts w:ascii="仿宋" w:eastAsia="仿宋" w:hAnsi="仿宋" w:hint="eastAsia"/>
          <w:sz w:val="18"/>
          <w:szCs w:val="18"/>
        </w:rPr>
        <w:t>大连理工大学</w:t>
      </w:r>
      <w:r>
        <w:rPr>
          <w:rFonts w:ascii="仿宋" w:eastAsia="仿宋" w:hAnsi="仿宋" w:hint="eastAsia"/>
          <w:sz w:val="18"/>
          <w:szCs w:val="18"/>
        </w:rPr>
        <w:t xml:space="preserve"> </w:t>
      </w:r>
      <w:r w:rsidR="00256992">
        <w:rPr>
          <w:rFonts w:ascii="仿宋" w:eastAsia="仿宋" w:hAnsi="仿宋" w:hint="eastAsia"/>
          <w:sz w:val="18"/>
          <w:szCs w:val="18"/>
        </w:rPr>
        <w:t>辽宁</w:t>
      </w:r>
      <w:r>
        <w:rPr>
          <w:rFonts w:ascii="仿宋" w:eastAsia="仿宋" w:hAnsi="仿宋" w:hint="eastAsia"/>
          <w:sz w:val="18"/>
          <w:szCs w:val="18"/>
        </w:rPr>
        <w:t xml:space="preserve"> </w:t>
      </w:r>
      <w:r w:rsidR="00256992">
        <w:rPr>
          <w:rFonts w:ascii="仿宋" w:eastAsia="仿宋" w:hAnsi="仿宋" w:hint="eastAsia"/>
          <w:sz w:val="18"/>
          <w:szCs w:val="18"/>
        </w:rPr>
        <w:t>大连</w:t>
      </w:r>
      <w:r>
        <w:rPr>
          <w:rFonts w:ascii="仿宋" w:eastAsia="仿宋" w:hAnsi="仿宋" w:hint="eastAsia"/>
          <w:sz w:val="18"/>
          <w:szCs w:val="18"/>
        </w:rPr>
        <w:t xml:space="preserve"> </w:t>
      </w:r>
      <w:r w:rsidR="0089479C" w:rsidRPr="0089479C">
        <w:rPr>
          <w:rFonts w:ascii="仿宋" w:eastAsia="仿宋" w:hAnsi="仿宋"/>
          <w:sz w:val="18"/>
          <w:szCs w:val="18"/>
        </w:rPr>
        <w:t>116024</w:t>
      </w:r>
      <w:r>
        <w:rPr>
          <w:rFonts w:ascii="宋体" w:eastAsia="宋体" w:hAnsi="宋体" w:hint="eastAsia"/>
          <w:color w:val="FF0000"/>
          <w:sz w:val="18"/>
          <w:szCs w:val="18"/>
          <w:bdr w:val="single" w:sz="4" w:space="0" w:color="auto"/>
        </w:rPr>
        <w:t xml:space="preserve"> </w:t>
      </w:r>
    </w:p>
    <w:p w14:paraId="56907B70" w14:textId="77777777" w:rsidR="00000000" w:rsidRDefault="00116A7B">
      <w:pPr>
        <w:spacing w:after="0" w:line="220" w:lineRule="atLeast"/>
        <w:jc w:val="both"/>
        <w:rPr>
          <w:rFonts w:ascii="仿宋" w:eastAsia="仿宋" w:hAnsi="仿宋"/>
          <w:sz w:val="21"/>
          <w:szCs w:val="21"/>
        </w:rPr>
      </w:pPr>
    </w:p>
    <w:p w14:paraId="7FDC57D1" w14:textId="03537354" w:rsidR="00000000" w:rsidRPr="004D36D4" w:rsidRDefault="00116A7B">
      <w:pPr>
        <w:spacing w:beforeLines="50" w:before="180" w:afterLines="50" w:after="180" w:line="220" w:lineRule="atLeast"/>
        <w:rPr>
          <w:rFonts w:ascii="仿宋" w:eastAsia="仿宋" w:hAnsi="仿宋"/>
          <w:sz w:val="18"/>
          <w:szCs w:val="18"/>
        </w:rPr>
      </w:pPr>
      <w:r>
        <w:rPr>
          <w:rFonts w:ascii="仿宋" w:eastAsia="仿宋" w:hAnsi="仿宋" w:hint="eastAsia"/>
          <w:b/>
          <w:sz w:val="18"/>
          <w:szCs w:val="18"/>
        </w:rPr>
        <w:t>摘</w:t>
      </w:r>
      <w:r>
        <w:rPr>
          <w:rFonts w:ascii="仿宋" w:eastAsia="仿宋" w:hAnsi="仿宋" w:hint="eastAsia"/>
          <w:b/>
          <w:sz w:val="18"/>
          <w:szCs w:val="18"/>
        </w:rPr>
        <w:t xml:space="preserve"> </w:t>
      </w:r>
      <w:r>
        <w:rPr>
          <w:rFonts w:ascii="仿宋" w:eastAsia="仿宋" w:hAnsi="仿宋" w:hint="eastAsia"/>
          <w:b/>
          <w:sz w:val="18"/>
          <w:szCs w:val="18"/>
        </w:rPr>
        <w:t>要</w:t>
      </w:r>
      <w:r>
        <w:rPr>
          <w:rFonts w:ascii="仿宋" w:eastAsia="仿宋" w:hAnsi="仿宋" w:hint="eastAsia"/>
          <w:color w:val="FF0000"/>
          <w:sz w:val="18"/>
          <w:szCs w:val="18"/>
        </w:rPr>
        <w:t xml:space="preserve"> </w:t>
      </w:r>
      <w:r w:rsidR="004D36D4" w:rsidRPr="004D36D4">
        <w:rPr>
          <w:rFonts w:ascii="仿宋" w:eastAsia="仿宋" w:hAnsi="仿宋" w:hint="eastAsia"/>
          <w:sz w:val="18"/>
          <w:szCs w:val="18"/>
        </w:rPr>
        <w:t>现代社会</w:t>
      </w:r>
      <w:r w:rsidR="006470F0">
        <w:rPr>
          <w:rFonts w:ascii="仿宋" w:eastAsia="仿宋" w:hAnsi="仿宋" w:hint="eastAsia"/>
          <w:sz w:val="18"/>
          <w:szCs w:val="18"/>
        </w:rPr>
        <w:t>正</w:t>
      </w:r>
      <w:r w:rsidR="004D36D4" w:rsidRPr="004D36D4">
        <w:rPr>
          <w:rFonts w:ascii="仿宋" w:eastAsia="仿宋" w:hAnsi="仿宋" w:hint="eastAsia"/>
          <w:sz w:val="18"/>
          <w:szCs w:val="18"/>
        </w:rPr>
        <w:t>处于信息时代，信息技术行业受到大众的青睐。薪酬作为人们选择行业的一大重要指标，可以看出未来行业的发展前景，辅助人们做出选择，因而备受关注。分析一段时间的信息技术行业薪酬变化趋势就十分具有意义。通过分析2005年至2018年这14年间信息产业的劳动薪酬数据，研究其与城镇居民收入增速、企业个数增长趋势、分析从业人员总数、从业人员学历分布、从业人员类别比例和企业利润总额增长趋势之间的关系，得出信息技术行业的薪酬变化受到国家大环境、从业人员类别和企业利润等因素的影响。可以以2014、2016年作为分界点将这14年分为三个时间段。在这14年间，虽然</w:t>
      </w:r>
      <w:r w:rsidR="00EE6F37">
        <w:rPr>
          <w:rFonts w:ascii="仿宋" w:eastAsia="仿宋" w:hAnsi="仿宋" w:hint="eastAsia"/>
          <w:sz w:val="18"/>
          <w:szCs w:val="18"/>
        </w:rPr>
        <w:t>薪酬</w:t>
      </w:r>
      <w:r w:rsidR="004D36D4" w:rsidRPr="004D36D4">
        <w:rPr>
          <w:rFonts w:ascii="仿宋" w:eastAsia="仿宋" w:hAnsi="仿宋" w:hint="eastAsia"/>
          <w:sz w:val="18"/>
          <w:szCs w:val="18"/>
        </w:rPr>
        <w:t>曾出现一至两年的增速减缓现象，但是总体上看，信息技术行业仍然是一个充满活力，投资良好且面向增长的行业。</w:t>
      </w:r>
    </w:p>
    <w:p w14:paraId="4321EEDA" w14:textId="1B0B0036" w:rsidR="00000000" w:rsidRDefault="00116A7B">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关键词：</w:t>
      </w:r>
      <w:r>
        <w:rPr>
          <w:rFonts w:ascii="宋体" w:eastAsia="宋体" w:hAnsi="宋体" w:hint="eastAsia"/>
          <w:b/>
          <w:sz w:val="18"/>
          <w:szCs w:val="18"/>
        </w:rPr>
        <w:t xml:space="preserve">  </w:t>
      </w:r>
      <w:r w:rsidR="004D36D4">
        <w:rPr>
          <w:rFonts w:ascii="宋体" w:eastAsia="宋体" w:hAnsi="宋体" w:hint="eastAsia"/>
          <w:sz w:val="18"/>
          <w:szCs w:val="18"/>
        </w:rPr>
        <w:t>信息技术行业</w:t>
      </w:r>
      <w:r>
        <w:rPr>
          <w:rFonts w:ascii="宋体" w:eastAsia="宋体" w:hAnsi="宋体" w:hint="eastAsia"/>
          <w:sz w:val="18"/>
          <w:szCs w:val="18"/>
        </w:rPr>
        <w:t>；</w:t>
      </w:r>
      <w:r w:rsidR="004D36D4">
        <w:rPr>
          <w:rFonts w:ascii="宋体" w:eastAsia="宋体" w:hAnsi="宋体" w:hint="eastAsia"/>
          <w:sz w:val="18"/>
          <w:szCs w:val="18"/>
        </w:rPr>
        <w:t>薪酬</w:t>
      </w:r>
      <w:r>
        <w:rPr>
          <w:rFonts w:ascii="宋体" w:eastAsia="宋体" w:hAnsi="宋体" w:hint="eastAsia"/>
          <w:sz w:val="18"/>
          <w:szCs w:val="18"/>
        </w:rPr>
        <w:t>；</w:t>
      </w:r>
      <w:r w:rsidR="004D36D4">
        <w:rPr>
          <w:rFonts w:ascii="宋体" w:eastAsia="宋体" w:hAnsi="宋体" w:hint="eastAsia"/>
          <w:sz w:val="18"/>
          <w:szCs w:val="18"/>
        </w:rPr>
        <w:t>数据分析；图像分析；趋势预测</w:t>
      </w:r>
      <w:r>
        <w:rPr>
          <w:rFonts w:ascii="宋体" w:eastAsia="宋体" w:hAnsi="宋体" w:hint="eastAsia"/>
          <w:sz w:val="18"/>
          <w:szCs w:val="18"/>
        </w:rPr>
        <w:t xml:space="preserve"> </w:t>
      </w:r>
    </w:p>
    <w:p w14:paraId="07D4F9D7" w14:textId="3DF23AFD" w:rsidR="00000000" w:rsidRDefault="00116A7B">
      <w:pPr>
        <w:pStyle w:val="DepartCorrespond"/>
        <w:ind w:left="106" w:hanging="106"/>
        <w:rPr>
          <w:b/>
        </w:rPr>
      </w:pPr>
      <w:r>
        <w:rPr>
          <w:rFonts w:hint="eastAsia"/>
          <w:b/>
        </w:rPr>
        <w:t>中图法分类号</w:t>
      </w:r>
      <w:r>
        <w:rPr>
          <w:rFonts w:hint="eastAsia"/>
          <w:b/>
        </w:rPr>
        <w:t xml:space="preserve"> </w:t>
      </w:r>
      <w:r>
        <w:rPr>
          <w:rFonts w:hint="eastAsia"/>
        </w:rPr>
        <w:t xml:space="preserve"> </w:t>
      </w:r>
      <w:r w:rsidR="00AE1758" w:rsidRPr="00AE1758">
        <w:t>TP391</w:t>
      </w:r>
    </w:p>
    <w:p w14:paraId="3DEA9588" w14:textId="7412010C" w:rsidR="00000000" w:rsidRPr="00D1028C" w:rsidRDefault="00116A7B" w:rsidP="00D1028C">
      <w:pPr>
        <w:pStyle w:val="DepartCorrespond"/>
        <w:ind w:left="106" w:hanging="106"/>
        <w:rPr>
          <w:rFonts w:hint="eastAsia"/>
          <w:b/>
        </w:rPr>
      </w:pPr>
      <w:r>
        <w:rPr>
          <w:rFonts w:hint="eastAsia"/>
          <w:b/>
        </w:rPr>
        <w:t xml:space="preserve">    </w:t>
      </w:r>
    </w:p>
    <w:p w14:paraId="4F85154A" w14:textId="0C4B4033" w:rsidR="00A4393A" w:rsidRDefault="00A4393A" w:rsidP="00A4393A">
      <w:pPr>
        <w:pStyle w:val="DepartCorrespond"/>
        <w:ind w:firstLineChars="0"/>
        <w:rPr>
          <w:rFonts w:ascii="黑体" w:eastAsia="黑体" w:hAnsi="黑体"/>
          <w:color w:val="FF0000"/>
          <w:sz w:val="21"/>
          <w:szCs w:val="21"/>
        </w:rPr>
        <w:sectPr w:rsidR="00A4393A" w:rsidSect="00D1028C">
          <w:headerReference w:type="default" r:id="rId8"/>
          <w:headerReference w:type="first" r:id="rId9"/>
          <w:footerReference w:type="first" r:id="rId10"/>
          <w:pgSz w:w="11906" w:h="16838"/>
          <w:pgMar w:top="720" w:right="720" w:bottom="720" w:left="720" w:header="708" w:footer="708" w:gutter="0"/>
          <w:cols w:space="720"/>
          <w:titlePg/>
          <w:docGrid w:type="lines" w:linePitch="360"/>
        </w:sectPr>
      </w:pPr>
    </w:p>
    <w:p w14:paraId="3F8E90E6" w14:textId="0F5ECEFA" w:rsidR="00000000" w:rsidRPr="0055164A" w:rsidRDefault="00856CC1">
      <w:pPr>
        <w:pStyle w:val="ad"/>
        <w:numPr>
          <w:ilvl w:val="0"/>
          <w:numId w:val="1"/>
        </w:numPr>
      </w:pPr>
      <w:r w:rsidRPr="00856CC1">
        <w:rPr>
          <w:rFonts w:ascii="黑体" w:eastAsia="黑体" w:hAnsi="黑体" w:hint="eastAsia"/>
          <w:szCs w:val="21"/>
        </w:rPr>
        <w:t>引言</w:t>
      </w:r>
    </w:p>
    <w:p w14:paraId="31C261E2" w14:textId="3B52C1EE" w:rsidR="0055164A" w:rsidRPr="0055164A" w:rsidRDefault="0055164A" w:rsidP="0055164A">
      <w:pPr>
        <w:pStyle w:val="a9"/>
        <w:spacing w:after="0" w:line="400" w:lineRule="exact"/>
        <w:ind w:firstLineChars="200" w:firstLine="360"/>
        <w:rPr>
          <w:rFonts w:ascii="宋体" w:hAnsi="宋体"/>
          <w:sz w:val="18"/>
          <w:szCs w:val="18"/>
        </w:rPr>
      </w:pPr>
      <w:r w:rsidRPr="0055164A">
        <w:rPr>
          <w:rFonts w:ascii="宋体" w:hAnsi="宋体" w:hint="eastAsia"/>
          <w:sz w:val="18"/>
          <w:szCs w:val="18"/>
        </w:rPr>
        <w:t>现代社会已经进入信息时代，</w:t>
      </w:r>
      <w:r w:rsidRPr="0055164A">
        <w:rPr>
          <w:rFonts w:ascii="宋体" w:hAnsi="宋体"/>
          <w:sz w:val="18"/>
          <w:szCs w:val="18"/>
        </w:rPr>
        <w:t>科学技术是生产力的观念早已深入人心。人们在享受着科技的发展所带来的生活质量的</w:t>
      </w:r>
      <w:r w:rsidRPr="0055164A">
        <w:rPr>
          <w:rFonts w:ascii="宋体" w:hAnsi="宋体" w:hint="eastAsia"/>
          <w:sz w:val="18"/>
          <w:szCs w:val="18"/>
        </w:rPr>
        <w:t>提高，同时也受惠于科技产业的发展提供的诸多机会，包括就业机会。各个高校的计算机相关专业招生火爆，也有很多原本从事非计算机类职业的人转行进入信息技术行业。薪酬作为大众关注的对象，</w:t>
      </w:r>
      <w:r w:rsidR="003D7953" w:rsidRPr="003D7953">
        <w:rPr>
          <w:rFonts w:ascii="宋体" w:hAnsi="宋体" w:hint="eastAsia"/>
          <w:sz w:val="18"/>
          <w:szCs w:val="18"/>
        </w:rPr>
        <w:t>分析</w:t>
      </w:r>
      <w:r w:rsidRPr="0055164A">
        <w:rPr>
          <w:rFonts w:ascii="宋体" w:hAnsi="宋体" w:hint="eastAsia"/>
          <w:sz w:val="18"/>
          <w:szCs w:val="18"/>
        </w:rPr>
        <w:t>其变化趋势可以帮助相关人员预测未来行业的发展前景，帮助正在选择未来发展方向的人更好地做出选择。</w:t>
      </w:r>
    </w:p>
    <w:p w14:paraId="4ED4ACE7" w14:textId="1EA3DAC4" w:rsidR="00856CC1" w:rsidRDefault="00856CC1" w:rsidP="00856CC1">
      <w:pPr>
        <w:pStyle w:val="ad"/>
        <w:numPr>
          <w:ilvl w:val="0"/>
          <w:numId w:val="1"/>
        </w:numPr>
        <w:rPr>
          <w:rFonts w:ascii="黑体" w:eastAsia="黑体" w:hAnsi="黑体"/>
          <w:szCs w:val="21"/>
        </w:rPr>
      </w:pPr>
      <w:r w:rsidRPr="00E51B1B">
        <w:rPr>
          <w:rFonts w:ascii="黑体" w:eastAsia="黑体" w:hAnsi="黑体" w:hint="eastAsia"/>
          <w:szCs w:val="21"/>
        </w:rPr>
        <w:t>分析结果</w:t>
      </w:r>
    </w:p>
    <w:p w14:paraId="2B0EC387" w14:textId="77777777" w:rsidR="00F76857" w:rsidRPr="00F76857" w:rsidRDefault="00F76857" w:rsidP="00F76857">
      <w:pPr>
        <w:pStyle w:val="a9"/>
        <w:spacing w:after="0" w:line="400" w:lineRule="exact"/>
        <w:ind w:firstLineChars="200" w:firstLine="360"/>
        <w:rPr>
          <w:rFonts w:ascii="宋体" w:hAnsi="宋体" w:hint="eastAsia"/>
          <w:sz w:val="18"/>
          <w:szCs w:val="18"/>
        </w:rPr>
      </w:pPr>
      <w:r w:rsidRPr="00F76857">
        <w:rPr>
          <w:rFonts w:ascii="宋体" w:hAnsi="宋体" w:hint="eastAsia"/>
          <w:sz w:val="18"/>
          <w:szCs w:val="18"/>
        </w:rPr>
        <w:t>本研究数据来源于国</w:t>
      </w:r>
      <w:proofErr w:type="gramStart"/>
      <w:r w:rsidRPr="00F76857">
        <w:rPr>
          <w:rFonts w:ascii="宋体" w:hAnsi="宋体" w:hint="eastAsia"/>
          <w:sz w:val="18"/>
          <w:szCs w:val="18"/>
        </w:rPr>
        <w:t>研网数据</w:t>
      </w:r>
      <w:proofErr w:type="gramEnd"/>
      <w:r w:rsidRPr="00F76857">
        <w:rPr>
          <w:rFonts w:ascii="宋体" w:hAnsi="宋体" w:hint="eastAsia"/>
          <w:sz w:val="18"/>
          <w:szCs w:val="18"/>
        </w:rPr>
        <w:t>统计库中的信息产业2005年至2018年年度数据。</w:t>
      </w:r>
    </w:p>
    <w:p w14:paraId="0F0C65BA" w14:textId="4031F738" w:rsidR="00F76857" w:rsidRPr="00F76857" w:rsidRDefault="00F76857" w:rsidP="00F76857">
      <w:pPr>
        <w:pStyle w:val="a9"/>
        <w:spacing w:after="0" w:line="400" w:lineRule="exact"/>
        <w:ind w:firstLineChars="200" w:firstLine="360"/>
        <w:rPr>
          <w:rFonts w:ascii="宋体" w:hAnsi="宋体" w:hint="eastAsia"/>
          <w:sz w:val="18"/>
          <w:szCs w:val="18"/>
        </w:rPr>
      </w:pPr>
      <w:r w:rsidRPr="00F76857">
        <w:rPr>
          <w:rFonts w:ascii="宋体" w:hAnsi="宋体" w:hint="eastAsia"/>
          <w:sz w:val="18"/>
          <w:szCs w:val="18"/>
        </w:rPr>
        <w:t>通过对比城镇居民收入增速和劳动薪酬增长率，分析得出除个别年份以外，软件产业劳动者的薪酬</w:t>
      </w:r>
      <w:r w:rsidR="0019544D">
        <w:rPr>
          <w:rFonts w:ascii="宋体" w:hAnsi="宋体" w:hint="eastAsia"/>
          <w:sz w:val="18"/>
          <w:szCs w:val="18"/>
        </w:rPr>
        <w:t>增速</w:t>
      </w:r>
      <w:r w:rsidRPr="00F76857">
        <w:rPr>
          <w:rFonts w:ascii="宋体" w:hAnsi="宋体" w:hint="eastAsia"/>
          <w:sz w:val="18"/>
          <w:szCs w:val="18"/>
        </w:rPr>
        <w:t>都显著高于城镇居民的收入年均实际增速；通过对比企业个数增长趋势和劳动薪酬增长趋势，分析得出</w:t>
      </w:r>
      <w:r w:rsidR="00414CD8">
        <w:rPr>
          <w:rFonts w:ascii="宋体" w:hAnsi="宋体" w:hint="eastAsia"/>
          <w:sz w:val="18"/>
          <w:szCs w:val="18"/>
        </w:rPr>
        <w:t>受</w:t>
      </w:r>
      <w:r w:rsidRPr="00F76857">
        <w:rPr>
          <w:rFonts w:ascii="宋体" w:hAnsi="宋体" w:hint="eastAsia"/>
          <w:sz w:val="18"/>
          <w:szCs w:val="18"/>
        </w:rPr>
        <w:t>到国家大政策影响的企业个数会一定程度影响劳动薪酬；通过分析从业人员总数和学历分布变化对劳动薪酬变化的影响，得出虽然劳动薪酬会影响学生、社会人员对未来、当前所从事行业的选择，但是从业人员的学历分布变化不会对劳动薪酬产生直接的影响；通过对比劳动薪酬增长趋势和从业人员类别比例，分析得出管理人员的人数变化和薪酬间的相互影响较小，而技术含量高的软件开发人员和薪酬间的相互影响较大；通过对比企业利润总额增长趋势和劳动薪酬增长趋势，分析得出劳动者薪酬的多寡和企业利润息息相</w:t>
      </w:r>
      <w:r w:rsidRPr="00F76857">
        <w:rPr>
          <w:rFonts w:ascii="宋体" w:hAnsi="宋体" w:hint="eastAsia"/>
          <w:sz w:val="18"/>
          <w:szCs w:val="18"/>
        </w:rPr>
        <w:t>关。</w:t>
      </w:r>
    </w:p>
    <w:p w14:paraId="0AB2C3B6" w14:textId="725BAB65" w:rsidR="00856CC1" w:rsidRDefault="00856CC1" w:rsidP="00856CC1">
      <w:pPr>
        <w:pStyle w:val="ad"/>
        <w:numPr>
          <w:ilvl w:val="0"/>
          <w:numId w:val="1"/>
        </w:numPr>
        <w:rPr>
          <w:rFonts w:ascii="黑体" w:eastAsia="黑体" w:hAnsi="黑体"/>
          <w:szCs w:val="21"/>
        </w:rPr>
      </w:pPr>
      <w:r w:rsidRPr="00856CC1">
        <w:rPr>
          <w:rFonts w:ascii="黑体" w:eastAsia="黑体" w:hAnsi="黑体" w:hint="eastAsia"/>
          <w:szCs w:val="21"/>
        </w:rPr>
        <w:t>分析方法</w:t>
      </w:r>
    </w:p>
    <w:p w14:paraId="2A5EA5F6" w14:textId="3EE1ADF1" w:rsidR="00856CC1" w:rsidRDefault="00856CC1" w:rsidP="00856CC1">
      <w:pPr>
        <w:pStyle w:val="DepartCorrespond"/>
        <w:numPr>
          <w:ilvl w:val="1"/>
          <w:numId w:val="1"/>
        </w:numPr>
        <w:ind w:left="119" w:hanging="119"/>
        <w:rPr>
          <w:rFonts w:ascii="黑体" w:eastAsia="黑体" w:hAnsi="黑体"/>
          <w:sz w:val="18"/>
          <w:szCs w:val="18"/>
        </w:rPr>
      </w:pPr>
      <w:r w:rsidRPr="00856CC1">
        <w:rPr>
          <w:rFonts w:ascii="黑体" w:eastAsia="黑体" w:hAnsi="黑体" w:hint="eastAsia"/>
          <w:sz w:val="18"/>
          <w:szCs w:val="18"/>
        </w:rPr>
        <w:t>城镇居民收入增速和劳动薪酬增长率的对比</w:t>
      </w:r>
    </w:p>
    <w:p w14:paraId="5053D42C" w14:textId="2B4FB1A9" w:rsidR="00970EEF" w:rsidRDefault="00970EEF" w:rsidP="00970EEF">
      <w:pPr>
        <w:pStyle w:val="a9"/>
        <w:spacing w:after="0" w:line="400" w:lineRule="exact"/>
        <w:ind w:firstLineChars="200" w:firstLine="360"/>
        <w:rPr>
          <w:rFonts w:ascii="宋体" w:hAnsi="宋体"/>
          <w:sz w:val="18"/>
          <w:szCs w:val="18"/>
        </w:rPr>
      </w:pPr>
      <w:r w:rsidRPr="00970EEF">
        <w:rPr>
          <w:rFonts w:ascii="宋体" w:hAnsi="宋体" w:hint="eastAsia"/>
          <w:sz w:val="18"/>
          <w:szCs w:val="18"/>
        </w:rPr>
        <w:t>本研究数据显示，城镇居民在2</w:t>
      </w:r>
      <w:r w:rsidRPr="00970EEF">
        <w:rPr>
          <w:rFonts w:ascii="宋体" w:hAnsi="宋体"/>
          <w:sz w:val="18"/>
          <w:szCs w:val="18"/>
        </w:rPr>
        <w:t>001</w:t>
      </w:r>
      <w:r w:rsidR="0051252E">
        <w:rPr>
          <w:rFonts w:ascii="宋体" w:hAnsi="宋体" w:hint="eastAsia"/>
          <w:sz w:val="18"/>
          <w:szCs w:val="18"/>
        </w:rPr>
        <w:t>年</w:t>
      </w:r>
      <w:r w:rsidRPr="00970EEF">
        <w:rPr>
          <w:rFonts w:ascii="宋体" w:hAnsi="宋体" w:hint="eastAsia"/>
          <w:sz w:val="18"/>
          <w:szCs w:val="18"/>
        </w:rPr>
        <w:t>至2</w:t>
      </w:r>
      <w:r w:rsidRPr="00970EEF">
        <w:rPr>
          <w:rFonts w:ascii="宋体" w:hAnsi="宋体"/>
          <w:sz w:val="18"/>
          <w:szCs w:val="18"/>
        </w:rPr>
        <w:t>010</w:t>
      </w:r>
      <w:r w:rsidRPr="00970EEF">
        <w:rPr>
          <w:rFonts w:ascii="宋体" w:hAnsi="宋体" w:hint="eastAsia"/>
          <w:sz w:val="18"/>
          <w:szCs w:val="18"/>
        </w:rPr>
        <w:t>年收入年均实际增速为9</w:t>
      </w:r>
      <w:r w:rsidRPr="00970EEF">
        <w:rPr>
          <w:rFonts w:ascii="宋体" w:hAnsi="宋体"/>
          <w:sz w:val="18"/>
          <w:szCs w:val="18"/>
        </w:rPr>
        <w:t>.5</w:t>
      </w:r>
      <w:r w:rsidRPr="00970EEF">
        <w:rPr>
          <w:rFonts w:ascii="宋体" w:hAnsi="宋体" w:hint="eastAsia"/>
          <w:sz w:val="18"/>
          <w:szCs w:val="18"/>
        </w:rPr>
        <w:t>%，2</w:t>
      </w:r>
      <w:r w:rsidRPr="00970EEF">
        <w:rPr>
          <w:rFonts w:ascii="宋体" w:hAnsi="宋体"/>
          <w:sz w:val="18"/>
          <w:szCs w:val="18"/>
        </w:rPr>
        <w:t>011</w:t>
      </w:r>
      <w:r w:rsidR="0051252E">
        <w:rPr>
          <w:rFonts w:ascii="宋体" w:hAnsi="宋体" w:hint="eastAsia"/>
          <w:sz w:val="18"/>
          <w:szCs w:val="18"/>
        </w:rPr>
        <w:t>年</w:t>
      </w:r>
      <w:r w:rsidRPr="00970EEF">
        <w:rPr>
          <w:rFonts w:ascii="宋体" w:hAnsi="宋体" w:hint="eastAsia"/>
          <w:sz w:val="18"/>
          <w:szCs w:val="18"/>
        </w:rPr>
        <w:t>至2</w:t>
      </w:r>
      <w:r w:rsidRPr="00970EEF">
        <w:rPr>
          <w:rFonts w:ascii="宋体" w:hAnsi="宋体"/>
          <w:sz w:val="18"/>
          <w:szCs w:val="18"/>
        </w:rPr>
        <w:t>019</w:t>
      </w:r>
      <w:r w:rsidRPr="00970EEF">
        <w:rPr>
          <w:rFonts w:ascii="宋体" w:hAnsi="宋体" w:hint="eastAsia"/>
          <w:sz w:val="18"/>
          <w:szCs w:val="18"/>
        </w:rPr>
        <w:t>年收入年均实际增速为6</w:t>
      </w:r>
      <w:r w:rsidRPr="00970EEF">
        <w:rPr>
          <w:rFonts w:ascii="宋体" w:hAnsi="宋体"/>
          <w:sz w:val="18"/>
          <w:szCs w:val="18"/>
        </w:rPr>
        <w:t>.8</w:t>
      </w:r>
      <w:r w:rsidRPr="00970EEF">
        <w:rPr>
          <w:rFonts w:ascii="宋体" w:hAnsi="宋体" w:hint="eastAsia"/>
          <w:sz w:val="18"/>
          <w:szCs w:val="18"/>
        </w:rPr>
        <w:t>%，2</w:t>
      </w:r>
      <w:r w:rsidRPr="00970EEF">
        <w:rPr>
          <w:rFonts w:ascii="宋体" w:hAnsi="宋体"/>
          <w:sz w:val="18"/>
          <w:szCs w:val="18"/>
        </w:rPr>
        <w:t>001</w:t>
      </w:r>
      <w:r w:rsidR="0051252E">
        <w:rPr>
          <w:rFonts w:ascii="宋体" w:hAnsi="宋体" w:hint="eastAsia"/>
          <w:sz w:val="18"/>
          <w:szCs w:val="18"/>
        </w:rPr>
        <w:t>年</w:t>
      </w:r>
      <w:r w:rsidRPr="00970EEF">
        <w:rPr>
          <w:rFonts w:ascii="宋体" w:hAnsi="宋体" w:hint="eastAsia"/>
          <w:sz w:val="18"/>
          <w:szCs w:val="18"/>
        </w:rPr>
        <w:t>至2</w:t>
      </w:r>
      <w:r w:rsidRPr="00970EEF">
        <w:rPr>
          <w:rFonts w:ascii="宋体" w:hAnsi="宋体"/>
          <w:sz w:val="18"/>
          <w:szCs w:val="18"/>
        </w:rPr>
        <w:t>019</w:t>
      </w:r>
      <w:r w:rsidRPr="00970EEF">
        <w:rPr>
          <w:rFonts w:ascii="宋体" w:hAnsi="宋体" w:hint="eastAsia"/>
          <w:sz w:val="18"/>
          <w:szCs w:val="18"/>
        </w:rPr>
        <w:t>年收入年均实际增速为8</w:t>
      </w:r>
      <w:r w:rsidRPr="00970EEF">
        <w:rPr>
          <w:rFonts w:ascii="宋体" w:hAnsi="宋体"/>
          <w:sz w:val="18"/>
          <w:szCs w:val="18"/>
        </w:rPr>
        <w:t>.2</w:t>
      </w:r>
      <w:r w:rsidRPr="00970EEF">
        <w:rPr>
          <w:rFonts w:ascii="宋体" w:hAnsi="宋体" w:hint="eastAsia"/>
          <w:sz w:val="18"/>
          <w:szCs w:val="18"/>
        </w:rPr>
        <w:t>%。而软件产业劳动者薪酬各年同比增长率（</w:t>
      </w:r>
      <w:r>
        <w:rPr>
          <w:rFonts w:ascii="宋体" w:hAnsi="宋体" w:hint="eastAsia"/>
          <w:sz w:val="18"/>
          <w:szCs w:val="18"/>
        </w:rPr>
        <w:t>如表1所列</w:t>
      </w:r>
      <w:r w:rsidRPr="00970EEF">
        <w:rPr>
          <w:rFonts w:ascii="宋体" w:hAnsi="宋体" w:hint="eastAsia"/>
          <w:sz w:val="18"/>
          <w:szCs w:val="18"/>
        </w:rPr>
        <w:t>）除2</w:t>
      </w:r>
      <w:r w:rsidRPr="00970EEF">
        <w:rPr>
          <w:rFonts w:ascii="宋体" w:hAnsi="宋体"/>
          <w:sz w:val="18"/>
          <w:szCs w:val="18"/>
        </w:rPr>
        <w:t>007</w:t>
      </w:r>
      <w:r w:rsidR="0051252E">
        <w:rPr>
          <w:rFonts w:ascii="宋体" w:hAnsi="宋体" w:hint="eastAsia"/>
          <w:sz w:val="18"/>
          <w:szCs w:val="18"/>
        </w:rPr>
        <w:t>年</w:t>
      </w:r>
      <w:r w:rsidRPr="00970EEF">
        <w:rPr>
          <w:rFonts w:ascii="宋体" w:hAnsi="宋体" w:hint="eastAsia"/>
          <w:sz w:val="18"/>
          <w:szCs w:val="18"/>
        </w:rPr>
        <w:t>、</w:t>
      </w:r>
      <w:r w:rsidRPr="00970EEF">
        <w:rPr>
          <w:rFonts w:ascii="宋体" w:hAnsi="宋体"/>
          <w:sz w:val="18"/>
          <w:szCs w:val="18"/>
        </w:rPr>
        <w:t>2015</w:t>
      </w:r>
      <w:r w:rsidRPr="00970EEF">
        <w:rPr>
          <w:rFonts w:ascii="宋体" w:hAnsi="宋体" w:hint="eastAsia"/>
          <w:sz w:val="18"/>
          <w:szCs w:val="18"/>
        </w:rPr>
        <w:t>年之外，都显著高于城镇居民的收入年均实际增速。可见软件产业是一个充满活力的产业，尽管近三年增长率下降，但是依靠其庞大的基数，软件行业的薪酬将会保持较高水准。</w:t>
      </w:r>
    </w:p>
    <w:p w14:paraId="2B954144" w14:textId="508CB6E8" w:rsidR="00970EEF" w:rsidRDefault="00970EEF" w:rsidP="00970EEF">
      <w:pPr>
        <w:pStyle w:val="a9"/>
        <w:spacing w:after="0" w:line="240" w:lineRule="atLeast"/>
        <w:jc w:val="center"/>
        <w:rPr>
          <w:color w:val="FF0000"/>
          <w:sz w:val="18"/>
          <w:szCs w:val="18"/>
        </w:rPr>
      </w:pPr>
      <w:r>
        <w:rPr>
          <w:rFonts w:ascii="宋体" w:hAnsi="宋体" w:hint="eastAsia"/>
          <w:sz w:val="15"/>
          <w:szCs w:val="15"/>
        </w:rPr>
        <w:t xml:space="preserve">表1   </w:t>
      </w:r>
      <w:r>
        <w:rPr>
          <w:rFonts w:ascii="宋体" w:hAnsi="宋体" w:hint="eastAsia"/>
          <w:sz w:val="15"/>
          <w:szCs w:val="15"/>
        </w:rPr>
        <w:t>2</w:t>
      </w:r>
      <w:r>
        <w:rPr>
          <w:rFonts w:ascii="宋体" w:hAnsi="宋体"/>
          <w:sz w:val="15"/>
          <w:szCs w:val="15"/>
        </w:rPr>
        <w:t>005</w:t>
      </w:r>
      <w:r>
        <w:rPr>
          <w:rFonts w:ascii="宋体" w:hAnsi="宋体" w:hint="eastAsia"/>
          <w:sz w:val="15"/>
          <w:szCs w:val="15"/>
        </w:rPr>
        <w:t>年至2</w:t>
      </w:r>
      <w:r>
        <w:rPr>
          <w:rFonts w:ascii="宋体" w:hAnsi="宋体"/>
          <w:sz w:val="15"/>
          <w:szCs w:val="15"/>
        </w:rPr>
        <w:t>018</w:t>
      </w:r>
      <w:r>
        <w:rPr>
          <w:rFonts w:ascii="宋体" w:hAnsi="宋体" w:hint="eastAsia"/>
          <w:sz w:val="15"/>
          <w:szCs w:val="15"/>
        </w:rPr>
        <w:t>年劳动者薪酬及同比增长率</w:t>
      </w:r>
      <w:r>
        <w:rPr>
          <w:rFonts w:ascii="宋体" w:hAnsi="宋体" w:hint="eastAsia"/>
          <w:sz w:val="15"/>
          <w:szCs w:val="15"/>
        </w:rPr>
        <w:t>表</w:t>
      </w:r>
    </w:p>
    <w:p w14:paraId="54571389" w14:textId="6DA54D8C" w:rsidR="00970EEF" w:rsidRPr="00970EEF" w:rsidRDefault="00970EEF" w:rsidP="00970EEF">
      <w:pPr>
        <w:pStyle w:val="a9"/>
        <w:spacing w:after="0" w:line="240" w:lineRule="atLeast"/>
        <w:jc w:val="center"/>
        <w:rPr>
          <w:rFonts w:hint="eastAsia"/>
          <w:color w:val="FF0000"/>
          <w:sz w:val="15"/>
          <w:szCs w:val="15"/>
        </w:rPr>
      </w:pPr>
      <w:r>
        <w:rPr>
          <w:rFonts w:hint="eastAsia"/>
          <w:sz w:val="15"/>
          <w:szCs w:val="15"/>
        </w:rPr>
        <w:t xml:space="preserve">Table </w:t>
      </w:r>
      <w:proofErr w:type="gramStart"/>
      <w:r>
        <w:rPr>
          <w:rFonts w:hint="eastAsia"/>
          <w:sz w:val="15"/>
          <w:szCs w:val="15"/>
        </w:rPr>
        <w:t xml:space="preserve">1  </w:t>
      </w:r>
      <w:r w:rsidRPr="00970EEF">
        <w:rPr>
          <w:sz w:val="15"/>
          <w:szCs w:val="15"/>
        </w:rPr>
        <w:t>Table</w:t>
      </w:r>
      <w:proofErr w:type="gramEnd"/>
      <w:r w:rsidRPr="00970EEF">
        <w:rPr>
          <w:sz w:val="15"/>
          <w:szCs w:val="15"/>
        </w:rPr>
        <w:t xml:space="preserve"> of labor pay and year-on-year growth rate from 2005 to 2018</w:t>
      </w:r>
    </w:p>
    <w:tbl>
      <w:tblPr>
        <w:tblW w:w="0" w:type="auto"/>
        <w:jc w:val="center"/>
        <w:tblInd w:w="0" w:type="dxa"/>
        <w:tblLayout w:type="fixed"/>
        <w:tblLook w:val="0000" w:firstRow="0" w:lastRow="0" w:firstColumn="0" w:lastColumn="0" w:noHBand="0" w:noVBand="0"/>
      </w:tblPr>
      <w:tblGrid>
        <w:gridCol w:w="1147"/>
        <w:gridCol w:w="1039"/>
        <w:gridCol w:w="969"/>
      </w:tblGrid>
      <w:tr w:rsidR="00970EEF" w14:paraId="369E73D2" w14:textId="77777777" w:rsidTr="000361EF">
        <w:trPr>
          <w:jc w:val="center"/>
        </w:trPr>
        <w:tc>
          <w:tcPr>
            <w:tcW w:w="1147" w:type="dxa"/>
            <w:tcBorders>
              <w:top w:val="single" w:sz="4" w:space="0" w:color="auto"/>
              <w:bottom w:val="single" w:sz="4" w:space="0" w:color="auto"/>
            </w:tcBorders>
            <w:vAlign w:val="center"/>
          </w:tcPr>
          <w:p w14:paraId="51FEC3F5" w14:textId="77777777" w:rsidR="00970EEF" w:rsidRDefault="00970EEF" w:rsidP="000361EF">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时间</w:t>
            </w:r>
          </w:p>
        </w:tc>
        <w:tc>
          <w:tcPr>
            <w:tcW w:w="1039" w:type="dxa"/>
            <w:tcBorders>
              <w:top w:val="single" w:sz="4" w:space="0" w:color="auto"/>
              <w:bottom w:val="single" w:sz="4" w:space="0" w:color="auto"/>
            </w:tcBorders>
            <w:vAlign w:val="center"/>
          </w:tcPr>
          <w:p w14:paraId="35B076AE" w14:textId="77777777" w:rsidR="00970EEF" w:rsidRDefault="00970EEF" w:rsidP="000361EF">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劳动者薪酬</w:t>
            </w:r>
            <w:r>
              <w:rPr>
                <w:rFonts w:ascii="Times New Roman" w:eastAsia="仿宋" w:hAnsi="Times New Roman" w:hint="eastAsia"/>
                <w:sz w:val="15"/>
                <w:szCs w:val="15"/>
              </w:rPr>
              <w:t>/</w:t>
            </w:r>
            <w:r>
              <w:rPr>
                <w:rFonts w:ascii="Times New Roman" w:eastAsia="仿宋" w:hAnsi="Times New Roman" w:hint="eastAsia"/>
                <w:sz w:val="15"/>
                <w:szCs w:val="15"/>
              </w:rPr>
              <w:t>（万元）</w:t>
            </w:r>
          </w:p>
        </w:tc>
        <w:tc>
          <w:tcPr>
            <w:tcW w:w="969" w:type="dxa"/>
            <w:tcBorders>
              <w:top w:val="single" w:sz="4" w:space="0" w:color="auto"/>
              <w:bottom w:val="single" w:sz="4" w:space="0" w:color="auto"/>
            </w:tcBorders>
            <w:vAlign w:val="center"/>
          </w:tcPr>
          <w:p w14:paraId="4DC5C189" w14:textId="77777777" w:rsidR="00970EEF" w:rsidRDefault="00970EEF" w:rsidP="000361EF">
            <w:pPr>
              <w:widowControl w:val="0"/>
              <w:overflowPunct w:val="0"/>
              <w:jc w:val="center"/>
              <w:rPr>
                <w:rFonts w:ascii="Times New Roman" w:eastAsia="仿宋" w:hAnsi="Times New Roman"/>
                <w:kern w:val="2"/>
                <w:sz w:val="15"/>
                <w:szCs w:val="15"/>
              </w:rPr>
            </w:pPr>
            <w:r>
              <w:rPr>
                <w:rFonts w:ascii="Times New Roman" w:eastAsia="仿宋" w:hAnsi="仿宋" w:hint="eastAsia"/>
                <w:sz w:val="15"/>
                <w:szCs w:val="15"/>
              </w:rPr>
              <w:t>同比增长率</w:t>
            </w:r>
            <w:r>
              <w:rPr>
                <w:rFonts w:ascii="Times New Roman" w:eastAsia="仿宋" w:hAnsi="仿宋" w:hint="eastAsia"/>
                <w:sz w:val="15"/>
                <w:szCs w:val="15"/>
              </w:rPr>
              <w:t xml:space="preserve"> </w:t>
            </w:r>
            <w:r>
              <w:rPr>
                <w:rFonts w:ascii="Times New Roman" w:eastAsia="仿宋" w:hAnsi="Times New Roman"/>
                <w:sz w:val="15"/>
                <w:szCs w:val="15"/>
              </w:rPr>
              <w:t>/%</w:t>
            </w:r>
          </w:p>
        </w:tc>
      </w:tr>
      <w:tr w:rsidR="00970EEF" w14:paraId="03B42ACC" w14:textId="77777777" w:rsidTr="000361EF">
        <w:trPr>
          <w:jc w:val="center"/>
        </w:trPr>
        <w:tc>
          <w:tcPr>
            <w:tcW w:w="1147" w:type="dxa"/>
            <w:vAlign w:val="center"/>
          </w:tcPr>
          <w:p w14:paraId="77CE0AF7" w14:textId="77777777" w:rsidR="00970EEF" w:rsidRDefault="00970EEF" w:rsidP="000361EF">
            <w:pPr>
              <w:widowControl w:val="0"/>
              <w:overflowPunct w:val="0"/>
              <w:jc w:val="center"/>
              <w:rPr>
                <w:rFonts w:ascii="Times New Roman" w:eastAsia="仿宋" w:hAnsi="Times New Roman"/>
                <w:kern w:val="2"/>
                <w:sz w:val="15"/>
                <w:szCs w:val="15"/>
              </w:rPr>
            </w:pPr>
            <w:r w:rsidRPr="00B03EE6">
              <w:rPr>
                <w:rFonts w:ascii="Times New Roman" w:eastAsia="仿宋" w:hAnsi="Times New Roman"/>
                <w:sz w:val="15"/>
                <w:szCs w:val="15"/>
              </w:rPr>
              <w:t>2005</w:t>
            </w:r>
            <w:r w:rsidRPr="00B03EE6">
              <w:rPr>
                <w:rFonts w:ascii="Times New Roman" w:eastAsia="仿宋" w:hAnsi="Times New Roman"/>
                <w:sz w:val="15"/>
                <w:szCs w:val="15"/>
              </w:rPr>
              <w:t>年</w:t>
            </w:r>
          </w:p>
        </w:tc>
        <w:tc>
          <w:tcPr>
            <w:tcW w:w="1039" w:type="dxa"/>
            <w:vAlign w:val="center"/>
          </w:tcPr>
          <w:p w14:paraId="3687911B" w14:textId="77777777" w:rsidR="00970EEF" w:rsidRDefault="00970EEF" w:rsidP="000361EF">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w:t>
            </w:r>
          </w:p>
        </w:tc>
        <w:tc>
          <w:tcPr>
            <w:tcW w:w="969" w:type="dxa"/>
            <w:vAlign w:val="center"/>
          </w:tcPr>
          <w:p w14:paraId="09D67787" w14:textId="77777777" w:rsidR="00970EEF" w:rsidRDefault="00970EEF" w:rsidP="000361EF">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w:t>
            </w:r>
          </w:p>
        </w:tc>
      </w:tr>
      <w:tr w:rsidR="00970EEF" w14:paraId="7EED048D" w14:textId="77777777" w:rsidTr="000361EF">
        <w:trPr>
          <w:jc w:val="center"/>
        </w:trPr>
        <w:tc>
          <w:tcPr>
            <w:tcW w:w="1147" w:type="dxa"/>
            <w:vAlign w:val="center"/>
          </w:tcPr>
          <w:p w14:paraId="31DA82CA"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006</w:t>
            </w:r>
            <w:r>
              <w:rPr>
                <w:rFonts w:ascii="Times New Roman" w:eastAsia="仿宋" w:hAnsi="Times New Roman" w:hint="eastAsia"/>
                <w:sz w:val="15"/>
                <w:szCs w:val="15"/>
              </w:rPr>
              <w:t>年</w:t>
            </w:r>
          </w:p>
        </w:tc>
        <w:tc>
          <w:tcPr>
            <w:tcW w:w="1039" w:type="dxa"/>
            <w:vAlign w:val="center"/>
          </w:tcPr>
          <w:p w14:paraId="26D85F71"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7077878</w:t>
            </w:r>
          </w:p>
        </w:tc>
        <w:tc>
          <w:tcPr>
            <w:tcW w:w="969" w:type="dxa"/>
            <w:vAlign w:val="center"/>
          </w:tcPr>
          <w:p w14:paraId="55D246A5"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w:t>
            </w:r>
          </w:p>
        </w:tc>
      </w:tr>
      <w:tr w:rsidR="00970EEF" w14:paraId="5C0FC585" w14:textId="77777777" w:rsidTr="000361EF">
        <w:trPr>
          <w:jc w:val="center"/>
        </w:trPr>
        <w:tc>
          <w:tcPr>
            <w:tcW w:w="1147" w:type="dxa"/>
            <w:vAlign w:val="center"/>
          </w:tcPr>
          <w:p w14:paraId="65D4828B"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007</w:t>
            </w:r>
            <w:r>
              <w:rPr>
                <w:rFonts w:ascii="Times New Roman" w:eastAsia="仿宋" w:hAnsi="Times New Roman" w:hint="eastAsia"/>
                <w:sz w:val="15"/>
                <w:szCs w:val="15"/>
              </w:rPr>
              <w:t>年</w:t>
            </w:r>
          </w:p>
        </w:tc>
        <w:tc>
          <w:tcPr>
            <w:tcW w:w="1039" w:type="dxa"/>
            <w:vAlign w:val="center"/>
          </w:tcPr>
          <w:p w14:paraId="24A0E8F0"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7385458</w:t>
            </w:r>
          </w:p>
        </w:tc>
        <w:tc>
          <w:tcPr>
            <w:tcW w:w="969" w:type="dxa"/>
            <w:vAlign w:val="center"/>
          </w:tcPr>
          <w:p w14:paraId="4C14FBE1"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4.346</w:t>
            </w:r>
          </w:p>
        </w:tc>
      </w:tr>
      <w:tr w:rsidR="00970EEF" w14:paraId="11A399E2" w14:textId="77777777" w:rsidTr="000361EF">
        <w:trPr>
          <w:jc w:val="center"/>
        </w:trPr>
        <w:tc>
          <w:tcPr>
            <w:tcW w:w="1147" w:type="dxa"/>
            <w:vAlign w:val="center"/>
          </w:tcPr>
          <w:p w14:paraId="641976E6"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008</w:t>
            </w:r>
            <w:r>
              <w:rPr>
                <w:rFonts w:ascii="Times New Roman" w:eastAsia="仿宋" w:hAnsi="Times New Roman" w:hint="eastAsia"/>
                <w:sz w:val="15"/>
                <w:szCs w:val="15"/>
              </w:rPr>
              <w:t>年</w:t>
            </w:r>
          </w:p>
        </w:tc>
        <w:tc>
          <w:tcPr>
            <w:tcW w:w="1039" w:type="dxa"/>
            <w:vAlign w:val="center"/>
          </w:tcPr>
          <w:p w14:paraId="3FF351DC"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10029460</w:t>
            </w:r>
          </w:p>
        </w:tc>
        <w:tc>
          <w:tcPr>
            <w:tcW w:w="969" w:type="dxa"/>
            <w:vAlign w:val="center"/>
          </w:tcPr>
          <w:p w14:paraId="74984BDF"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35.8</w:t>
            </w:r>
          </w:p>
        </w:tc>
      </w:tr>
      <w:tr w:rsidR="00970EEF" w14:paraId="4923505D" w14:textId="77777777" w:rsidTr="000361EF">
        <w:trPr>
          <w:jc w:val="center"/>
        </w:trPr>
        <w:tc>
          <w:tcPr>
            <w:tcW w:w="1147" w:type="dxa"/>
            <w:vAlign w:val="center"/>
          </w:tcPr>
          <w:p w14:paraId="4C532DEB"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009</w:t>
            </w:r>
            <w:r>
              <w:rPr>
                <w:rFonts w:ascii="Times New Roman" w:eastAsia="仿宋" w:hAnsi="Times New Roman" w:hint="eastAsia"/>
                <w:sz w:val="15"/>
                <w:szCs w:val="15"/>
              </w:rPr>
              <w:t>年</w:t>
            </w:r>
          </w:p>
        </w:tc>
        <w:tc>
          <w:tcPr>
            <w:tcW w:w="1039" w:type="dxa"/>
            <w:vAlign w:val="center"/>
          </w:tcPr>
          <w:p w14:paraId="2E1580C4"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14198259</w:t>
            </w:r>
          </w:p>
        </w:tc>
        <w:tc>
          <w:tcPr>
            <w:tcW w:w="969" w:type="dxa"/>
            <w:vAlign w:val="center"/>
          </w:tcPr>
          <w:p w14:paraId="09F9A45E"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41.566</w:t>
            </w:r>
          </w:p>
        </w:tc>
      </w:tr>
      <w:tr w:rsidR="00970EEF" w14:paraId="7FAA3602" w14:textId="77777777" w:rsidTr="000361EF">
        <w:trPr>
          <w:jc w:val="center"/>
        </w:trPr>
        <w:tc>
          <w:tcPr>
            <w:tcW w:w="1147" w:type="dxa"/>
            <w:vAlign w:val="center"/>
          </w:tcPr>
          <w:p w14:paraId="6ACECBAF"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010</w:t>
            </w:r>
            <w:r>
              <w:rPr>
                <w:rFonts w:ascii="Times New Roman" w:eastAsia="仿宋" w:hAnsi="Times New Roman" w:hint="eastAsia"/>
                <w:sz w:val="15"/>
                <w:szCs w:val="15"/>
              </w:rPr>
              <w:t>年</w:t>
            </w:r>
          </w:p>
        </w:tc>
        <w:tc>
          <w:tcPr>
            <w:tcW w:w="1039" w:type="dxa"/>
            <w:vAlign w:val="center"/>
          </w:tcPr>
          <w:p w14:paraId="1A68F8DB"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20863262</w:t>
            </w:r>
          </w:p>
        </w:tc>
        <w:tc>
          <w:tcPr>
            <w:tcW w:w="969" w:type="dxa"/>
            <w:vAlign w:val="center"/>
          </w:tcPr>
          <w:p w14:paraId="481F9BD6"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46.942</w:t>
            </w:r>
          </w:p>
        </w:tc>
      </w:tr>
      <w:tr w:rsidR="00970EEF" w14:paraId="46F32DB9" w14:textId="77777777" w:rsidTr="000361EF">
        <w:trPr>
          <w:jc w:val="center"/>
        </w:trPr>
        <w:tc>
          <w:tcPr>
            <w:tcW w:w="1147" w:type="dxa"/>
            <w:vAlign w:val="center"/>
          </w:tcPr>
          <w:p w14:paraId="3FE6DFB1"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011</w:t>
            </w:r>
            <w:r>
              <w:rPr>
                <w:rFonts w:ascii="Times New Roman" w:eastAsia="仿宋" w:hAnsi="Times New Roman" w:hint="eastAsia"/>
                <w:sz w:val="15"/>
                <w:szCs w:val="15"/>
              </w:rPr>
              <w:t>年</w:t>
            </w:r>
          </w:p>
        </w:tc>
        <w:tc>
          <w:tcPr>
            <w:tcW w:w="1039" w:type="dxa"/>
            <w:vAlign w:val="center"/>
          </w:tcPr>
          <w:p w14:paraId="1720519C"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28523736</w:t>
            </w:r>
          </w:p>
        </w:tc>
        <w:tc>
          <w:tcPr>
            <w:tcW w:w="969" w:type="dxa"/>
            <w:vAlign w:val="center"/>
          </w:tcPr>
          <w:p w14:paraId="4DE78C03"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36.718</w:t>
            </w:r>
          </w:p>
        </w:tc>
      </w:tr>
      <w:tr w:rsidR="00970EEF" w14:paraId="6F49327D" w14:textId="77777777" w:rsidTr="000361EF">
        <w:trPr>
          <w:jc w:val="center"/>
        </w:trPr>
        <w:tc>
          <w:tcPr>
            <w:tcW w:w="1147" w:type="dxa"/>
            <w:vAlign w:val="center"/>
          </w:tcPr>
          <w:p w14:paraId="7A2DFBDA"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012</w:t>
            </w:r>
            <w:r>
              <w:rPr>
                <w:rFonts w:ascii="Times New Roman" w:eastAsia="仿宋" w:hAnsi="Times New Roman" w:hint="eastAsia"/>
                <w:sz w:val="15"/>
                <w:szCs w:val="15"/>
              </w:rPr>
              <w:t>年</w:t>
            </w:r>
          </w:p>
        </w:tc>
        <w:tc>
          <w:tcPr>
            <w:tcW w:w="1039" w:type="dxa"/>
            <w:vAlign w:val="center"/>
          </w:tcPr>
          <w:p w14:paraId="5123DEBE"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37492846</w:t>
            </w:r>
          </w:p>
        </w:tc>
        <w:tc>
          <w:tcPr>
            <w:tcW w:w="969" w:type="dxa"/>
            <w:vAlign w:val="center"/>
          </w:tcPr>
          <w:p w14:paraId="6825054C"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31.444</w:t>
            </w:r>
          </w:p>
        </w:tc>
      </w:tr>
      <w:tr w:rsidR="00970EEF" w14:paraId="122471F7" w14:textId="77777777" w:rsidTr="000361EF">
        <w:trPr>
          <w:jc w:val="center"/>
        </w:trPr>
        <w:tc>
          <w:tcPr>
            <w:tcW w:w="1147" w:type="dxa"/>
            <w:vAlign w:val="center"/>
          </w:tcPr>
          <w:p w14:paraId="6622C53E"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013</w:t>
            </w:r>
            <w:r>
              <w:rPr>
                <w:rFonts w:ascii="Times New Roman" w:eastAsia="仿宋" w:hAnsi="Times New Roman" w:hint="eastAsia"/>
                <w:sz w:val="15"/>
                <w:szCs w:val="15"/>
              </w:rPr>
              <w:t>年</w:t>
            </w:r>
          </w:p>
        </w:tc>
        <w:tc>
          <w:tcPr>
            <w:tcW w:w="1039" w:type="dxa"/>
            <w:vAlign w:val="center"/>
          </w:tcPr>
          <w:p w14:paraId="5EF5C1A6"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47060921</w:t>
            </w:r>
          </w:p>
        </w:tc>
        <w:tc>
          <w:tcPr>
            <w:tcW w:w="969" w:type="dxa"/>
            <w:vAlign w:val="center"/>
          </w:tcPr>
          <w:p w14:paraId="1512ED40"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25.52</w:t>
            </w:r>
          </w:p>
        </w:tc>
      </w:tr>
      <w:tr w:rsidR="00970EEF" w14:paraId="43C967A9" w14:textId="77777777" w:rsidTr="000361EF">
        <w:trPr>
          <w:jc w:val="center"/>
        </w:trPr>
        <w:tc>
          <w:tcPr>
            <w:tcW w:w="1147" w:type="dxa"/>
            <w:vAlign w:val="center"/>
          </w:tcPr>
          <w:p w14:paraId="1B34CFAC"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014</w:t>
            </w:r>
            <w:r>
              <w:rPr>
                <w:rFonts w:ascii="Times New Roman" w:eastAsia="仿宋" w:hAnsi="Times New Roman" w:hint="eastAsia"/>
                <w:sz w:val="15"/>
                <w:szCs w:val="15"/>
              </w:rPr>
              <w:t>年</w:t>
            </w:r>
          </w:p>
        </w:tc>
        <w:tc>
          <w:tcPr>
            <w:tcW w:w="1039" w:type="dxa"/>
            <w:vAlign w:val="center"/>
          </w:tcPr>
          <w:p w14:paraId="540FC323" w14:textId="77777777" w:rsidR="00970EEF" w:rsidRDefault="00970EEF" w:rsidP="000361EF">
            <w:pPr>
              <w:overflowPunct w:val="0"/>
              <w:jc w:val="center"/>
              <w:rPr>
                <w:rFonts w:ascii="Times New Roman" w:eastAsia="仿宋" w:hAnsi="Times New Roman"/>
                <w:sz w:val="15"/>
                <w:szCs w:val="15"/>
              </w:rPr>
            </w:pPr>
            <w:r w:rsidRPr="00B03EE6">
              <w:rPr>
                <w:rFonts w:ascii="Times New Roman" w:eastAsia="仿宋" w:hAnsi="Times New Roman"/>
                <w:sz w:val="15"/>
                <w:szCs w:val="15"/>
              </w:rPr>
              <w:t>57531358</w:t>
            </w:r>
          </w:p>
        </w:tc>
        <w:tc>
          <w:tcPr>
            <w:tcW w:w="969" w:type="dxa"/>
            <w:vAlign w:val="center"/>
          </w:tcPr>
          <w:p w14:paraId="7BBE04C1"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22.249</w:t>
            </w:r>
          </w:p>
        </w:tc>
      </w:tr>
      <w:tr w:rsidR="00970EEF" w14:paraId="54FB4A31" w14:textId="77777777" w:rsidTr="000361EF">
        <w:trPr>
          <w:jc w:val="center"/>
        </w:trPr>
        <w:tc>
          <w:tcPr>
            <w:tcW w:w="1147" w:type="dxa"/>
            <w:vAlign w:val="center"/>
          </w:tcPr>
          <w:p w14:paraId="209A8880"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015</w:t>
            </w:r>
            <w:r>
              <w:rPr>
                <w:rFonts w:ascii="Times New Roman" w:eastAsia="仿宋" w:hAnsi="Times New Roman" w:hint="eastAsia"/>
                <w:sz w:val="15"/>
                <w:szCs w:val="15"/>
              </w:rPr>
              <w:t>年</w:t>
            </w:r>
          </w:p>
        </w:tc>
        <w:tc>
          <w:tcPr>
            <w:tcW w:w="1039" w:type="dxa"/>
            <w:vAlign w:val="center"/>
          </w:tcPr>
          <w:p w14:paraId="637362A0"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59396494</w:t>
            </w:r>
          </w:p>
        </w:tc>
        <w:tc>
          <w:tcPr>
            <w:tcW w:w="969" w:type="dxa"/>
            <w:vAlign w:val="center"/>
          </w:tcPr>
          <w:p w14:paraId="5C9B82F1"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3.242</w:t>
            </w:r>
          </w:p>
        </w:tc>
      </w:tr>
      <w:tr w:rsidR="00970EEF" w14:paraId="62BD5479" w14:textId="77777777" w:rsidTr="000361EF">
        <w:trPr>
          <w:jc w:val="center"/>
        </w:trPr>
        <w:tc>
          <w:tcPr>
            <w:tcW w:w="1147" w:type="dxa"/>
            <w:vAlign w:val="center"/>
          </w:tcPr>
          <w:p w14:paraId="475A1031" w14:textId="77777777" w:rsidR="00970EEF" w:rsidRDefault="00970EEF" w:rsidP="000361EF">
            <w:pPr>
              <w:overflowPunct w:val="0"/>
              <w:jc w:val="center"/>
              <w:rPr>
                <w:rFonts w:ascii="Times New Roman" w:eastAsia="仿宋" w:hAnsi="Times New Roman" w:hint="eastAsia"/>
                <w:sz w:val="15"/>
                <w:szCs w:val="15"/>
              </w:rPr>
            </w:pPr>
            <w:r>
              <w:rPr>
                <w:rFonts w:ascii="Times New Roman" w:eastAsia="仿宋" w:hAnsi="Times New Roman" w:hint="eastAsia"/>
                <w:sz w:val="15"/>
                <w:szCs w:val="15"/>
              </w:rPr>
              <w:lastRenderedPageBreak/>
              <w:t>2</w:t>
            </w:r>
            <w:r>
              <w:rPr>
                <w:rFonts w:ascii="Times New Roman" w:eastAsia="仿宋" w:hAnsi="Times New Roman"/>
                <w:sz w:val="15"/>
                <w:szCs w:val="15"/>
              </w:rPr>
              <w:t>016</w:t>
            </w:r>
            <w:r>
              <w:rPr>
                <w:rFonts w:ascii="Times New Roman" w:eastAsia="仿宋" w:hAnsi="Times New Roman" w:hint="eastAsia"/>
                <w:sz w:val="15"/>
                <w:szCs w:val="15"/>
              </w:rPr>
              <w:t>年</w:t>
            </w:r>
          </w:p>
        </w:tc>
        <w:tc>
          <w:tcPr>
            <w:tcW w:w="1039" w:type="dxa"/>
            <w:vAlign w:val="center"/>
          </w:tcPr>
          <w:p w14:paraId="652C1232"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69158814</w:t>
            </w:r>
          </w:p>
        </w:tc>
        <w:tc>
          <w:tcPr>
            <w:tcW w:w="969" w:type="dxa"/>
            <w:vAlign w:val="center"/>
          </w:tcPr>
          <w:p w14:paraId="66C305AB"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16.436</w:t>
            </w:r>
          </w:p>
        </w:tc>
      </w:tr>
      <w:tr w:rsidR="00970EEF" w14:paraId="19925366" w14:textId="77777777" w:rsidTr="000361EF">
        <w:trPr>
          <w:jc w:val="center"/>
        </w:trPr>
        <w:tc>
          <w:tcPr>
            <w:tcW w:w="1147" w:type="dxa"/>
            <w:vAlign w:val="center"/>
          </w:tcPr>
          <w:p w14:paraId="145EA09E" w14:textId="77777777" w:rsidR="00970EEF" w:rsidRDefault="00970EEF" w:rsidP="000361EF">
            <w:pPr>
              <w:overflowPunct w:val="0"/>
              <w:jc w:val="center"/>
              <w:rPr>
                <w:rFonts w:ascii="Times New Roman" w:eastAsia="仿宋" w:hAnsi="Times New Roman"/>
                <w:sz w:val="15"/>
                <w:szCs w:val="15"/>
              </w:rPr>
            </w:pPr>
            <w:r>
              <w:rPr>
                <w:rFonts w:ascii="Times New Roman" w:eastAsia="仿宋" w:hAnsi="Times New Roman" w:hint="eastAsia"/>
                <w:sz w:val="15"/>
                <w:szCs w:val="15"/>
              </w:rPr>
              <w:t>2</w:t>
            </w:r>
            <w:r>
              <w:rPr>
                <w:rFonts w:ascii="Times New Roman" w:eastAsia="仿宋" w:hAnsi="Times New Roman"/>
                <w:sz w:val="15"/>
                <w:szCs w:val="15"/>
              </w:rPr>
              <w:t>017</w:t>
            </w:r>
            <w:r>
              <w:rPr>
                <w:rFonts w:ascii="Times New Roman" w:eastAsia="仿宋" w:hAnsi="Times New Roman" w:hint="eastAsia"/>
                <w:sz w:val="15"/>
                <w:szCs w:val="15"/>
              </w:rPr>
              <w:t>年</w:t>
            </w:r>
          </w:p>
        </w:tc>
        <w:tc>
          <w:tcPr>
            <w:tcW w:w="1039" w:type="dxa"/>
            <w:vAlign w:val="center"/>
          </w:tcPr>
          <w:p w14:paraId="0D448E24"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84011570</w:t>
            </w:r>
          </w:p>
        </w:tc>
        <w:tc>
          <w:tcPr>
            <w:tcW w:w="969" w:type="dxa"/>
            <w:vAlign w:val="center"/>
          </w:tcPr>
          <w:p w14:paraId="1A0DAC29" w14:textId="77777777" w:rsidR="00970EEF" w:rsidRDefault="00970EEF" w:rsidP="000361EF">
            <w:pPr>
              <w:overflowPunct w:val="0"/>
              <w:jc w:val="center"/>
              <w:rPr>
                <w:rFonts w:ascii="Times New Roman" w:eastAsia="仿宋" w:hAnsi="Times New Roman"/>
                <w:sz w:val="15"/>
                <w:szCs w:val="15"/>
              </w:rPr>
            </w:pPr>
            <w:r w:rsidRPr="00145386">
              <w:rPr>
                <w:rFonts w:ascii="Times New Roman" w:eastAsia="仿宋" w:hAnsi="Times New Roman"/>
                <w:sz w:val="15"/>
                <w:szCs w:val="15"/>
              </w:rPr>
              <w:t>21.476</w:t>
            </w:r>
          </w:p>
        </w:tc>
      </w:tr>
      <w:tr w:rsidR="00970EEF" w14:paraId="2DF27976" w14:textId="77777777" w:rsidTr="000361EF">
        <w:trPr>
          <w:jc w:val="center"/>
        </w:trPr>
        <w:tc>
          <w:tcPr>
            <w:tcW w:w="1147" w:type="dxa"/>
            <w:tcBorders>
              <w:bottom w:val="single" w:sz="4" w:space="0" w:color="auto"/>
            </w:tcBorders>
            <w:vAlign w:val="center"/>
          </w:tcPr>
          <w:p w14:paraId="1D9633DE" w14:textId="77777777" w:rsidR="00970EEF" w:rsidRDefault="00970EEF" w:rsidP="000361EF">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2</w:t>
            </w:r>
            <w:r>
              <w:rPr>
                <w:rFonts w:ascii="Times New Roman" w:eastAsia="仿宋" w:hAnsi="Times New Roman"/>
                <w:sz w:val="15"/>
                <w:szCs w:val="15"/>
              </w:rPr>
              <w:t>018</w:t>
            </w:r>
            <w:r>
              <w:rPr>
                <w:rFonts w:ascii="Times New Roman" w:eastAsia="仿宋" w:hAnsi="Times New Roman" w:hint="eastAsia"/>
                <w:sz w:val="15"/>
                <w:szCs w:val="15"/>
              </w:rPr>
              <w:t>年</w:t>
            </w:r>
          </w:p>
        </w:tc>
        <w:tc>
          <w:tcPr>
            <w:tcW w:w="1039" w:type="dxa"/>
            <w:tcBorders>
              <w:bottom w:val="single" w:sz="4" w:space="0" w:color="auto"/>
            </w:tcBorders>
            <w:vAlign w:val="center"/>
          </w:tcPr>
          <w:p w14:paraId="26508DE3" w14:textId="77777777" w:rsidR="00970EEF" w:rsidRDefault="00970EEF" w:rsidP="000361EF">
            <w:pPr>
              <w:widowControl w:val="0"/>
              <w:overflowPunct w:val="0"/>
              <w:jc w:val="center"/>
              <w:rPr>
                <w:rFonts w:ascii="Times New Roman" w:eastAsia="仿宋" w:hAnsi="Times New Roman"/>
                <w:kern w:val="2"/>
                <w:sz w:val="15"/>
                <w:szCs w:val="15"/>
              </w:rPr>
            </w:pPr>
            <w:r w:rsidRPr="00145386">
              <w:rPr>
                <w:rFonts w:ascii="Times New Roman" w:eastAsia="仿宋" w:hAnsi="Times New Roman"/>
                <w:sz w:val="15"/>
                <w:szCs w:val="15"/>
              </w:rPr>
              <w:t>94779838</w:t>
            </w:r>
          </w:p>
        </w:tc>
        <w:tc>
          <w:tcPr>
            <w:tcW w:w="969" w:type="dxa"/>
            <w:tcBorders>
              <w:bottom w:val="single" w:sz="4" w:space="0" w:color="auto"/>
            </w:tcBorders>
            <w:vAlign w:val="center"/>
          </w:tcPr>
          <w:p w14:paraId="7B6006D1" w14:textId="77777777" w:rsidR="00970EEF" w:rsidRDefault="00970EEF" w:rsidP="000361EF">
            <w:pPr>
              <w:widowControl w:val="0"/>
              <w:overflowPunct w:val="0"/>
              <w:jc w:val="center"/>
              <w:rPr>
                <w:rFonts w:ascii="Times New Roman" w:eastAsia="仿宋" w:hAnsi="Times New Roman"/>
                <w:kern w:val="2"/>
                <w:sz w:val="15"/>
                <w:szCs w:val="15"/>
              </w:rPr>
            </w:pPr>
            <w:r w:rsidRPr="00145386">
              <w:rPr>
                <w:rFonts w:ascii="Times New Roman" w:eastAsia="仿宋" w:hAnsi="Times New Roman"/>
                <w:sz w:val="15"/>
                <w:szCs w:val="15"/>
              </w:rPr>
              <w:t>12.818</w:t>
            </w:r>
          </w:p>
        </w:tc>
      </w:tr>
    </w:tbl>
    <w:p w14:paraId="4C7AE49C" w14:textId="3AD4BB3B" w:rsidR="00856CC1" w:rsidRDefault="00856CC1" w:rsidP="00856CC1">
      <w:pPr>
        <w:pStyle w:val="DepartCorrespond"/>
        <w:numPr>
          <w:ilvl w:val="1"/>
          <w:numId w:val="1"/>
        </w:numPr>
        <w:ind w:left="119" w:hanging="119"/>
        <w:rPr>
          <w:rFonts w:ascii="黑体" w:eastAsia="黑体" w:hAnsi="黑体"/>
          <w:sz w:val="18"/>
          <w:szCs w:val="18"/>
        </w:rPr>
      </w:pPr>
      <w:r w:rsidRPr="00856CC1">
        <w:rPr>
          <w:rFonts w:ascii="黑体" w:eastAsia="黑体" w:hAnsi="黑体" w:hint="eastAsia"/>
          <w:sz w:val="18"/>
          <w:szCs w:val="18"/>
        </w:rPr>
        <w:t>企业个数增长趋势和劳动薪酬增长趋势的对比</w:t>
      </w:r>
    </w:p>
    <w:p w14:paraId="19666064" w14:textId="37D6B17A" w:rsidR="00D27C85" w:rsidRDefault="00670D94" w:rsidP="00C87C04">
      <w:pPr>
        <w:pStyle w:val="a9"/>
        <w:spacing w:after="0" w:line="400" w:lineRule="exact"/>
        <w:ind w:firstLineChars="200" w:firstLine="360"/>
        <w:rPr>
          <w:rFonts w:ascii="宋体" w:hAnsi="宋体" w:hint="eastAsia"/>
          <w:sz w:val="18"/>
          <w:szCs w:val="18"/>
        </w:rPr>
      </w:pPr>
      <w:r w:rsidRPr="00670D94">
        <w:rPr>
          <w:rFonts w:ascii="宋体" w:hAnsi="宋体" w:hint="eastAsia"/>
          <w:sz w:val="18"/>
          <w:szCs w:val="18"/>
        </w:rPr>
        <w:t>统计2005</w:t>
      </w:r>
      <w:r w:rsidR="00674A50">
        <w:rPr>
          <w:rFonts w:ascii="宋体" w:hAnsi="宋体" w:hint="eastAsia"/>
          <w:sz w:val="18"/>
          <w:szCs w:val="18"/>
        </w:rPr>
        <w:t>年</w:t>
      </w:r>
      <w:r w:rsidRPr="00670D94">
        <w:rPr>
          <w:rFonts w:ascii="宋体" w:hAnsi="宋体" w:hint="eastAsia"/>
          <w:sz w:val="18"/>
          <w:szCs w:val="18"/>
        </w:rPr>
        <w:t>至2018年企业个数，对比企业个数增长趋势和劳动薪酬增长趋势</w:t>
      </w:r>
      <w:r w:rsidR="00C87C04">
        <w:rPr>
          <w:rFonts w:ascii="宋体" w:hAnsi="宋体" w:hint="eastAsia"/>
          <w:sz w:val="18"/>
          <w:szCs w:val="18"/>
        </w:rPr>
        <w:t>，如</w:t>
      </w:r>
      <w:r w:rsidRPr="00670D94">
        <w:rPr>
          <w:rFonts w:ascii="宋体" w:hAnsi="宋体" w:hint="eastAsia"/>
          <w:sz w:val="18"/>
          <w:szCs w:val="18"/>
        </w:rPr>
        <w:t>图</w:t>
      </w:r>
      <w:r w:rsidR="00C87C04">
        <w:rPr>
          <w:rFonts w:ascii="宋体" w:hAnsi="宋体"/>
          <w:sz w:val="18"/>
          <w:szCs w:val="18"/>
        </w:rPr>
        <w:t>1</w:t>
      </w:r>
      <w:r w:rsidR="00C87C04">
        <w:rPr>
          <w:rFonts w:ascii="宋体" w:hAnsi="宋体" w:hint="eastAsia"/>
          <w:sz w:val="18"/>
          <w:szCs w:val="18"/>
        </w:rPr>
        <w:t>所示</w:t>
      </w:r>
      <w:r w:rsidRPr="00670D94">
        <w:rPr>
          <w:rFonts w:ascii="宋体" w:hAnsi="宋体" w:hint="eastAsia"/>
          <w:sz w:val="18"/>
          <w:szCs w:val="18"/>
        </w:rPr>
        <w:t>。统计数据显示，2005年至2008年期间，企业个数增长较为平缓；从2008年开始至2014年，企业个数增长速度加快；2014至2015年增长速度变缓，直到2015</w:t>
      </w:r>
      <w:r w:rsidR="00674A50">
        <w:rPr>
          <w:rFonts w:ascii="宋体" w:hAnsi="宋体" w:hint="eastAsia"/>
          <w:sz w:val="18"/>
          <w:szCs w:val="18"/>
        </w:rPr>
        <w:t>年</w:t>
      </w:r>
      <w:r w:rsidRPr="00670D94">
        <w:rPr>
          <w:rFonts w:ascii="宋体" w:hAnsi="宋体" w:hint="eastAsia"/>
          <w:sz w:val="18"/>
          <w:szCs w:val="18"/>
        </w:rPr>
        <w:t>至2016年期间企业数量减少；之后两年继续增长。而劳动薪酬的增长也可以分为三个阶段。2005年至2014年期间，劳动薪酬逐年增长，并且增长速度越来越快；2014年至2015年骤然变缓；2015年至2018年增长速度继续加大。</w:t>
      </w:r>
    </w:p>
    <w:p w14:paraId="01663343" w14:textId="57693BEF" w:rsidR="002A3958" w:rsidRDefault="00AA3243" w:rsidP="00C87C04">
      <w:pPr>
        <w:pStyle w:val="a9"/>
        <w:spacing w:after="0"/>
        <w:jc w:val="center"/>
      </w:pPr>
      <w:r w:rsidRPr="00DD7FA2">
        <w:rPr>
          <w:noProof/>
        </w:rPr>
        <w:object w:dxaOrig="4791" w:dyaOrig="2861" w14:anchorId="4474FF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239.45pt;height:142.9pt;visibility:visible" o:ole="">
            <v:imagedata r:id="rId11" o:title=""/>
            <o:lock v:ext="edit" aspectratio="f"/>
          </v:shape>
          <o:OLEObject Type="Embed" ProgID="Excel.Chart.8" ShapeID="_x0000_i1238" DrawAspect="Content" ObjectID="_1679234370" r:id="rId12">
            <o:FieldCodes>\s</o:FieldCodes>
          </o:OLEObject>
        </w:object>
      </w:r>
    </w:p>
    <w:p w14:paraId="478305E6" w14:textId="270EE4A4" w:rsidR="00C87C04" w:rsidRDefault="00C87C04" w:rsidP="00C87C04">
      <w:pPr>
        <w:pStyle w:val="a9"/>
        <w:spacing w:after="0"/>
        <w:jc w:val="center"/>
        <w:rPr>
          <w:rFonts w:ascii="宋体" w:hAnsi="宋体"/>
          <w:sz w:val="15"/>
          <w:szCs w:val="15"/>
        </w:rPr>
      </w:pPr>
      <w:r>
        <w:rPr>
          <w:rFonts w:ascii="宋体" w:hAnsi="宋体" w:hint="eastAsia"/>
          <w:sz w:val="15"/>
          <w:szCs w:val="15"/>
        </w:rPr>
        <w:t xml:space="preserve">图1  </w:t>
      </w:r>
      <w:r>
        <w:rPr>
          <w:rFonts w:ascii="宋体" w:hAnsi="宋体" w:hint="eastAsia"/>
          <w:sz w:val="15"/>
          <w:szCs w:val="15"/>
        </w:rPr>
        <w:t>劳动者</w:t>
      </w:r>
      <w:proofErr w:type="gramStart"/>
      <w:r>
        <w:rPr>
          <w:rFonts w:ascii="宋体" w:hAnsi="宋体" w:hint="eastAsia"/>
          <w:sz w:val="15"/>
          <w:szCs w:val="15"/>
        </w:rPr>
        <w:t>薪</w:t>
      </w:r>
      <w:proofErr w:type="gramEnd"/>
      <w:r>
        <w:rPr>
          <w:rFonts w:ascii="宋体" w:hAnsi="宋体" w:hint="eastAsia"/>
          <w:sz w:val="15"/>
          <w:szCs w:val="15"/>
        </w:rPr>
        <w:t>酬和企业个数变化趋势图</w:t>
      </w:r>
    </w:p>
    <w:p w14:paraId="7729A306" w14:textId="7E92B615" w:rsidR="00D27C85" w:rsidRPr="00670D94" w:rsidRDefault="00C87C04" w:rsidP="00C87C04">
      <w:pPr>
        <w:pStyle w:val="DepartCorrespond"/>
        <w:ind w:left="119" w:hanging="119"/>
        <w:jc w:val="center"/>
        <w:rPr>
          <w:rFonts w:hint="eastAsia"/>
        </w:rPr>
      </w:pPr>
      <w:r>
        <w:rPr>
          <w:rFonts w:ascii="宋体" w:hAnsi="宋体" w:hint="eastAsia"/>
          <w:sz w:val="18"/>
          <w:szCs w:val="18"/>
        </w:rPr>
        <w:t>Fig.</w:t>
      </w:r>
      <w:proofErr w:type="gramStart"/>
      <w:r>
        <w:rPr>
          <w:rFonts w:ascii="宋体" w:hAnsi="宋体" w:hint="eastAsia"/>
          <w:sz w:val="18"/>
          <w:szCs w:val="18"/>
        </w:rPr>
        <w:t xml:space="preserve">1 </w:t>
      </w:r>
      <w:r>
        <w:rPr>
          <w:rFonts w:hint="eastAsia"/>
          <w:sz w:val="15"/>
          <w:szCs w:val="15"/>
        </w:rPr>
        <w:t xml:space="preserve"> </w:t>
      </w:r>
      <w:r w:rsidRPr="00C87C04">
        <w:rPr>
          <w:sz w:val="15"/>
          <w:szCs w:val="15"/>
        </w:rPr>
        <w:t>Change</w:t>
      </w:r>
      <w:proofErr w:type="gramEnd"/>
      <w:r w:rsidRPr="00C87C04">
        <w:rPr>
          <w:sz w:val="15"/>
          <w:szCs w:val="15"/>
        </w:rPr>
        <w:t xml:space="preserve"> trend chart of labor compensation and number of enterprises</w:t>
      </w:r>
    </w:p>
    <w:p w14:paraId="2B217C03" w14:textId="76045AD6" w:rsidR="00BD6B0F" w:rsidRPr="00670D94" w:rsidRDefault="00670D94" w:rsidP="00BD6B0F">
      <w:pPr>
        <w:pStyle w:val="a9"/>
        <w:spacing w:after="0" w:line="400" w:lineRule="exact"/>
        <w:ind w:firstLineChars="200" w:firstLine="360"/>
        <w:rPr>
          <w:rFonts w:ascii="宋体" w:hAnsi="宋体" w:hint="eastAsia"/>
          <w:sz w:val="18"/>
          <w:szCs w:val="18"/>
        </w:rPr>
      </w:pPr>
      <w:r w:rsidRPr="00670D94">
        <w:rPr>
          <w:rFonts w:ascii="宋体" w:hAnsi="宋体" w:hint="eastAsia"/>
          <w:sz w:val="18"/>
          <w:szCs w:val="18"/>
        </w:rPr>
        <w:t>这是因为以“十三五”规划为首的政策带动信息技术行业发展。2016年是“十三五”计划的实施年，“一带一路”的建设也在为信息技术行业开拓新市场，打造新格局，继续信息化建设。此外，建立高新区、创建服务外包产业示范园等政策也都在带动着信息技术行业发展</w:t>
      </w:r>
      <w:r w:rsidR="00C602B4" w:rsidRPr="00C602B4">
        <w:rPr>
          <w:rStyle w:val="af5"/>
          <w:rFonts w:ascii="宋体" w:hAnsi="宋体"/>
          <w:szCs w:val="21"/>
        </w:rPr>
        <w:endnoteReference w:customMarkFollows="1" w:id="1"/>
        <w:t>[1]</w:t>
      </w:r>
      <w:r w:rsidRPr="00670D94">
        <w:rPr>
          <w:rFonts w:ascii="宋体" w:hAnsi="宋体" w:hint="eastAsia"/>
          <w:sz w:val="18"/>
          <w:szCs w:val="18"/>
        </w:rPr>
        <w:t>。</w:t>
      </w:r>
    </w:p>
    <w:p w14:paraId="0E1FA96B" w14:textId="42132F60" w:rsidR="00670D94" w:rsidRPr="00670D94" w:rsidRDefault="00670D94" w:rsidP="00670D94">
      <w:pPr>
        <w:pStyle w:val="a9"/>
        <w:spacing w:after="0" w:line="400" w:lineRule="exact"/>
        <w:ind w:firstLineChars="200" w:firstLine="360"/>
        <w:rPr>
          <w:rFonts w:ascii="宋体" w:hAnsi="宋体" w:hint="eastAsia"/>
          <w:sz w:val="18"/>
          <w:szCs w:val="18"/>
        </w:rPr>
      </w:pPr>
      <w:r w:rsidRPr="00670D94">
        <w:rPr>
          <w:rFonts w:ascii="宋体" w:hAnsi="宋体" w:hint="eastAsia"/>
          <w:sz w:val="18"/>
          <w:szCs w:val="18"/>
        </w:rPr>
        <w:t>由此得出，若国家大环境上对这一行业有支持力度，人均薪酬也会上涨。</w:t>
      </w:r>
    </w:p>
    <w:p w14:paraId="3EF19FEF" w14:textId="4E0F92B6" w:rsidR="00856CC1" w:rsidRDefault="00856CC1" w:rsidP="00856CC1">
      <w:pPr>
        <w:pStyle w:val="DepartCorrespond"/>
        <w:numPr>
          <w:ilvl w:val="1"/>
          <w:numId w:val="1"/>
        </w:numPr>
        <w:ind w:left="119" w:hanging="119"/>
        <w:rPr>
          <w:rFonts w:ascii="黑体" w:eastAsia="黑体" w:hAnsi="黑体"/>
          <w:sz w:val="18"/>
          <w:szCs w:val="18"/>
        </w:rPr>
      </w:pPr>
      <w:r w:rsidRPr="00856CC1">
        <w:rPr>
          <w:rFonts w:ascii="黑体" w:eastAsia="黑体" w:hAnsi="黑体" w:hint="eastAsia"/>
          <w:sz w:val="18"/>
          <w:szCs w:val="18"/>
        </w:rPr>
        <w:t>从业人员总数和学历分布变化对劳动薪酬变化的影响</w:t>
      </w:r>
    </w:p>
    <w:p w14:paraId="70662617" w14:textId="7DBC0F17" w:rsidR="000D3EC1" w:rsidRDefault="000D3EC1" w:rsidP="000D3EC1">
      <w:pPr>
        <w:pStyle w:val="a9"/>
        <w:spacing w:after="0" w:line="400" w:lineRule="exact"/>
        <w:ind w:firstLineChars="200" w:firstLine="360"/>
        <w:rPr>
          <w:rFonts w:ascii="宋体" w:hAnsi="宋体"/>
          <w:sz w:val="18"/>
          <w:szCs w:val="18"/>
        </w:rPr>
      </w:pPr>
      <w:r w:rsidRPr="000D3EC1">
        <w:rPr>
          <w:rFonts w:ascii="宋体" w:hAnsi="宋体" w:hint="eastAsia"/>
          <w:sz w:val="18"/>
          <w:szCs w:val="18"/>
        </w:rPr>
        <w:t>统计2005年至2018年从业人员学历变化</w:t>
      </w:r>
      <w:r w:rsidR="00FF45C8">
        <w:rPr>
          <w:rFonts w:ascii="宋体" w:hAnsi="宋体" w:hint="eastAsia"/>
          <w:sz w:val="18"/>
          <w:szCs w:val="18"/>
        </w:rPr>
        <w:t>，</w:t>
      </w:r>
      <w:r w:rsidR="00FF45C8">
        <w:rPr>
          <w:rFonts w:ascii="宋体" w:hAnsi="宋体" w:hint="eastAsia"/>
          <w:sz w:val="18"/>
          <w:szCs w:val="18"/>
        </w:rPr>
        <w:t>如</w:t>
      </w:r>
      <w:r w:rsidR="00FF45C8" w:rsidRPr="00670D94">
        <w:rPr>
          <w:rFonts w:ascii="宋体" w:hAnsi="宋体" w:hint="eastAsia"/>
          <w:sz w:val="18"/>
          <w:szCs w:val="18"/>
        </w:rPr>
        <w:t>图</w:t>
      </w:r>
      <w:r w:rsidR="00FF45C8">
        <w:rPr>
          <w:rFonts w:ascii="宋体" w:hAnsi="宋体"/>
          <w:sz w:val="18"/>
          <w:szCs w:val="18"/>
        </w:rPr>
        <w:t>2</w:t>
      </w:r>
      <w:r w:rsidR="00FF45C8">
        <w:rPr>
          <w:rFonts w:ascii="宋体" w:hAnsi="宋体" w:hint="eastAsia"/>
          <w:sz w:val="18"/>
          <w:szCs w:val="18"/>
        </w:rPr>
        <w:t>所示</w:t>
      </w:r>
      <w:r w:rsidR="00FF45C8" w:rsidRPr="00670D94">
        <w:rPr>
          <w:rFonts w:ascii="宋体" w:hAnsi="宋体" w:hint="eastAsia"/>
          <w:sz w:val="18"/>
          <w:szCs w:val="18"/>
        </w:rPr>
        <w:t>。</w:t>
      </w:r>
      <w:r w:rsidRPr="000D3EC1">
        <w:rPr>
          <w:rFonts w:ascii="宋体" w:hAnsi="宋体" w:hint="eastAsia"/>
          <w:sz w:val="18"/>
          <w:szCs w:val="18"/>
        </w:rPr>
        <w:t>学历分布一直保持大学本科人员总数大于大专以下人员总数大于硕士以上人员总数。虽然每一类人员都在逐年增加，但是大学本科和大专以下的增速都大于硕士以上的增速。2014年至2015年全部从业人数增速变缓，但大专以下人员的增速</w:t>
      </w:r>
      <w:r w:rsidR="00674A50">
        <w:rPr>
          <w:rFonts w:ascii="宋体" w:hAnsi="宋体" w:hint="eastAsia"/>
          <w:sz w:val="18"/>
          <w:szCs w:val="18"/>
        </w:rPr>
        <w:t>却</w:t>
      </w:r>
      <w:r w:rsidRPr="000D3EC1">
        <w:rPr>
          <w:rFonts w:ascii="宋体" w:hAnsi="宋体" w:hint="eastAsia"/>
          <w:sz w:val="18"/>
          <w:szCs w:val="18"/>
        </w:rPr>
        <w:t>几乎保持不变。信息技术行业的高薪和就业前景吸引了很多人选择相关专业，信息技术人才培训机构也不断增多，迅猛的发展</w:t>
      </w:r>
      <w:r w:rsidRPr="000D3EC1">
        <w:rPr>
          <w:rFonts w:ascii="宋体" w:hAnsi="宋体" w:hint="eastAsia"/>
          <w:sz w:val="18"/>
          <w:szCs w:val="18"/>
        </w:rPr>
        <w:t>在带动信息技术企业的同时，也撕裂了信息技术人才的供应。2015年中，全国信息技术行业从业人员人数增长了约100万，算上因退休、选择其他行业等原因造成的180万的行业人才流失，整个信息技术行业约有超过280万的人才需求。而教育部预估数据中，全国普通专科、本科及研究生类信息技术专业毕业生就业人数仅有100万。高校为让学生进行专业技能训练建立计算机行业实践基地，职业教育机构不断扩大规模，也无法在短时间内改变人才行业技术人才短缺的情况</w:t>
      </w:r>
      <w:r w:rsidRPr="000D3EC1">
        <w:rPr>
          <w:rStyle w:val="af5"/>
          <w:rFonts w:ascii="宋体" w:hAnsi="宋体"/>
          <w:szCs w:val="21"/>
        </w:rPr>
        <w:endnoteReference w:customMarkFollows="1" w:id="2"/>
        <w:t>[</w:t>
      </w:r>
      <w:r w:rsidR="000D274D">
        <w:rPr>
          <w:rStyle w:val="af5"/>
          <w:rFonts w:ascii="宋体" w:hAnsi="宋体"/>
          <w:szCs w:val="21"/>
        </w:rPr>
        <w:t>2</w:t>
      </w:r>
      <w:r w:rsidRPr="000D3EC1">
        <w:rPr>
          <w:rStyle w:val="af5"/>
          <w:rFonts w:ascii="宋体" w:hAnsi="宋体"/>
          <w:szCs w:val="21"/>
        </w:rPr>
        <w:t>]</w:t>
      </w:r>
      <w:r w:rsidRPr="000D3EC1">
        <w:rPr>
          <w:rFonts w:ascii="宋体" w:hAnsi="宋体" w:hint="eastAsia"/>
          <w:sz w:val="18"/>
          <w:szCs w:val="18"/>
        </w:rPr>
        <w:t>。</w:t>
      </w:r>
    </w:p>
    <w:p w14:paraId="5824313C" w14:textId="22638066" w:rsidR="00612557" w:rsidRDefault="00266197" w:rsidP="0081683B">
      <w:pPr>
        <w:pStyle w:val="DepartCorrespond"/>
        <w:ind w:left="106" w:hanging="106"/>
        <w:jc w:val="center"/>
        <w:rPr>
          <w:rFonts w:ascii="宋体" w:hAnsi="宋体"/>
          <w:sz w:val="15"/>
          <w:szCs w:val="15"/>
        </w:rPr>
      </w:pPr>
      <w:r w:rsidRPr="00DD7FA2">
        <w:rPr>
          <w:noProof/>
        </w:rPr>
        <w:object w:dxaOrig="4896" w:dyaOrig="3466" w14:anchorId="42551788">
          <v:shape id="图表 1" o:spid="_x0000_i1214" type="#_x0000_t75" style="width:244.9pt;height:173.45pt;visibility:visible" o:ole="">
            <v:imagedata r:id="rId13" o:title=""/>
            <o:lock v:ext="edit" aspectratio="f"/>
          </v:shape>
          <o:OLEObject Type="Embed" ProgID="Excel.Chart.8" ShapeID="图表 1" DrawAspect="Content" ObjectID="_1679234371" r:id="rId14">
            <o:FieldCodes>\s</o:FieldCodes>
          </o:OLEObject>
        </w:object>
      </w:r>
      <w:r w:rsidR="00612557">
        <w:rPr>
          <w:rFonts w:ascii="宋体" w:hAnsi="宋体" w:hint="eastAsia"/>
          <w:sz w:val="15"/>
          <w:szCs w:val="15"/>
        </w:rPr>
        <w:t>图</w:t>
      </w:r>
      <w:r w:rsidR="00B03E3A">
        <w:rPr>
          <w:rFonts w:ascii="宋体" w:hAnsi="宋体"/>
          <w:sz w:val="15"/>
          <w:szCs w:val="15"/>
        </w:rPr>
        <w:t>2</w:t>
      </w:r>
      <w:r w:rsidR="00612557">
        <w:rPr>
          <w:rFonts w:ascii="宋体" w:hAnsi="宋体" w:hint="eastAsia"/>
          <w:sz w:val="15"/>
          <w:szCs w:val="15"/>
        </w:rPr>
        <w:t xml:space="preserve">  </w:t>
      </w:r>
      <w:r w:rsidR="00612557">
        <w:rPr>
          <w:rFonts w:ascii="宋体" w:hAnsi="宋体" w:hint="eastAsia"/>
          <w:sz w:val="15"/>
          <w:szCs w:val="15"/>
        </w:rPr>
        <w:t>从业人员学历分布变化</w:t>
      </w:r>
      <w:r w:rsidR="00612557">
        <w:rPr>
          <w:rFonts w:ascii="宋体" w:hAnsi="宋体" w:hint="eastAsia"/>
          <w:sz w:val="15"/>
          <w:szCs w:val="15"/>
        </w:rPr>
        <w:t>图</w:t>
      </w:r>
    </w:p>
    <w:p w14:paraId="7F81A3A9" w14:textId="57AD7279" w:rsidR="00612557" w:rsidRPr="00670D94" w:rsidRDefault="00612557" w:rsidP="00612557">
      <w:pPr>
        <w:pStyle w:val="DepartCorrespond"/>
        <w:ind w:left="119" w:hanging="119"/>
        <w:jc w:val="center"/>
        <w:rPr>
          <w:rFonts w:hint="eastAsia"/>
        </w:rPr>
      </w:pPr>
      <w:r>
        <w:rPr>
          <w:rFonts w:ascii="宋体" w:hAnsi="宋体" w:hint="eastAsia"/>
          <w:sz w:val="18"/>
          <w:szCs w:val="18"/>
        </w:rPr>
        <w:t>Fig.</w:t>
      </w:r>
      <w:proofErr w:type="gramStart"/>
      <w:r w:rsidR="00B03E3A">
        <w:rPr>
          <w:rFonts w:ascii="宋体" w:hAnsi="宋体"/>
          <w:sz w:val="18"/>
          <w:szCs w:val="18"/>
        </w:rPr>
        <w:t>2</w:t>
      </w:r>
      <w:r>
        <w:rPr>
          <w:rFonts w:ascii="宋体" w:hAnsi="宋体" w:hint="eastAsia"/>
          <w:sz w:val="18"/>
          <w:szCs w:val="18"/>
        </w:rPr>
        <w:t xml:space="preserve"> </w:t>
      </w:r>
      <w:r>
        <w:rPr>
          <w:rFonts w:hint="eastAsia"/>
          <w:sz w:val="15"/>
          <w:szCs w:val="15"/>
        </w:rPr>
        <w:t xml:space="preserve"> </w:t>
      </w:r>
      <w:r w:rsidR="00B03E3A" w:rsidRPr="00B03E3A">
        <w:rPr>
          <w:sz w:val="15"/>
          <w:szCs w:val="15"/>
        </w:rPr>
        <w:t>Changes</w:t>
      </w:r>
      <w:proofErr w:type="gramEnd"/>
      <w:r w:rsidR="00B03E3A" w:rsidRPr="00B03E3A">
        <w:rPr>
          <w:sz w:val="15"/>
          <w:szCs w:val="15"/>
        </w:rPr>
        <w:t xml:space="preserve"> in the education distribution of employees</w:t>
      </w:r>
    </w:p>
    <w:p w14:paraId="467C2D67" w14:textId="65663E67" w:rsidR="00FA2CCD" w:rsidRPr="000D3EC1" w:rsidRDefault="000D3EC1" w:rsidP="000D3EC1">
      <w:pPr>
        <w:pStyle w:val="a9"/>
        <w:spacing w:after="0" w:line="400" w:lineRule="exact"/>
        <w:ind w:firstLineChars="200" w:firstLine="360"/>
        <w:rPr>
          <w:rFonts w:ascii="宋体" w:hAnsi="宋体" w:hint="eastAsia"/>
          <w:sz w:val="18"/>
          <w:szCs w:val="18"/>
        </w:rPr>
      </w:pPr>
      <w:r w:rsidRPr="000D3EC1">
        <w:rPr>
          <w:rFonts w:ascii="宋体" w:hAnsi="宋体" w:hint="eastAsia"/>
          <w:sz w:val="18"/>
          <w:szCs w:val="18"/>
        </w:rPr>
        <w:t>劳动薪酬在2014至2015年期间增幅明显变小，但是从业人员学历在这期间或之前却没有显著改变，所以可以得出，尽管劳动薪酬会影响学生、社会人员对未来、当前所从事行业的选择，从业人员的学历分布变化却不会对劳动薪酬产生直接的影响。</w:t>
      </w:r>
    </w:p>
    <w:p w14:paraId="6AF18685" w14:textId="2E9C949D" w:rsidR="00856CC1" w:rsidRDefault="00856CC1" w:rsidP="00856CC1">
      <w:pPr>
        <w:pStyle w:val="DepartCorrespond"/>
        <w:numPr>
          <w:ilvl w:val="1"/>
          <w:numId w:val="1"/>
        </w:numPr>
        <w:ind w:left="119" w:hanging="119"/>
        <w:rPr>
          <w:rFonts w:ascii="黑体" w:eastAsia="黑体" w:hAnsi="黑体"/>
          <w:sz w:val="18"/>
          <w:szCs w:val="18"/>
        </w:rPr>
      </w:pPr>
      <w:r w:rsidRPr="00856CC1">
        <w:rPr>
          <w:rFonts w:ascii="黑体" w:eastAsia="黑体" w:hAnsi="黑体" w:hint="eastAsia"/>
          <w:sz w:val="18"/>
          <w:szCs w:val="18"/>
        </w:rPr>
        <w:t>劳动薪酬增长趋势和从业人员类别比例的对比</w:t>
      </w:r>
    </w:p>
    <w:p w14:paraId="0869EDC5" w14:textId="6E27265F" w:rsidR="0027197B" w:rsidRDefault="005E1DA6" w:rsidP="0027197B">
      <w:pPr>
        <w:pStyle w:val="a9"/>
        <w:spacing w:after="0"/>
        <w:jc w:val="center"/>
        <w:rPr>
          <w:rFonts w:ascii="宋体" w:hAnsi="宋体"/>
          <w:sz w:val="15"/>
          <w:szCs w:val="15"/>
        </w:rPr>
      </w:pPr>
      <w:r w:rsidRPr="00DD7FA2">
        <w:rPr>
          <w:noProof/>
        </w:rPr>
        <w:object w:dxaOrig="4896" w:dyaOrig="2976" w14:anchorId="5234932D">
          <v:shape id="_x0000_i1226" type="#_x0000_t75" style="width:244.9pt;height:148.9pt;visibility:visible" o:ole="">
            <v:imagedata r:id="rId15" o:title=""/>
            <o:lock v:ext="edit" aspectratio="f"/>
          </v:shape>
          <o:OLEObject Type="Embed" ProgID="Excel.Chart.8" ShapeID="_x0000_i1226" DrawAspect="Content" ObjectID="_1679234372" r:id="rId16">
            <o:FieldCodes>\s</o:FieldCodes>
          </o:OLEObject>
        </w:object>
      </w:r>
      <w:r w:rsidR="0027197B">
        <w:rPr>
          <w:rFonts w:ascii="宋体" w:hAnsi="宋体" w:hint="eastAsia"/>
          <w:sz w:val="15"/>
          <w:szCs w:val="15"/>
        </w:rPr>
        <w:t>图</w:t>
      </w:r>
      <w:r w:rsidR="0027197B">
        <w:rPr>
          <w:rFonts w:ascii="宋体" w:hAnsi="宋体"/>
          <w:sz w:val="15"/>
          <w:szCs w:val="15"/>
        </w:rPr>
        <w:t>3</w:t>
      </w:r>
      <w:r w:rsidR="0027197B">
        <w:rPr>
          <w:rFonts w:ascii="宋体" w:hAnsi="宋体" w:hint="eastAsia"/>
          <w:sz w:val="15"/>
          <w:szCs w:val="15"/>
        </w:rPr>
        <w:t xml:space="preserve">  从业人员</w:t>
      </w:r>
      <w:r w:rsidR="0027197B">
        <w:rPr>
          <w:rFonts w:ascii="宋体" w:hAnsi="宋体" w:hint="eastAsia"/>
          <w:sz w:val="15"/>
          <w:szCs w:val="15"/>
        </w:rPr>
        <w:t>类别</w:t>
      </w:r>
      <w:r w:rsidR="0027197B">
        <w:rPr>
          <w:rFonts w:ascii="宋体" w:hAnsi="宋体" w:hint="eastAsia"/>
          <w:sz w:val="15"/>
          <w:szCs w:val="15"/>
        </w:rPr>
        <w:t>分布变化图</w:t>
      </w:r>
    </w:p>
    <w:p w14:paraId="62D359AF" w14:textId="3FF8EEE7" w:rsidR="0027197B" w:rsidRPr="00670D94" w:rsidRDefault="0027197B" w:rsidP="0027197B">
      <w:pPr>
        <w:pStyle w:val="DepartCorrespond"/>
        <w:ind w:left="119" w:hanging="119"/>
        <w:jc w:val="center"/>
        <w:rPr>
          <w:rFonts w:hint="eastAsia"/>
        </w:rPr>
      </w:pPr>
      <w:r>
        <w:rPr>
          <w:rFonts w:ascii="宋体" w:hAnsi="宋体" w:hint="eastAsia"/>
          <w:sz w:val="18"/>
          <w:szCs w:val="18"/>
        </w:rPr>
        <w:t>Fig.</w:t>
      </w:r>
      <w:proofErr w:type="gramStart"/>
      <w:r>
        <w:rPr>
          <w:rFonts w:ascii="宋体" w:hAnsi="宋体"/>
          <w:sz w:val="18"/>
          <w:szCs w:val="18"/>
        </w:rPr>
        <w:t>3</w:t>
      </w:r>
      <w:r>
        <w:rPr>
          <w:rFonts w:ascii="宋体" w:hAnsi="宋体" w:hint="eastAsia"/>
          <w:sz w:val="18"/>
          <w:szCs w:val="18"/>
        </w:rPr>
        <w:t xml:space="preserve"> </w:t>
      </w:r>
      <w:r>
        <w:rPr>
          <w:rFonts w:hint="eastAsia"/>
          <w:sz w:val="15"/>
          <w:szCs w:val="15"/>
        </w:rPr>
        <w:t xml:space="preserve"> </w:t>
      </w:r>
      <w:r w:rsidRPr="0027197B">
        <w:rPr>
          <w:sz w:val="15"/>
          <w:szCs w:val="15"/>
        </w:rPr>
        <w:t>Changes</w:t>
      </w:r>
      <w:proofErr w:type="gramEnd"/>
      <w:r w:rsidRPr="0027197B">
        <w:rPr>
          <w:sz w:val="15"/>
          <w:szCs w:val="15"/>
        </w:rPr>
        <w:t xml:space="preserve"> in the distribution of categories of practitioners</w:t>
      </w:r>
    </w:p>
    <w:p w14:paraId="6376501B" w14:textId="77777777" w:rsidR="002A3958" w:rsidRDefault="002A3958" w:rsidP="002A3958">
      <w:pPr>
        <w:pStyle w:val="a9"/>
        <w:spacing w:after="0" w:line="400" w:lineRule="exact"/>
        <w:ind w:firstLineChars="200" w:firstLine="360"/>
        <w:rPr>
          <w:rFonts w:ascii="宋体" w:hAnsi="宋体"/>
          <w:sz w:val="18"/>
          <w:szCs w:val="18"/>
        </w:rPr>
      </w:pPr>
      <w:r w:rsidRPr="000D3EC1">
        <w:rPr>
          <w:rFonts w:ascii="宋体" w:hAnsi="宋体" w:hint="eastAsia"/>
          <w:sz w:val="18"/>
          <w:szCs w:val="18"/>
        </w:rPr>
        <w:t>统计2</w:t>
      </w:r>
      <w:r w:rsidRPr="000D3EC1">
        <w:rPr>
          <w:rFonts w:ascii="宋体" w:hAnsi="宋体"/>
          <w:sz w:val="18"/>
          <w:szCs w:val="18"/>
        </w:rPr>
        <w:t>005</w:t>
      </w:r>
      <w:r w:rsidRPr="000D3EC1">
        <w:rPr>
          <w:rFonts w:ascii="宋体" w:hAnsi="宋体" w:hint="eastAsia"/>
          <w:sz w:val="18"/>
          <w:szCs w:val="18"/>
        </w:rPr>
        <w:t>年至2</w:t>
      </w:r>
      <w:r w:rsidRPr="000D3EC1">
        <w:rPr>
          <w:rFonts w:ascii="宋体" w:hAnsi="宋体"/>
          <w:sz w:val="18"/>
          <w:szCs w:val="18"/>
        </w:rPr>
        <w:t>018</w:t>
      </w:r>
      <w:r w:rsidRPr="000D3EC1">
        <w:rPr>
          <w:rFonts w:ascii="宋体" w:hAnsi="宋体" w:hint="eastAsia"/>
          <w:sz w:val="18"/>
          <w:szCs w:val="18"/>
        </w:rPr>
        <w:t>年从业人员类别分布的变化</w:t>
      </w:r>
      <w:r>
        <w:rPr>
          <w:rFonts w:ascii="宋体" w:hAnsi="宋体" w:hint="eastAsia"/>
          <w:sz w:val="18"/>
          <w:szCs w:val="18"/>
        </w:rPr>
        <w:t>，如</w:t>
      </w:r>
      <w:r w:rsidRPr="00670D94">
        <w:rPr>
          <w:rFonts w:ascii="宋体" w:hAnsi="宋体" w:hint="eastAsia"/>
          <w:sz w:val="18"/>
          <w:szCs w:val="18"/>
        </w:rPr>
        <w:t>图</w:t>
      </w:r>
      <w:r>
        <w:rPr>
          <w:rFonts w:ascii="宋体" w:hAnsi="宋体"/>
          <w:sz w:val="18"/>
          <w:szCs w:val="18"/>
        </w:rPr>
        <w:t>3</w:t>
      </w:r>
      <w:r>
        <w:rPr>
          <w:rFonts w:ascii="宋体" w:hAnsi="宋体" w:hint="eastAsia"/>
          <w:sz w:val="18"/>
          <w:szCs w:val="18"/>
        </w:rPr>
        <w:t>所示</w:t>
      </w:r>
      <w:r w:rsidRPr="00670D94">
        <w:rPr>
          <w:rFonts w:ascii="宋体" w:hAnsi="宋体" w:hint="eastAsia"/>
          <w:sz w:val="18"/>
          <w:szCs w:val="18"/>
        </w:rPr>
        <w:t>。</w:t>
      </w:r>
      <w:r w:rsidRPr="000D3EC1">
        <w:rPr>
          <w:rFonts w:ascii="宋体" w:hAnsi="宋体" w:hint="eastAsia"/>
          <w:sz w:val="18"/>
          <w:szCs w:val="18"/>
        </w:rPr>
        <w:t>管理人员人数十</w:t>
      </w:r>
      <w:r>
        <w:rPr>
          <w:rFonts w:ascii="宋体" w:hAnsi="宋体" w:hint="eastAsia"/>
          <w:sz w:val="18"/>
          <w:szCs w:val="18"/>
        </w:rPr>
        <w:t>四</w:t>
      </w:r>
      <w:r w:rsidRPr="000D3EC1">
        <w:rPr>
          <w:rFonts w:ascii="宋体" w:hAnsi="宋体" w:hint="eastAsia"/>
          <w:sz w:val="18"/>
          <w:szCs w:val="18"/>
        </w:rPr>
        <w:t>年来较为稳定，但是软件研发人员有</w:t>
      </w:r>
      <w:r w:rsidRPr="000D3EC1">
        <w:rPr>
          <w:rFonts w:ascii="宋体" w:hAnsi="宋体" w:hint="eastAsia"/>
          <w:sz w:val="18"/>
          <w:szCs w:val="18"/>
        </w:rPr>
        <w:lastRenderedPageBreak/>
        <w:t>较大的变化。2</w:t>
      </w:r>
      <w:r w:rsidRPr="000D3EC1">
        <w:rPr>
          <w:rFonts w:ascii="宋体" w:hAnsi="宋体"/>
          <w:sz w:val="18"/>
          <w:szCs w:val="18"/>
        </w:rPr>
        <w:t>005</w:t>
      </w:r>
      <w:r w:rsidRPr="000D3EC1">
        <w:rPr>
          <w:rFonts w:ascii="宋体" w:hAnsi="宋体" w:hint="eastAsia"/>
          <w:sz w:val="18"/>
          <w:szCs w:val="18"/>
        </w:rPr>
        <w:t>年至2</w:t>
      </w:r>
      <w:r w:rsidRPr="000D3EC1">
        <w:rPr>
          <w:rFonts w:ascii="宋体" w:hAnsi="宋体"/>
          <w:sz w:val="18"/>
          <w:szCs w:val="18"/>
        </w:rPr>
        <w:t>015</w:t>
      </w:r>
      <w:r w:rsidRPr="000D3EC1">
        <w:rPr>
          <w:rFonts w:ascii="宋体" w:hAnsi="宋体" w:hint="eastAsia"/>
          <w:sz w:val="18"/>
          <w:szCs w:val="18"/>
        </w:rPr>
        <w:t>年间逐年增长，但是2</w:t>
      </w:r>
      <w:r w:rsidRPr="000D3EC1">
        <w:rPr>
          <w:rFonts w:ascii="宋体" w:hAnsi="宋体"/>
          <w:sz w:val="18"/>
          <w:szCs w:val="18"/>
        </w:rPr>
        <w:t>015</w:t>
      </w:r>
      <w:r w:rsidRPr="000D3EC1">
        <w:rPr>
          <w:rFonts w:ascii="宋体" w:hAnsi="宋体" w:hint="eastAsia"/>
          <w:sz w:val="18"/>
          <w:szCs w:val="18"/>
        </w:rPr>
        <w:t>年至</w:t>
      </w:r>
      <w:r w:rsidRPr="000D3EC1">
        <w:rPr>
          <w:rFonts w:ascii="宋体" w:hAnsi="宋体"/>
          <w:sz w:val="18"/>
          <w:szCs w:val="18"/>
        </w:rPr>
        <w:t>2016</w:t>
      </w:r>
      <w:r w:rsidRPr="000D3EC1">
        <w:rPr>
          <w:rFonts w:ascii="宋体" w:hAnsi="宋体" w:hint="eastAsia"/>
          <w:sz w:val="18"/>
          <w:szCs w:val="18"/>
        </w:rPr>
        <w:t>年却减少，2</w:t>
      </w:r>
      <w:r w:rsidRPr="000D3EC1">
        <w:rPr>
          <w:rFonts w:ascii="宋体" w:hAnsi="宋体"/>
          <w:sz w:val="18"/>
          <w:szCs w:val="18"/>
        </w:rPr>
        <w:t>016</w:t>
      </w:r>
      <w:r w:rsidRPr="000D3EC1">
        <w:rPr>
          <w:rFonts w:ascii="宋体" w:hAnsi="宋体" w:hint="eastAsia"/>
          <w:sz w:val="18"/>
          <w:szCs w:val="18"/>
        </w:rPr>
        <w:t>年至2</w:t>
      </w:r>
      <w:r w:rsidRPr="000D3EC1">
        <w:rPr>
          <w:rFonts w:ascii="宋体" w:hAnsi="宋体"/>
          <w:sz w:val="18"/>
          <w:szCs w:val="18"/>
        </w:rPr>
        <w:t>018</w:t>
      </w:r>
      <w:r w:rsidRPr="000D3EC1">
        <w:rPr>
          <w:rFonts w:ascii="宋体" w:hAnsi="宋体" w:hint="eastAsia"/>
          <w:sz w:val="18"/>
          <w:szCs w:val="18"/>
        </w:rPr>
        <w:t>年恢复增长趋势。2</w:t>
      </w:r>
      <w:r w:rsidRPr="000D3EC1">
        <w:rPr>
          <w:rFonts w:ascii="宋体" w:hAnsi="宋体"/>
          <w:sz w:val="18"/>
          <w:szCs w:val="18"/>
        </w:rPr>
        <w:t>014</w:t>
      </w:r>
      <w:r w:rsidRPr="000D3EC1">
        <w:rPr>
          <w:rFonts w:ascii="宋体" w:hAnsi="宋体" w:hint="eastAsia"/>
          <w:sz w:val="18"/>
          <w:szCs w:val="18"/>
        </w:rPr>
        <w:t>年至2</w:t>
      </w:r>
      <w:r w:rsidRPr="000D3EC1">
        <w:rPr>
          <w:rFonts w:ascii="宋体" w:hAnsi="宋体"/>
          <w:sz w:val="18"/>
          <w:szCs w:val="18"/>
        </w:rPr>
        <w:t>015</w:t>
      </w:r>
      <w:r w:rsidRPr="000D3EC1">
        <w:rPr>
          <w:rFonts w:ascii="宋体" w:hAnsi="宋体" w:hint="eastAsia"/>
          <w:sz w:val="18"/>
          <w:szCs w:val="18"/>
        </w:rPr>
        <w:t>年劳动者薪酬增长速度变小，一定程度上降低了下一年从业者和计划从业者的热情。人数一旦减少，技术含量高的软件开发人员就会显得宝贵，薪酬就会增加。</w:t>
      </w:r>
    </w:p>
    <w:p w14:paraId="4AEC9F55" w14:textId="69975CEA" w:rsidR="00856CC1" w:rsidRPr="00856CC1" w:rsidRDefault="00856CC1" w:rsidP="00856CC1">
      <w:pPr>
        <w:pStyle w:val="DepartCorrespond"/>
        <w:numPr>
          <w:ilvl w:val="1"/>
          <w:numId w:val="1"/>
        </w:numPr>
        <w:ind w:left="119" w:hanging="119"/>
        <w:rPr>
          <w:rFonts w:ascii="黑体" w:eastAsia="黑体" w:hAnsi="黑体"/>
          <w:sz w:val="18"/>
          <w:szCs w:val="18"/>
        </w:rPr>
      </w:pPr>
      <w:r w:rsidRPr="00856CC1">
        <w:rPr>
          <w:rFonts w:ascii="黑体" w:eastAsia="黑体" w:hAnsi="黑体" w:hint="eastAsia"/>
          <w:sz w:val="18"/>
          <w:szCs w:val="18"/>
        </w:rPr>
        <w:t>企业利润总额增长趋势和劳动薪酬增长趋势的对比</w:t>
      </w:r>
    </w:p>
    <w:p w14:paraId="2570F77C" w14:textId="5EAA1004" w:rsidR="00DA39D8" w:rsidRDefault="005F6612" w:rsidP="00DA39D8">
      <w:pPr>
        <w:pStyle w:val="a9"/>
        <w:spacing w:after="0"/>
        <w:jc w:val="center"/>
        <w:rPr>
          <w:rFonts w:ascii="宋体" w:hAnsi="宋体"/>
          <w:sz w:val="15"/>
          <w:szCs w:val="15"/>
        </w:rPr>
      </w:pPr>
      <w:r w:rsidRPr="00DD7FA2">
        <w:rPr>
          <w:noProof/>
        </w:rPr>
        <w:object w:dxaOrig="4896" w:dyaOrig="3139" w14:anchorId="40744D20">
          <v:shape id="_x0000_i1232" type="#_x0000_t75" style="width:244.9pt;height:157.1pt;visibility:visible" o:ole="">
            <v:imagedata r:id="rId17" o:title=""/>
            <o:lock v:ext="edit" aspectratio="f"/>
          </v:shape>
          <o:OLEObject Type="Embed" ProgID="Excel.Chart.8" ShapeID="_x0000_i1232" DrawAspect="Content" ObjectID="_1679234373" r:id="rId18">
            <o:FieldCodes>\s</o:FieldCodes>
          </o:OLEObject>
        </w:object>
      </w:r>
      <w:r w:rsidR="00DA39D8">
        <w:rPr>
          <w:rFonts w:ascii="宋体" w:hAnsi="宋体" w:hint="eastAsia"/>
          <w:sz w:val="15"/>
          <w:szCs w:val="15"/>
        </w:rPr>
        <w:t>图</w:t>
      </w:r>
      <w:r w:rsidR="00DA39D8">
        <w:rPr>
          <w:rFonts w:ascii="宋体" w:hAnsi="宋体"/>
          <w:sz w:val="15"/>
          <w:szCs w:val="15"/>
        </w:rPr>
        <w:t>4</w:t>
      </w:r>
      <w:r w:rsidR="00DA39D8">
        <w:rPr>
          <w:rFonts w:ascii="宋体" w:hAnsi="宋体" w:hint="eastAsia"/>
          <w:sz w:val="15"/>
          <w:szCs w:val="15"/>
        </w:rPr>
        <w:t xml:space="preserve">  </w:t>
      </w:r>
      <w:r w:rsidR="00DA39D8">
        <w:rPr>
          <w:rFonts w:ascii="宋体" w:hAnsi="宋体" w:hint="eastAsia"/>
          <w:sz w:val="15"/>
          <w:szCs w:val="15"/>
        </w:rPr>
        <w:t>利润总额和劳动者薪酬</w:t>
      </w:r>
      <w:r w:rsidR="00DA39D8">
        <w:rPr>
          <w:rFonts w:ascii="宋体" w:hAnsi="宋体" w:hint="eastAsia"/>
          <w:sz w:val="15"/>
          <w:szCs w:val="15"/>
        </w:rPr>
        <w:t>变化图</w:t>
      </w:r>
    </w:p>
    <w:p w14:paraId="523D9E92" w14:textId="7B89629D" w:rsidR="0057445A" w:rsidRPr="00670D94" w:rsidRDefault="0057445A" w:rsidP="0057445A">
      <w:pPr>
        <w:pStyle w:val="DepartCorrespond"/>
        <w:ind w:left="119" w:hanging="119"/>
        <w:jc w:val="center"/>
        <w:rPr>
          <w:rFonts w:hint="eastAsia"/>
        </w:rPr>
      </w:pPr>
      <w:r>
        <w:rPr>
          <w:rFonts w:ascii="宋体" w:hAnsi="宋体" w:hint="eastAsia"/>
          <w:sz w:val="18"/>
          <w:szCs w:val="18"/>
        </w:rPr>
        <w:t>Fig.</w:t>
      </w:r>
      <w:proofErr w:type="gramStart"/>
      <w:r w:rsidR="00DA39D8">
        <w:rPr>
          <w:rFonts w:ascii="宋体" w:hAnsi="宋体"/>
          <w:sz w:val="18"/>
          <w:szCs w:val="18"/>
        </w:rPr>
        <w:t>4</w:t>
      </w:r>
      <w:r>
        <w:rPr>
          <w:rFonts w:ascii="宋体" w:hAnsi="宋体" w:hint="eastAsia"/>
          <w:sz w:val="18"/>
          <w:szCs w:val="18"/>
        </w:rPr>
        <w:t xml:space="preserve"> </w:t>
      </w:r>
      <w:r>
        <w:rPr>
          <w:rFonts w:hint="eastAsia"/>
          <w:sz w:val="15"/>
          <w:szCs w:val="15"/>
        </w:rPr>
        <w:t xml:space="preserve"> </w:t>
      </w:r>
      <w:r w:rsidR="00DA39D8" w:rsidRPr="00DA39D8">
        <w:rPr>
          <w:sz w:val="15"/>
          <w:szCs w:val="15"/>
        </w:rPr>
        <w:t>Changes</w:t>
      </w:r>
      <w:proofErr w:type="gramEnd"/>
      <w:r w:rsidR="00DA39D8" w:rsidRPr="00DA39D8">
        <w:rPr>
          <w:sz w:val="15"/>
          <w:szCs w:val="15"/>
        </w:rPr>
        <w:t xml:space="preserve"> in total profits and workers' wages</w:t>
      </w:r>
    </w:p>
    <w:p w14:paraId="4F2E08A4" w14:textId="2679027B" w:rsidR="000D3EC1" w:rsidRPr="000D3EC1" w:rsidRDefault="000D3EC1" w:rsidP="000D3EC1">
      <w:pPr>
        <w:pStyle w:val="a9"/>
        <w:spacing w:after="0" w:line="400" w:lineRule="exact"/>
        <w:ind w:firstLineChars="200" w:firstLine="360"/>
        <w:rPr>
          <w:rFonts w:ascii="宋体" w:hAnsi="宋体" w:hint="eastAsia"/>
          <w:sz w:val="18"/>
          <w:szCs w:val="18"/>
        </w:rPr>
      </w:pPr>
      <w:r w:rsidRPr="000D3EC1">
        <w:rPr>
          <w:rFonts w:ascii="宋体" w:hAnsi="宋体" w:hint="eastAsia"/>
          <w:sz w:val="18"/>
          <w:szCs w:val="18"/>
        </w:rPr>
        <w:t>统计2005年至2018年企业利润总额和劳动者薪酬</w:t>
      </w:r>
      <w:r w:rsidR="0057445A">
        <w:rPr>
          <w:rFonts w:ascii="宋体" w:hAnsi="宋体" w:hint="eastAsia"/>
          <w:sz w:val="18"/>
          <w:szCs w:val="18"/>
        </w:rPr>
        <w:t>，如</w:t>
      </w:r>
      <w:r w:rsidR="0057445A" w:rsidRPr="00670D94">
        <w:rPr>
          <w:rFonts w:ascii="宋体" w:hAnsi="宋体" w:hint="eastAsia"/>
          <w:sz w:val="18"/>
          <w:szCs w:val="18"/>
        </w:rPr>
        <w:t>图</w:t>
      </w:r>
      <w:r w:rsidR="0057445A">
        <w:rPr>
          <w:rFonts w:ascii="宋体" w:hAnsi="宋体"/>
          <w:sz w:val="18"/>
          <w:szCs w:val="18"/>
        </w:rPr>
        <w:t>4</w:t>
      </w:r>
      <w:r w:rsidR="0057445A">
        <w:rPr>
          <w:rFonts w:ascii="宋体" w:hAnsi="宋体" w:hint="eastAsia"/>
          <w:sz w:val="18"/>
          <w:szCs w:val="18"/>
        </w:rPr>
        <w:t>所示</w:t>
      </w:r>
      <w:r w:rsidR="0057445A" w:rsidRPr="00670D94">
        <w:rPr>
          <w:rFonts w:ascii="宋体" w:hAnsi="宋体" w:hint="eastAsia"/>
          <w:sz w:val="18"/>
          <w:szCs w:val="18"/>
        </w:rPr>
        <w:t>。</w:t>
      </w:r>
      <w:r w:rsidRPr="000D3EC1">
        <w:rPr>
          <w:rFonts w:ascii="宋体" w:hAnsi="宋体" w:hint="eastAsia"/>
          <w:sz w:val="18"/>
          <w:szCs w:val="18"/>
        </w:rPr>
        <w:t>从图中可以看出，企业利润和劳动者薪酬的变化曲线几乎一致保持接近重合的状态。由此可得，劳动者薪酬的多寡和企业利润息息相关。</w:t>
      </w:r>
    </w:p>
    <w:p w14:paraId="688EAE04" w14:textId="0DB503DA" w:rsidR="00523449" w:rsidRPr="00523449" w:rsidRDefault="00523449" w:rsidP="00523449">
      <w:pPr>
        <w:pStyle w:val="ad"/>
        <w:numPr>
          <w:ilvl w:val="0"/>
          <w:numId w:val="1"/>
        </w:numPr>
        <w:rPr>
          <w:rFonts w:ascii="黑体" w:eastAsia="黑体" w:hAnsi="黑体"/>
          <w:szCs w:val="21"/>
        </w:rPr>
      </w:pPr>
      <w:r w:rsidRPr="00523449">
        <w:rPr>
          <w:rFonts w:ascii="黑体" w:eastAsia="黑体" w:hAnsi="黑体" w:hint="eastAsia"/>
          <w:szCs w:val="21"/>
        </w:rPr>
        <w:t>结论</w:t>
      </w:r>
    </w:p>
    <w:p w14:paraId="19B03D3A" w14:textId="77777777" w:rsidR="00523449" w:rsidRPr="00523449" w:rsidRDefault="00523449" w:rsidP="00523449">
      <w:pPr>
        <w:pStyle w:val="a9"/>
        <w:spacing w:after="0" w:line="400" w:lineRule="exact"/>
        <w:ind w:firstLine="357"/>
        <w:rPr>
          <w:rFonts w:ascii="宋体" w:hAnsi="宋体" w:hint="eastAsia"/>
          <w:sz w:val="18"/>
          <w:szCs w:val="18"/>
        </w:rPr>
      </w:pPr>
      <w:r w:rsidRPr="00523449">
        <w:rPr>
          <w:rFonts w:ascii="宋体" w:hAnsi="宋体" w:hint="eastAsia"/>
          <w:sz w:val="18"/>
          <w:szCs w:val="18"/>
        </w:rPr>
        <w:t>纵观信息技术行业2005年到2018年间薪酬变化过程，总体来看，信息技术行业薪酬水平较高，薪酬持续上涨，并且涨幅持续增大。以2014、2016年作为分界点将这14年分为三个时间段。第一个时间段伴随着信息技术行业的自然发展，劳动薪酬逐年上涨，增速逐年增大；第二个时间</w:t>
      </w:r>
      <w:proofErr w:type="gramStart"/>
      <w:r w:rsidRPr="00523449">
        <w:rPr>
          <w:rFonts w:ascii="宋体" w:hAnsi="宋体" w:hint="eastAsia"/>
          <w:sz w:val="18"/>
          <w:szCs w:val="18"/>
        </w:rPr>
        <w:t>段由于</w:t>
      </w:r>
      <w:proofErr w:type="gramEnd"/>
      <w:r w:rsidRPr="00523449">
        <w:rPr>
          <w:rFonts w:ascii="宋体" w:hAnsi="宋体" w:hint="eastAsia"/>
          <w:sz w:val="18"/>
          <w:szCs w:val="18"/>
        </w:rPr>
        <w:t>企业数量锐减，软件研发人员数量减少，劳动薪酬增速骤减；第三个时间</w:t>
      </w:r>
      <w:proofErr w:type="gramStart"/>
      <w:r w:rsidRPr="00523449">
        <w:rPr>
          <w:rFonts w:ascii="宋体" w:hAnsi="宋体" w:hint="eastAsia"/>
          <w:sz w:val="18"/>
          <w:szCs w:val="18"/>
        </w:rPr>
        <w:t>段由于</w:t>
      </w:r>
      <w:proofErr w:type="gramEnd"/>
      <w:r w:rsidRPr="00523449">
        <w:rPr>
          <w:rFonts w:ascii="宋体" w:hAnsi="宋体" w:hint="eastAsia"/>
          <w:sz w:val="18"/>
          <w:szCs w:val="18"/>
        </w:rPr>
        <w:t>国家大环境的变化，信息技术行业的薪酬又重振雄风，继续以越来越大的增速上涨。</w:t>
      </w:r>
    </w:p>
    <w:p w14:paraId="30527F5B" w14:textId="19298B87" w:rsidR="00523449" w:rsidRPr="00523449" w:rsidRDefault="00523449" w:rsidP="00523449">
      <w:pPr>
        <w:pStyle w:val="a9"/>
        <w:spacing w:after="0" w:line="400" w:lineRule="exact"/>
        <w:ind w:firstLine="357"/>
        <w:rPr>
          <w:rFonts w:ascii="宋体" w:hAnsi="宋体"/>
          <w:sz w:val="18"/>
          <w:szCs w:val="18"/>
        </w:rPr>
      </w:pPr>
      <w:r w:rsidRPr="00523449">
        <w:rPr>
          <w:rFonts w:ascii="宋体" w:hAnsi="宋体" w:hint="eastAsia"/>
          <w:sz w:val="18"/>
          <w:szCs w:val="18"/>
        </w:rPr>
        <w:t>所以，尽管2021年经济仍存在不确定性，行业动态也经历着迅速变化，但信息技术专业人员的前景仍然乐观。由于数字化转型的快速加速，信息技术行业仍然是一个充满活力，投资良好且面向增长的行业。</w:t>
      </w:r>
    </w:p>
    <w:p w14:paraId="2290EF7B" w14:textId="77777777" w:rsidR="00000000" w:rsidRDefault="00116A7B">
      <w:pPr>
        <w:pStyle w:val="Textof"/>
        <w:spacing w:line="240" w:lineRule="auto"/>
        <w:ind w:left="0" w:firstLineChars="0" w:firstLine="0"/>
        <w:rPr>
          <w:rFonts w:hint="eastAsia"/>
          <w:b/>
          <w:color w:val="FF0000"/>
          <w:sz w:val="18"/>
          <w:szCs w:val="18"/>
        </w:rPr>
      </w:pPr>
    </w:p>
    <w:p w14:paraId="2D3FF7A2" w14:textId="77777777" w:rsidR="00116A7B" w:rsidRDefault="00116A7B">
      <w:pPr>
        <w:pStyle w:val="Textof"/>
        <w:ind w:leftChars="34" w:left="333" w:firstLineChars="0"/>
        <w:jc w:val="left"/>
        <w:rPr>
          <w:rFonts w:hAnsi="宋体"/>
          <w:b/>
          <w:sz w:val="18"/>
          <w:szCs w:val="18"/>
        </w:rPr>
      </w:pPr>
      <w:r>
        <w:rPr>
          <w:rFonts w:hAnsi="宋体" w:hint="eastAsia"/>
          <w:b/>
          <w:sz w:val="18"/>
          <w:szCs w:val="18"/>
        </w:rPr>
        <w:t>参考文献</w:t>
      </w:r>
    </w:p>
    <w:sectPr w:rsidR="00116A7B" w:rsidSect="00D1028C">
      <w:headerReference w:type="even" r:id="rId19"/>
      <w:type w:val="continuous"/>
      <w:pgSz w:w="11906" w:h="16838"/>
      <w:pgMar w:top="720" w:right="720" w:bottom="720" w:left="72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4576C" w14:textId="77777777" w:rsidR="00116A7B" w:rsidRDefault="00116A7B">
      <w:pPr>
        <w:spacing w:after="0"/>
      </w:pPr>
    </w:p>
  </w:endnote>
  <w:endnote w:type="continuationSeparator" w:id="0">
    <w:p w14:paraId="1F439387" w14:textId="77777777" w:rsidR="00116A7B" w:rsidRDefault="00116A7B">
      <w:pPr>
        <w:spacing w:after="0"/>
      </w:pPr>
      <w:r>
        <w:continuationSeparator/>
      </w:r>
    </w:p>
  </w:endnote>
  <w:endnote w:id="1">
    <w:p w14:paraId="1B9C082A" w14:textId="0F7810E9" w:rsidR="00C602B4" w:rsidRDefault="00C602B4">
      <w:pPr>
        <w:pStyle w:val="af3"/>
        <w:rPr>
          <w:rFonts w:hint="eastAsia"/>
        </w:rPr>
      </w:pPr>
      <w:r w:rsidRPr="00FA2CCD">
        <w:rPr>
          <w:rFonts w:ascii="Times New Roman" w:eastAsia="宋体" w:hAnsi="Times New Roman"/>
          <w:sz w:val="18"/>
          <w:szCs w:val="18"/>
        </w:rPr>
        <w:t xml:space="preserve">[1] </w:t>
      </w:r>
      <w:r w:rsidR="00937635" w:rsidRPr="00FA2CCD">
        <w:rPr>
          <w:rFonts w:ascii="Times New Roman" w:eastAsia="宋体" w:hAnsi="Times New Roman"/>
          <w:sz w:val="18"/>
          <w:szCs w:val="18"/>
        </w:rPr>
        <w:t>2017 IT Industry Analysis</w:t>
      </w:r>
      <w:r w:rsidR="00937635" w:rsidRPr="00FA2CCD">
        <w:rPr>
          <w:rFonts w:ascii="Times New Roman" w:eastAsia="宋体" w:hAnsi="Times New Roman" w:hint="eastAsia"/>
          <w:sz w:val="18"/>
          <w:szCs w:val="18"/>
        </w:rPr>
        <w:t xml:space="preserve"> </w:t>
      </w:r>
      <w:r w:rsidR="00937635">
        <w:rPr>
          <w:rFonts w:ascii="Times New Roman" w:eastAsia="宋体" w:hAnsi="Times New Roman"/>
          <w:sz w:val="18"/>
          <w:szCs w:val="18"/>
        </w:rPr>
        <w:t>[EB/OL</w:t>
      </w:r>
      <w:proofErr w:type="gramStart"/>
      <w:r w:rsidR="00937635">
        <w:rPr>
          <w:rFonts w:ascii="Times New Roman" w:eastAsia="宋体" w:hAnsi="Times New Roman"/>
          <w:sz w:val="18"/>
          <w:szCs w:val="18"/>
        </w:rPr>
        <w:t>].(</w:t>
      </w:r>
      <w:proofErr w:type="gramEnd"/>
      <w:r w:rsidR="00937635">
        <w:rPr>
          <w:rFonts w:ascii="Times New Roman" w:eastAsia="宋体" w:hAnsi="Times New Roman"/>
          <w:sz w:val="18"/>
          <w:szCs w:val="18"/>
        </w:rPr>
        <w:t>2017-05-17) [2021-04-05].</w:t>
      </w:r>
      <w:r w:rsidR="00937635" w:rsidRPr="009365C9">
        <w:t xml:space="preserve"> </w:t>
      </w:r>
      <w:r w:rsidR="00937635" w:rsidRPr="009365C9">
        <w:rPr>
          <w:rFonts w:ascii="Times New Roman" w:eastAsia="宋体" w:hAnsi="Times New Roman"/>
          <w:sz w:val="18"/>
          <w:szCs w:val="18"/>
        </w:rPr>
        <w:t>https://www.sohu.com/a/141251120_401265</w:t>
      </w:r>
      <w:r w:rsidR="00937635">
        <w:rPr>
          <w:rFonts w:ascii="Times New Roman" w:eastAsia="宋体" w:hAnsi="Times New Roman" w:hint="eastAsia"/>
          <w:sz w:val="18"/>
          <w:szCs w:val="18"/>
        </w:rPr>
        <w:t>.</w:t>
      </w:r>
    </w:p>
  </w:endnote>
  <w:endnote w:id="2">
    <w:p w14:paraId="227B6E35" w14:textId="67D185DA" w:rsidR="000D3EC1" w:rsidRPr="000D3EC1" w:rsidRDefault="000D3EC1">
      <w:pPr>
        <w:pStyle w:val="af3"/>
        <w:rPr>
          <w:rFonts w:hint="eastAsia"/>
        </w:rPr>
      </w:pPr>
      <w:r w:rsidRPr="00937635">
        <w:rPr>
          <w:rFonts w:ascii="Times New Roman" w:eastAsia="宋体" w:hAnsi="Times New Roman"/>
          <w:sz w:val="18"/>
          <w:szCs w:val="18"/>
        </w:rPr>
        <w:t>[2]</w:t>
      </w:r>
      <w:r w:rsidR="000D274D" w:rsidRPr="000D274D">
        <w:t xml:space="preserve"> </w:t>
      </w:r>
      <w:r w:rsidR="000D274D" w:rsidRPr="000D274D">
        <w:rPr>
          <w:rFonts w:ascii="Times New Roman" w:eastAsia="宋体" w:hAnsi="Times New Roman"/>
          <w:sz w:val="18"/>
          <w:szCs w:val="18"/>
        </w:rPr>
        <w:t>Robert Half IT Salary Guide [EB/OL</w:t>
      </w:r>
      <w:proofErr w:type="gramStart"/>
      <w:r w:rsidR="000D274D" w:rsidRPr="000D274D">
        <w:rPr>
          <w:rFonts w:ascii="Times New Roman" w:eastAsia="宋体" w:hAnsi="Times New Roman"/>
          <w:sz w:val="18"/>
          <w:szCs w:val="18"/>
        </w:rPr>
        <w:t>].(</w:t>
      </w:r>
      <w:proofErr w:type="gramEnd"/>
      <w:r w:rsidR="000D274D" w:rsidRPr="000D274D">
        <w:rPr>
          <w:rFonts w:ascii="Times New Roman" w:eastAsia="宋体" w:hAnsi="Times New Roman"/>
          <w:sz w:val="18"/>
          <w:szCs w:val="18"/>
        </w:rPr>
        <w:t>2018-05-10) [2021-04-05]. https://www.sohu.com/a/231096601_195127.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8BE674" w14:textId="77777777" w:rsidR="00000000" w:rsidRDefault="00116A7B">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ADA8E" w14:textId="77777777" w:rsidR="00116A7B" w:rsidRDefault="00116A7B">
      <w:pPr>
        <w:spacing w:after="0"/>
      </w:pPr>
      <w:r>
        <w:separator/>
      </w:r>
    </w:p>
  </w:footnote>
  <w:footnote w:type="continuationSeparator" w:id="0">
    <w:p w14:paraId="4F4EEDF0" w14:textId="77777777" w:rsidR="00116A7B" w:rsidRDefault="00116A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15588" w14:textId="0445FF89" w:rsidR="00000000" w:rsidRDefault="00116A7B">
    <w:pPr>
      <w:pStyle w:val="af1"/>
      <w:spacing w:after="0"/>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EA6EF" w14:textId="77777777" w:rsidR="00000000" w:rsidRDefault="00116A7B">
    <w:pPr>
      <w:pStyle w:val="af1"/>
      <w:pBdr>
        <w:bottom w:val="single" w:sz="6" w:space="0" w:color="auto"/>
      </w:pBdr>
      <w:spacing w:after="0"/>
      <w:jc w:val="left"/>
      <w:rPr>
        <w:rFonts w:ascii="Times New Roman" w:eastAsia="仿宋" w:hAnsi="Times New Roman" w:hint="eastAsia"/>
        <w:sz w:val="21"/>
        <w:szCs w:val="21"/>
      </w:rPr>
    </w:pPr>
    <w:r>
      <w:rPr>
        <w:rFonts w:ascii="Times New Roman" w:eastAsia="仿宋" w:hAnsi="Times New Roman"/>
        <w:i/>
        <w:lang w:val="en-US" w:eastAsia="zh-CN"/>
      </w:rPr>
      <w:pict w14:anchorId="756D2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style="position:absolute;margin-left:-14.75pt;margin-top:-4.1pt;width:102.6pt;height:28.35pt;z-index:-1;mso-wrap-style:square" wrapcoords="4068 5355 2959 14727 4068 14727 17014 14727 18493 8033 16644 5355 8877 5355 4068 5355">
          <v:fill o:detectmouseclick="t"/>
          <v:imagedata r:id="rId1" o:title="计科logo（无底色）"/>
          <w10:wrap type="tight"/>
        </v:shape>
      </w:pict>
    </w:r>
    <w:r>
      <w:rPr>
        <w:rFonts w:ascii="Times New Roman" w:eastAsia="仿宋" w:hAnsi="Times New Roman" w:hint="eastAsia"/>
      </w:rPr>
      <w:t xml:space="preserve">                </w:t>
    </w:r>
    <w:r>
      <w:rPr>
        <w:rFonts w:ascii="Times New Roman" w:eastAsia="仿宋" w:hAnsi="Times New Roman" w:hint="eastAsia"/>
      </w:rPr>
      <w:t xml:space="preserve">                             </w:t>
    </w:r>
    <w:r>
      <w:rPr>
        <w:rFonts w:ascii="Times New Roman" w:eastAsia="仿宋" w:hAnsi="Times New Roman" w:hint="eastAsia"/>
      </w:rPr>
      <w:t xml:space="preserve">                                                                                           </w:t>
    </w:r>
    <w:r>
      <w:rPr>
        <w:rFonts w:ascii="Times New Roman" w:eastAsia="仿宋" w:hAnsi="Times New Roman" w:hint="eastAsia"/>
        <w:sz w:val="15"/>
        <w:szCs w:val="15"/>
      </w:rPr>
      <w:t xml:space="preserve">                    http://www.jsjkx.com</w:t>
    </w:r>
  </w:p>
  <w:p w14:paraId="03F6C51E" w14:textId="77777777" w:rsidR="00000000" w:rsidRDefault="00116A7B">
    <w:pPr>
      <w:pStyle w:val="af1"/>
      <w:pBdr>
        <w:bottom w:val="single" w:sz="6" w:space="0" w:color="auto"/>
      </w:pBdr>
      <w:spacing w:after="0"/>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sz w:val="15"/>
        <w:szCs w:val="15"/>
      </w:rPr>
      <w:t xml:space="preserve">            </w:t>
    </w:r>
    <w:r>
      <w:rPr>
        <w:rFonts w:ascii="Times New Roman" w:eastAsia="仿宋" w:hAnsi="Times New Roman" w:hint="eastAsia"/>
        <w:sz w:val="15"/>
        <w:szCs w:val="15"/>
      </w:rPr>
      <w:t xml:space="preserve">  DOI</w:t>
    </w:r>
    <w:r>
      <w:rPr>
        <w:rFonts w:ascii="Times New Roman" w:eastAsia="仿宋" w:hAnsi="Times New Roman" w:hint="eastAsia"/>
        <w:sz w:val="15"/>
        <w:szCs w:val="15"/>
      </w:rPr>
      <w:t xml:space="preserve">: </w:t>
    </w:r>
    <w:r>
      <w:rPr>
        <w:rFonts w:ascii="Times New Roman" w:eastAsia="仿宋" w:hAnsi="Times New Roman" w:hint="eastAsia"/>
        <w:sz w:val="15"/>
        <w:szCs w:val="15"/>
      </w:rPr>
      <w:t>10.11896/</w:t>
    </w:r>
    <w:proofErr w:type="spellStart"/>
    <w:proofErr w:type="gramStart"/>
    <w:r>
      <w:rPr>
        <w:rFonts w:ascii="Times New Roman" w:eastAsia="仿宋" w:hAnsi="Times New Roman" w:hint="eastAsia"/>
        <w:sz w:val="15"/>
        <w:szCs w:val="15"/>
      </w:rPr>
      <w:t>jsjkx.xx</w:t>
    </w:r>
    <w:proofErr w:type="spellEnd"/>
    <w:proofErr w:type="gramEnd"/>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969A3" w14:textId="166EE869" w:rsidR="00000000" w:rsidRDefault="00116A7B">
    <w:pPr>
      <w:pStyle w:val="af1"/>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计算机科学</w:t>
    </w:r>
    <w:r>
      <w:rPr>
        <w:rFonts w:ascii="宋体" w:eastAsia="宋体" w:hAnsi="宋体" w:hint="eastAsia"/>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oNotTrackMoves/>
  <w:defaultTabStop w:val="720"/>
  <w:evenAndOddHeaders/>
  <w:drawingGridHorizontalSpacing w:val="110"/>
  <w:displayHorizontalDrawingGridEvery w:val="2"/>
  <w:displayVerticalDrawingGridEvery w:val="2"/>
  <w:noPunctuationKerning/>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D50"/>
    <w:rsid w:val="00046BD9"/>
    <w:rsid w:val="00063927"/>
    <w:rsid w:val="00065F87"/>
    <w:rsid w:val="0007521F"/>
    <w:rsid w:val="000A59B1"/>
    <w:rsid w:val="000D0A6D"/>
    <w:rsid w:val="000D274D"/>
    <w:rsid w:val="000D28FE"/>
    <w:rsid w:val="000D3421"/>
    <w:rsid w:val="000D3EC1"/>
    <w:rsid w:val="001026E8"/>
    <w:rsid w:val="001127F6"/>
    <w:rsid w:val="00116A7B"/>
    <w:rsid w:val="001201EC"/>
    <w:rsid w:val="00133034"/>
    <w:rsid w:val="00133BD5"/>
    <w:rsid w:val="00143433"/>
    <w:rsid w:val="00144784"/>
    <w:rsid w:val="00145238"/>
    <w:rsid w:val="00146AB7"/>
    <w:rsid w:val="001611D8"/>
    <w:rsid w:val="00170945"/>
    <w:rsid w:val="00175F84"/>
    <w:rsid w:val="001819DE"/>
    <w:rsid w:val="0019544D"/>
    <w:rsid w:val="00196857"/>
    <w:rsid w:val="001B7B77"/>
    <w:rsid w:val="001F117C"/>
    <w:rsid w:val="001F14BC"/>
    <w:rsid w:val="001F5C3E"/>
    <w:rsid w:val="0022631A"/>
    <w:rsid w:val="00256992"/>
    <w:rsid w:val="00262119"/>
    <w:rsid w:val="00266197"/>
    <w:rsid w:val="0027197B"/>
    <w:rsid w:val="002774DB"/>
    <w:rsid w:val="00295131"/>
    <w:rsid w:val="002A0C9F"/>
    <w:rsid w:val="002A3958"/>
    <w:rsid w:val="002C012B"/>
    <w:rsid w:val="002D1CAD"/>
    <w:rsid w:val="002D23E0"/>
    <w:rsid w:val="002E64DA"/>
    <w:rsid w:val="002E69E9"/>
    <w:rsid w:val="00314D29"/>
    <w:rsid w:val="00323B43"/>
    <w:rsid w:val="0035118C"/>
    <w:rsid w:val="00353E80"/>
    <w:rsid w:val="00355DB1"/>
    <w:rsid w:val="00356246"/>
    <w:rsid w:val="00356B35"/>
    <w:rsid w:val="003629F0"/>
    <w:rsid w:val="00396BDA"/>
    <w:rsid w:val="003A1A54"/>
    <w:rsid w:val="003B2C4E"/>
    <w:rsid w:val="003C0375"/>
    <w:rsid w:val="003D37D8"/>
    <w:rsid w:val="003D7953"/>
    <w:rsid w:val="003E3D6E"/>
    <w:rsid w:val="003E56A3"/>
    <w:rsid w:val="003E5DEA"/>
    <w:rsid w:val="00414CD8"/>
    <w:rsid w:val="004218D3"/>
    <w:rsid w:val="00423B48"/>
    <w:rsid w:val="004244DF"/>
    <w:rsid w:val="00426133"/>
    <w:rsid w:val="0043152A"/>
    <w:rsid w:val="004358AB"/>
    <w:rsid w:val="00455E4A"/>
    <w:rsid w:val="00471492"/>
    <w:rsid w:val="004A1432"/>
    <w:rsid w:val="004A70F7"/>
    <w:rsid w:val="004B077A"/>
    <w:rsid w:val="004B276E"/>
    <w:rsid w:val="004C3DF4"/>
    <w:rsid w:val="004D192B"/>
    <w:rsid w:val="004D36D4"/>
    <w:rsid w:val="004F0AF9"/>
    <w:rsid w:val="005035CF"/>
    <w:rsid w:val="0051252E"/>
    <w:rsid w:val="00517707"/>
    <w:rsid w:val="00517C71"/>
    <w:rsid w:val="0052123D"/>
    <w:rsid w:val="00523449"/>
    <w:rsid w:val="005255E5"/>
    <w:rsid w:val="005268B4"/>
    <w:rsid w:val="0055164A"/>
    <w:rsid w:val="0057445A"/>
    <w:rsid w:val="005A5532"/>
    <w:rsid w:val="005A7831"/>
    <w:rsid w:val="005B0ECC"/>
    <w:rsid w:val="005B2AB9"/>
    <w:rsid w:val="005D2537"/>
    <w:rsid w:val="005E1DA6"/>
    <w:rsid w:val="005E7636"/>
    <w:rsid w:val="005F123B"/>
    <w:rsid w:val="005F1D56"/>
    <w:rsid w:val="005F3802"/>
    <w:rsid w:val="005F6612"/>
    <w:rsid w:val="00612557"/>
    <w:rsid w:val="00614392"/>
    <w:rsid w:val="006470F0"/>
    <w:rsid w:val="006502CA"/>
    <w:rsid w:val="00670D94"/>
    <w:rsid w:val="00674A50"/>
    <w:rsid w:val="00681D14"/>
    <w:rsid w:val="00693E85"/>
    <w:rsid w:val="0069403C"/>
    <w:rsid w:val="00697CD8"/>
    <w:rsid w:val="00697E45"/>
    <w:rsid w:val="006A1ECD"/>
    <w:rsid w:val="006A5F12"/>
    <w:rsid w:val="006B0AFA"/>
    <w:rsid w:val="006D01C9"/>
    <w:rsid w:val="00704E20"/>
    <w:rsid w:val="00715BDA"/>
    <w:rsid w:val="00731C07"/>
    <w:rsid w:val="00741402"/>
    <w:rsid w:val="00745A61"/>
    <w:rsid w:val="00746742"/>
    <w:rsid w:val="00746FC4"/>
    <w:rsid w:val="0075297D"/>
    <w:rsid w:val="00755B1D"/>
    <w:rsid w:val="00765FFB"/>
    <w:rsid w:val="007705B0"/>
    <w:rsid w:val="00785F05"/>
    <w:rsid w:val="0078600A"/>
    <w:rsid w:val="007B19A1"/>
    <w:rsid w:val="007B462D"/>
    <w:rsid w:val="007C7ABE"/>
    <w:rsid w:val="007F3263"/>
    <w:rsid w:val="007F6C9F"/>
    <w:rsid w:val="008070D9"/>
    <w:rsid w:val="00810BB4"/>
    <w:rsid w:val="0081683B"/>
    <w:rsid w:val="00846B1B"/>
    <w:rsid w:val="00856CC1"/>
    <w:rsid w:val="008573D5"/>
    <w:rsid w:val="00860195"/>
    <w:rsid w:val="00880E4F"/>
    <w:rsid w:val="0089479C"/>
    <w:rsid w:val="008A3CA0"/>
    <w:rsid w:val="008B2DBD"/>
    <w:rsid w:val="008B7726"/>
    <w:rsid w:val="008B776A"/>
    <w:rsid w:val="008C5917"/>
    <w:rsid w:val="008D396D"/>
    <w:rsid w:val="008F2195"/>
    <w:rsid w:val="008F42D8"/>
    <w:rsid w:val="00935DB1"/>
    <w:rsid w:val="009365C9"/>
    <w:rsid w:val="00937635"/>
    <w:rsid w:val="00951CF0"/>
    <w:rsid w:val="009569A3"/>
    <w:rsid w:val="009655B0"/>
    <w:rsid w:val="00970EEF"/>
    <w:rsid w:val="009710C4"/>
    <w:rsid w:val="00991066"/>
    <w:rsid w:val="009A0899"/>
    <w:rsid w:val="009A4F8D"/>
    <w:rsid w:val="00A05569"/>
    <w:rsid w:val="00A13D49"/>
    <w:rsid w:val="00A175A0"/>
    <w:rsid w:val="00A200A8"/>
    <w:rsid w:val="00A242BB"/>
    <w:rsid w:val="00A27DFA"/>
    <w:rsid w:val="00A30793"/>
    <w:rsid w:val="00A3289B"/>
    <w:rsid w:val="00A37B7D"/>
    <w:rsid w:val="00A40CBC"/>
    <w:rsid w:val="00A4393A"/>
    <w:rsid w:val="00A447E6"/>
    <w:rsid w:val="00A53DCC"/>
    <w:rsid w:val="00A56BBC"/>
    <w:rsid w:val="00A815FC"/>
    <w:rsid w:val="00A85C65"/>
    <w:rsid w:val="00A86094"/>
    <w:rsid w:val="00AA0B0C"/>
    <w:rsid w:val="00AA3243"/>
    <w:rsid w:val="00AA4B32"/>
    <w:rsid w:val="00AC4A0C"/>
    <w:rsid w:val="00AD3015"/>
    <w:rsid w:val="00AD78C1"/>
    <w:rsid w:val="00AE1758"/>
    <w:rsid w:val="00AF5C53"/>
    <w:rsid w:val="00B03275"/>
    <w:rsid w:val="00B03E3A"/>
    <w:rsid w:val="00B10DB9"/>
    <w:rsid w:val="00B110E3"/>
    <w:rsid w:val="00B13255"/>
    <w:rsid w:val="00B33B87"/>
    <w:rsid w:val="00B37295"/>
    <w:rsid w:val="00B5088D"/>
    <w:rsid w:val="00B509A4"/>
    <w:rsid w:val="00B5710A"/>
    <w:rsid w:val="00B61CDB"/>
    <w:rsid w:val="00B643C2"/>
    <w:rsid w:val="00B72428"/>
    <w:rsid w:val="00B77B69"/>
    <w:rsid w:val="00B81724"/>
    <w:rsid w:val="00B85C37"/>
    <w:rsid w:val="00BB777A"/>
    <w:rsid w:val="00BC13D7"/>
    <w:rsid w:val="00BC5279"/>
    <w:rsid w:val="00BD6B0F"/>
    <w:rsid w:val="00BF1FE2"/>
    <w:rsid w:val="00C13FD2"/>
    <w:rsid w:val="00C358A8"/>
    <w:rsid w:val="00C50CD1"/>
    <w:rsid w:val="00C51650"/>
    <w:rsid w:val="00C524FD"/>
    <w:rsid w:val="00C602B4"/>
    <w:rsid w:val="00C61EA8"/>
    <w:rsid w:val="00C84715"/>
    <w:rsid w:val="00C87C04"/>
    <w:rsid w:val="00C9029B"/>
    <w:rsid w:val="00C91F12"/>
    <w:rsid w:val="00C93556"/>
    <w:rsid w:val="00CC7F46"/>
    <w:rsid w:val="00CD18DD"/>
    <w:rsid w:val="00CE1B09"/>
    <w:rsid w:val="00CF7426"/>
    <w:rsid w:val="00CF7A9E"/>
    <w:rsid w:val="00D1028C"/>
    <w:rsid w:val="00D27C85"/>
    <w:rsid w:val="00D31D50"/>
    <w:rsid w:val="00D50EED"/>
    <w:rsid w:val="00D56A27"/>
    <w:rsid w:val="00D62134"/>
    <w:rsid w:val="00D96FC0"/>
    <w:rsid w:val="00DA39D8"/>
    <w:rsid w:val="00DA4AD9"/>
    <w:rsid w:val="00DB53F9"/>
    <w:rsid w:val="00DE25C1"/>
    <w:rsid w:val="00DF66AD"/>
    <w:rsid w:val="00E04D7F"/>
    <w:rsid w:val="00E15199"/>
    <w:rsid w:val="00E17691"/>
    <w:rsid w:val="00E26DEA"/>
    <w:rsid w:val="00E31A09"/>
    <w:rsid w:val="00E57558"/>
    <w:rsid w:val="00E838DC"/>
    <w:rsid w:val="00E92AC4"/>
    <w:rsid w:val="00E93ABA"/>
    <w:rsid w:val="00EB22D5"/>
    <w:rsid w:val="00EB7B12"/>
    <w:rsid w:val="00EC28D2"/>
    <w:rsid w:val="00EC61F0"/>
    <w:rsid w:val="00EE6F37"/>
    <w:rsid w:val="00F02C66"/>
    <w:rsid w:val="00F30941"/>
    <w:rsid w:val="00F34918"/>
    <w:rsid w:val="00F60B7E"/>
    <w:rsid w:val="00F746D8"/>
    <w:rsid w:val="00F76857"/>
    <w:rsid w:val="00F81581"/>
    <w:rsid w:val="00F837DC"/>
    <w:rsid w:val="00F83E2C"/>
    <w:rsid w:val="00F9124B"/>
    <w:rsid w:val="00FA2CCD"/>
    <w:rsid w:val="00FE48EF"/>
    <w:rsid w:val="00FE4CAF"/>
    <w:rsid w:val="00FF45C8"/>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22E5D76"/>
  <w15:chartTrackingRefBased/>
  <w15:docId w15:val="{52134365-5FDF-4BD4-B15A-B3951D1D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 w:type="paragraph" w:styleId="af3">
    <w:name w:val="endnote text"/>
    <w:basedOn w:val="a"/>
    <w:link w:val="af4"/>
    <w:uiPriority w:val="99"/>
    <w:semiHidden/>
    <w:unhideWhenUsed/>
    <w:rsid w:val="009365C9"/>
  </w:style>
  <w:style w:type="character" w:customStyle="1" w:styleId="af4">
    <w:name w:val="尾注文本 字符"/>
    <w:link w:val="af3"/>
    <w:uiPriority w:val="99"/>
    <w:semiHidden/>
    <w:rsid w:val="009365C9"/>
    <w:rPr>
      <w:rFonts w:ascii="Tahoma" w:eastAsia="微软雅黑" w:hAnsi="Tahoma"/>
      <w:sz w:val="22"/>
      <w:szCs w:val="22"/>
    </w:rPr>
  </w:style>
  <w:style w:type="character" w:styleId="af5">
    <w:name w:val="endnote reference"/>
    <w:uiPriority w:val="99"/>
    <w:semiHidden/>
    <w:unhideWhenUsed/>
    <w:rsid w:val="009365C9"/>
    <w:rPr>
      <w:vertAlign w:val="superscript"/>
    </w:rPr>
  </w:style>
  <w:style w:type="character" w:styleId="af6">
    <w:name w:val="Unresolved Mention"/>
    <w:uiPriority w:val="99"/>
    <w:semiHidden/>
    <w:unhideWhenUsed/>
    <w:rsid w:val="00AA32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098253">
      <w:bodyDiv w:val="1"/>
      <w:marLeft w:val="0"/>
      <w:marRight w:val="0"/>
      <w:marTop w:val="0"/>
      <w:marBottom w:val="0"/>
      <w:divBdr>
        <w:top w:val="none" w:sz="0" w:space="0" w:color="auto"/>
        <w:left w:val="none" w:sz="0" w:space="0" w:color="auto"/>
        <w:bottom w:val="none" w:sz="0" w:space="0" w:color="auto"/>
        <w:right w:val="none" w:sz="0" w:space="0" w:color="auto"/>
      </w:divBdr>
    </w:div>
    <w:div w:id="333267358">
      <w:bodyDiv w:val="1"/>
      <w:marLeft w:val="0"/>
      <w:marRight w:val="0"/>
      <w:marTop w:val="0"/>
      <w:marBottom w:val="0"/>
      <w:divBdr>
        <w:top w:val="none" w:sz="0" w:space="0" w:color="auto"/>
        <w:left w:val="none" w:sz="0" w:space="0" w:color="auto"/>
        <w:bottom w:val="none" w:sz="0" w:space="0" w:color="auto"/>
        <w:right w:val="none" w:sz="0" w:space="0" w:color="auto"/>
      </w:divBdr>
    </w:div>
    <w:div w:id="497158201">
      <w:bodyDiv w:val="1"/>
      <w:marLeft w:val="0"/>
      <w:marRight w:val="0"/>
      <w:marTop w:val="0"/>
      <w:marBottom w:val="0"/>
      <w:divBdr>
        <w:top w:val="none" w:sz="0" w:space="0" w:color="auto"/>
        <w:left w:val="none" w:sz="0" w:space="0" w:color="auto"/>
        <w:bottom w:val="none" w:sz="0" w:space="0" w:color="auto"/>
        <w:right w:val="none" w:sz="0" w:space="0" w:color="auto"/>
      </w:divBdr>
    </w:div>
    <w:div w:id="627124503">
      <w:bodyDiv w:val="1"/>
      <w:marLeft w:val="0"/>
      <w:marRight w:val="0"/>
      <w:marTop w:val="0"/>
      <w:marBottom w:val="0"/>
      <w:divBdr>
        <w:top w:val="none" w:sz="0" w:space="0" w:color="auto"/>
        <w:left w:val="none" w:sz="0" w:space="0" w:color="auto"/>
        <w:bottom w:val="none" w:sz="0" w:space="0" w:color="auto"/>
        <w:right w:val="none" w:sz="0" w:space="0" w:color="auto"/>
      </w:divBdr>
    </w:div>
    <w:div w:id="1306811305">
      <w:bodyDiv w:val="1"/>
      <w:marLeft w:val="0"/>
      <w:marRight w:val="0"/>
      <w:marTop w:val="0"/>
      <w:marBottom w:val="0"/>
      <w:divBdr>
        <w:top w:val="none" w:sz="0" w:space="0" w:color="auto"/>
        <w:left w:val="none" w:sz="0" w:space="0" w:color="auto"/>
        <w:bottom w:val="none" w:sz="0" w:space="0" w:color="auto"/>
        <w:right w:val="none" w:sz="0" w:space="0" w:color="auto"/>
      </w:divBdr>
    </w:div>
    <w:div w:id="1603686735">
      <w:bodyDiv w:val="1"/>
      <w:marLeft w:val="0"/>
      <w:marRight w:val="0"/>
      <w:marTop w:val="0"/>
      <w:marBottom w:val="0"/>
      <w:divBdr>
        <w:top w:val="none" w:sz="0" w:space="0" w:color="auto"/>
        <w:left w:val="none" w:sz="0" w:space="0" w:color="auto"/>
        <w:bottom w:val="none" w:sz="0" w:space="0" w:color="auto"/>
        <w:right w:val="none" w:sz="0" w:space="0" w:color="auto"/>
      </w:divBdr>
    </w:div>
    <w:div w:id="1895044495">
      <w:bodyDiv w:val="1"/>
      <w:marLeft w:val="0"/>
      <w:marRight w:val="0"/>
      <w:marTop w:val="0"/>
      <w:marBottom w:val="0"/>
      <w:divBdr>
        <w:top w:val="none" w:sz="0" w:space="0" w:color="auto"/>
        <w:left w:val="none" w:sz="0" w:space="0" w:color="auto"/>
        <w:bottom w:val="none" w:sz="0" w:space="0" w:color="auto"/>
        <w:right w:val="none" w:sz="0" w:space="0" w:color="auto"/>
      </w:divBdr>
    </w:div>
    <w:div w:id="199244110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oleObject" Target="embeddings/Microsoft_Excel_Chart3.xls"/><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Microsoft_Excel_Chart.xls"/><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Microsoft_Excel_Chart2.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Microsoft_Excel_Chart1.xls"/></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19A76-F767-478A-A5AE-860DFDCF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554</Words>
  <Characters>3158</Characters>
  <Application>Microsoft Office Word</Application>
  <DocSecurity>0</DocSecurity>
  <Lines>26</Lines>
  <Paragraphs>7</Paragraphs>
  <ScaleCrop>false</ScaleCrop>
  <Company>Microsoft</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沈 佳眉</cp:lastModifiedBy>
  <cp:revision>2</cp:revision>
  <cp:lastPrinted>2019-07-11T06:22:00Z</cp:lastPrinted>
  <dcterms:created xsi:type="dcterms:W3CDTF">2021-04-06T09:11:00Z</dcterms:created>
  <dcterms:modified xsi:type="dcterms:W3CDTF">2021-04-06T09:11:00Z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