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COVID-19下的</w:t>
      </w:r>
      <w:r>
        <w:rPr>
          <w:rFonts w:hint="eastAsia" w:ascii="黑体" w:hAnsi="黑体" w:eastAsia="黑体" w:cs="黑体"/>
          <w:sz w:val="32"/>
          <w:szCs w:val="32"/>
        </w:rPr>
        <w:t>IT行业薪酬变化的数据分析</w:t>
      </w: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32"/>
          <w:szCs w:val="32"/>
        </w:rPr>
      </w:pPr>
    </w:p>
    <w:p>
      <w:pPr>
        <w:keepNext w:val="0"/>
        <w:keepLines w:val="0"/>
        <w:pageBreakBefore w:val="0"/>
        <w:kinsoku/>
        <w:wordWrap w:val="0"/>
        <w:overflowPunct/>
        <w:topLinePunct w:val="0"/>
        <w:autoSpaceDE/>
        <w:autoSpaceDN/>
        <w:bidi w:val="0"/>
        <w:adjustRightInd/>
        <w:snapToGrid/>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洪金阳¹</w:t>
      </w:r>
    </w:p>
    <w:p>
      <w:pPr>
        <w:keepNext w:val="0"/>
        <w:keepLines w:val="0"/>
        <w:pageBreakBefore w:val="0"/>
        <w:kinsoku/>
        <w:wordWrap w:val="0"/>
        <w:overflowPunct/>
        <w:topLinePunct w:val="0"/>
        <w:autoSpaceDE/>
        <w:autoSpaceDN/>
        <w:bidi w:val="0"/>
        <w:adjustRightInd/>
        <w:snapToGrid/>
        <w:textAlignment w:val="auto"/>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1 大连理工大学 辽宁省 大连市 116000</w:t>
      </w:r>
    </w:p>
    <w:p>
      <w:pPr>
        <w:keepNext w:val="0"/>
        <w:keepLines w:val="0"/>
        <w:pageBreakBefore w:val="0"/>
        <w:kinsoku/>
        <w:wordWrap w:val="0"/>
        <w:overflowPunct/>
        <w:topLinePunct w:val="0"/>
        <w:autoSpaceDE/>
        <w:autoSpaceDN/>
        <w:bidi w:val="0"/>
        <w:adjustRightInd/>
        <w:snapToGrid/>
        <w:textAlignment w:val="auto"/>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fldChar w:fldCharType="begin"/>
      </w:r>
      <w:r>
        <w:rPr>
          <w:rFonts w:hint="eastAsia" w:ascii="仿宋" w:hAnsi="仿宋" w:eastAsia="仿宋" w:cs="仿宋"/>
          <w:b/>
          <w:bCs/>
          <w:sz w:val="18"/>
          <w:szCs w:val="18"/>
          <w:lang w:val="en-US" w:eastAsia="zh-CN"/>
        </w:rPr>
        <w:instrText xml:space="preserve"> HYPERLINK "mailto:1464181608@qq.com" </w:instrText>
      </w:r>
      <w:r>
        <w:rPr>
          <w:rFonts w:hint="eastAsia" w:ascii="仿宋" w:hAnsi="仿宋" w:eastAsia="仿宋" w:cs="仿宋"/>
          <w:b/>
          <w:bCs/>
          <w:sz w:val="18"/>
          <w:szCs w:val="18"/>
          <w:lang w:val="en-US" w:eastAsia="zh-CN"/>
        </w:rPr>
        <w:fldChar w:fldCharType="separate"/>
      </w:r>
      <w:r>
        <w:rPr>
          <w:rStyle w:val="6"/>
          <w:rFonts w:hint="eastAsia" w:ascii="仿宋" w:hAnsi="仿宋" w:eastAsia="仿宋" w:cs="仿宋"/>
          <w:b/>
          <w:bCs/>
          <w:sz w:val="18"/>
          <w:szCs w:val="18"/>
          <w:lang w:val="en-US" w:eastAsia="zh-CN"/>
        </w:rPr>
        <w:t>1464181608@qq.com</w:t>
      </w:r>
      <w:r>
        <w:rPr>
          <w:rFonts w:hint="eastAsia" w:ascii="仿宋" w:hAnsi="仿宋" w:eastAsia="仿宋" w:cs="仿宋"/>
          <w:b/>
          <w:bCs/>
          <w:sz w:val="18"/>
          <w:szCs w:val="18"/>
          <w:lang w:val="en-US" w:eastAsia="zh-CN"/>
        </w:rPr>
        <w:fldChar w:fldCharType="end"/>
      </w:r>
    </w:p>
    <w:p>
      <w:pPr>
        <w:keepNext w:val="0"/>
        <w:keepLines w:val="0"/>
        <w:pageBreakBefore w:val="0"/>
        <w:kinsoku/>
        <w:wordWrap w:val="0"/>
        <w:overflowPunct/>
        <w:topLinePunct w:val="0"/>
        <w:autoSpaceDE/>
        <w:autoSpaceDN/>
        <w:bidi w:val="0"/>
        <w:adjustRightInd/>
        <w:snapToGrid/>
        <w:textAlignment w:val="auto"/>
        <w:rPr>
          <w:rFonts w:hint="default" w:ascii="仿宋" w:hAnsi="仿宋" w:eastAsia="仿宋" w:cs="仿宋"/>
          <w:b/>
          <w:bCs/>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黑体" w:hAnsi="黑体" w:eastAsia="黑体" w:cs="黑体"/>
          <w:sz w:val="21"/>
          <w:szCs w:val="21"/>
          <w:lang w:val="en-US" w:eastAsia="zh-CN"/>
        </w:rPr>
        <w:t>摘要：</w:t>
      </w:r>
      <w:r>
        <w:rPr>
          <w:rFonts w:hint="eastAsia" w:ascii="宋体" w:hAnsi="宋体" w:eastAsia="宋体" w:cs="宋体"/>
          <w:sz w:val="18"/>
          <w:szCs w:val="18"/>
          <w:lang w:val="en-US" w:eastAsia="zh-CN"/>
        </w:rPr>
        <w:t>2020年爆发的COVID-19疫情给包括IT在内的各行各业带来了不同程度的负面影响，这篇文章针对IT行业从人员级别，时间，性别，工作领域等方面调查统计并研究IT行业在这一年的行情，得出了IT行业在疫情冲击下平均薪资下降，但薪资总体相对稳定，发展势头良好的结论。</w:t>
      </w:r>
    </w:p>
    <w:p>
      <w:pPr>
        <w:keepNext w:val="0"/>
        <w:keepLines w:val="0"/>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关键词：IT；互联网；薪资；COVID-19</w:t>
      </w:r>
    </w:p>
    <w:p>
      <w:pPr>
        <w:keepNext w:val="0"/>
        <w:keepLines w:val="0"/>
        <w:pageBreakBefore w:val="0"/>
        <w:kinsoku/>
        <w:wordWrap w:val="0"/>
        <w:overflowPunct/>
        <w:topLinePunct w:val="0"/>
        <w:autoSpaceDE/>
        <w:autoSpaceDN/>
        <w:bidi w:val="0"/>
        <w:adjustRightInd/>
        <w:snapToGrid/>
        <w:textAlignment w:val="auto"/>
        <w:rPr>
          <w:rFonts w:hint="default" w:ascii="黑体" w:hAnsi="黑体" w:eastAsia="黑体" w:cs="黑体"/>
          <w:sz w:val="21"/>
          <w:szCs w:val="21"/>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引言</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根据国际劳工组织的2020-2021年全球工资报告[1]，2020年上半年，受新型冠状病毒COVID-19的影响，三分之二的国家的平均工资水平或增长率面率下行压力。在另外的三分之一的国家中，平均工资的增加主要是人为作用，反映为低薪工人大量失业。在众多行业中，我们将研究疫情影响下美国IT行业的薪酬变化。</w:t>
      </w:r>
    </w:p>
    <w:p>
      <w:pPr>
        <w:keepNext w:val="0"/>
        <w:keepLines w:val="0"/>
        <w:pageBreakBefore w:val="0"/>
        <w:kinsoku/>
        <w:wordWrap w:val="0"/>
        <w:overflowPunct/>
        <w:topLinePunct w:val="0"/>
        <w:autoSpaceDE/>
        <w:autoSpaceDN/>
        <w:bidi w:val="0"/>
        <w:adjustRightInd/>
        <w:snapToGrid/>
        <w:ind w:firstLine="420" w:firstLineChars="0"/>
        <w:textAlignment w:val="auto"/>
        <w:rPr>
          <w:rFonts w:hint="default"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分析结果</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对于IT行业而言，尽管出现了 COVID-19 大流行，但大多数人的薪酬仍保持稳定。尽管 2021 年经济仍存在不确定性，行业动态也经历着迅速变化，但 IT 专业人员的前景仍然乐观。</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分析方法</w:t>
      </w: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3.1</w:t>
      </w:r>
      <w:r>
        <w:rPr>
          <w:rFonts w:hint="eastAsia" w:ascii="黑体" w:hAnsi="黑体" w:eastAsia="黑体" w:cs="黑体"/>
          <w:sz w:val="18"/>
          <w:szCs w:val="18"/>
          <w:lang w:val="en-US" w:eastAsia="zh-CN"/>
        </w:rPr>
        <w:tab/>
      </w:r>
      <w:r>
        <w:rPr>
          <w:rFonts w:hint="eastAsia" w:ascii="黑体" w:hAnsi="黑体" w:eastAsia="黑体" w:cs="黑体"/>
          <w:sz w:val="18"/>
          <w:szCs w:val="18"/>
          <w:lang w:val="en-US" w:eastAsia="zh-CN"/>
        </w:rPr>
        <w:t>各行业受COVID-19的影响（以中国为例）</w:t>
      </w: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18"/>
          <w:szCs w:val="18"/>
          <w:lang w:val="en-US" w:eastAsia="zh-CN"/>
        </w:rPr>
      </w:pPr>
    </w:p>
    <w:p>
      <w:pPr>
        <w:keepNext w:val="0"/>
        <w:keepLines w:val="0"/>
        <w:pageBreakBefore w:val="0"/>
        <w:kinsoku/>
        <w:wordWrap w:val="0"/>
        <w:overflowPunct/>
        <w:topLinePunct w:val="0"/>
        <w:autoSpaceDE/>
        <w:autoSpaceDN/>
        <w:bidi w:val="0"/>
        <w:adjustRightInd/>
        <w:snapToGrid/>
        <w:ind w:firstLine="2250" w:firstLineChars="1500"/>
        <w:textAlignment w:val="auto"/>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图1   新冠疫情下的各个行业</w:t>
      </w:r>
    </w:p>
    <w:p>
      <w:pPr>
        <w:keepNext w:val="0"/>
        <w:keepLines w:val="0"/>
        <w:pageBreakBefore w:val="0"/>
        <w:kinsoku/>
        <w:wordWrap w:val="0"/>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983480" cy="2001520"/>
            <wp:effectExtent l="0" t="0" r="762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83480" cy="2001520"/>
                    </a:xfrm>
                    <a:prstGeom prst="rect">
                      <a:avLst/>
                    </a:prstGeom>
                    <a:noFill/>
                    <a:ln w="9525">
                      <a:noFill/>
                    </a:ln>
                  </pic:spPr>
                </pic:pic>
              </a:graphicData>
            </a:graphic>
          </wp:inline>
        </w:drawing>
      </w:r>
    </w:p>
    <w:p>
      <w:pPr>
        <w:keepNext w:val="0"/>
        <w:keepLines w:val="0"/>
        <w:pageBreakBefore w:val="0"/>
        <w:kinsoku/>
        <w:wordWrap w:val="0"/>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kinsoku/>
        <w:wordWrap w:val="0"/>
        <w:overflowPunct/>
        <w:topLinePunct w:val="0"/>
        <w:autoSpaceDE/>
        <w:autoSpaceDN/>
        <w:bidi w:val="0"/>
        <w:adjustRightInd/>
        <w:snapToGrid/>
        <w:textAlignment w:val="auto"/>
        <w:rPr>
          <w:rFonts w:ascii="宋体" w:hAnsi="宋体" w:eastAsia="宋体" w:cs="宋体"/>
          <w:sz w:val="24"/>
          <w:szCs w:val="24"/>
        </w:rPr>
      </w:pPr>
    </w:p>
    <w:p>
      <w:pPr>
        <w:keepNext w:val="0"/>
        <w:keepLines w:val="0"/>
        <w:pageBreakBefore w:val="0"/>
        <w:kinsoku/>
        <w:wordWrap w:val="0"/>
        <w:overflowPunct/>
        <w:topLinePunct w:val="0"/>
        <w:autoSpaceDE/>
        <w:autoSpaceDN/>
        <w:bidi w:val="0"/>
        <w:adjustRightInd/>
        <w:snapToGrid/>
        <w:ind w:firstLine="42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由图（1）可以看出一些以数字化为特征的在线平台在疫情中显示出了结构性利好的变化。首先是在互联网医疗、远程办公、在线教育、在线电商等领域。这些行业还处于发展初期，用户渗透率还有较大提升空间，而此次疫情的爆发使得线下活动活跃性降低，大量的线下活动转至线上，加速了这些平台的用户获取，用户渗透率提升，进一步完成用户积累，这些行业得以快速发展。该领域的IT从业者在将来的一段时间内薪资水平将升高。</w:t>
      </w:r>
    </w:p>
    <w:p>
      <w:pPr>
        <w:keepNext w:val="0"/>
        <w:keepLines w:val="0"/>
        <w:pageBreakBefore w:val="0"/>
        <w:kinsoku/>
        <w:wordWrap w:val="0"/>
        <w:overflowPunct/>
        <w:topLinePunct w:val="0"/>
        <w:autoSpaceDE/>
        <w:autoSpaceDN/>
        <w:bidi w:val="0"/>
        <w:adjustRightInd/>
        <w:snapToGrid/>
        <w:ind w:firstLine="42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即时配送受到生鲜电商发展的影响，需求激增，后续外卖配送平台和第三方众包企业将拉动更多就业。线上游戏和长短视频受到宅经济影响，短期内用户活跃度、时长频次等都会有提升。工作在这些行业的IT从业者薪资水平不会降低。</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此次疫情对酒店旅游行业影响较大，外出旅游需求明显下降，订单剧减，而疫情过后，将会有较大提升；餐饮行业，恢复节奏较慢；线下教育方面，为了更好的控制疫情，减少人员聚集，各省市政府要求各学校延期开学，具体等通知，线下教育更是无法开展，收入停顿，固定成本提升。</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default" w:ascii="黑体" w:hAnsi="黑体" w:eastAsia="黑体" w:cs="黑体"/>
          <w:sz w:val="18"/>
          <w:szCs w:val="18"/>
          <w:lang w:val="en-US" w:eastAsia="zh-CN"/>
        </w:rPr>
      </w:pPr>
      <w:r>
        <w:rPr>
          <w:rFonts w:hint="eastAsia" w:ascii="黑体" w:hAnsi="黑体" w:eastAsia="黑体" w:cs="黑体"/>
          <w:sz w:val="18"/>
          <w:szCs w:val="18"/>
          <w:lang w:val="en-US" w:eastAsia="zh-CN"/>
        </w:rPr>
        <w:t>3.2各级IT从业者的薪资变化情况</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COVID-19的爆发，使得线下活动变得难以进行，这时候，数字IT工具和基础架构的重要性就凸显了出来。IDG Insider Pro和Computerworld针对1172位美国IT从业者进行了一系列调查[2]来了解这是如何影响IT行业薪资和潜力的。</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参与者的平均薪水由112,580美元下降到104,446美元。在2019的调查中，有70%的IT专业人士表示基本工资有所增长，但今年这一数据降低至56%。</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ind w:firstLine="2400" w:firstLineChars="1600"/>
        <w:jc w:val="both"/>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表1  各级IT工作者平均薪资与中位数调查情况</w:t>
      </w:r>
    </w:p>
    <w:p>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52700" cy="31337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2552700" cy="3133725"/>
                    </a:xfrm>
                    <a:prstGeom prst="rect">
                      <a:avLst/>
                    </a:prstGeom>
                    <a:noFill/>
                    <a:ln w="9525">
                      <a:noFill/>
                    </a:ln>
                  </pic:spPr>
                </pic:pic>
              </a:graphicData>
            </a:graphic>
          </wp:inline>
        </w:drawing>
      </w: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kern w:val="0"/>
          <w:sz w:val="24"/>
          <w:szCs w:val="24"/>
          <w:lang w:val="en-US" w:eastAsia="zh-CN" w:bidi="ar"/>
        </w:rPr>
      </w:pP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将表1的数据进行加减处理后可知，在所有IT从业者中，薪资涨幅最大的是高级IT管理人员，他们的平均薪酬增长至173,032(145,552+27,480)美元。相比之下，中层管理人员的总体水平薪酬降低至99,944(93,176+6,768)美元，普通IT员工的薪酬降低至78,662(73,797+4,865)美元。</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从2016年至2020年，高级IT管理人员的薪水平均增长了40%，而中层管理人员和普通IT员工的薪资增长率则放慢了，分别为10%和5%。</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default" w:ascii="宋体" w:hAnsi="宋体" w:eastAsia="宋体" w:cs="宋体"/>
          <w:kern w:val="0"/>
          <w:sz w:val="24"/>
          <w:szCs w:val="24"/>
          <w:lang w:val="en-US" w:eastAsia="zh-CN" w:bidi="ar"/>
        </w:rPr>
      </w:pPr>
      <w:r>
        <w:rPr>
          <w:rFonts w:hint="eastAsia" w:ascii="宋体" w:hAnsi="宋体" w:eastAsia="宋体" w:cs="宋体"/>
          <w:sz w:val="15"/>
          <w:szCs w:val="15"/>
          <w:lang w:val="en-US" w:eastAsia="zh-CN"/>
        </w:rPr>
        <w:t>图2   合同工薪资涨幅调查情况</w:t>
      </w:r>
    </w:p>
    <w:p>
      <w:pPr>
        <w:keepNext w:val="0"/>
        <w:keepLines w:val="0"/>
        <w:pageBreakBefore w:val="0"/>
        <w:kinsoku/>
        <w:wordWrap w:val="0"/>
        <w:overflowPunct/>
        <w:topLinePunct w:val="0"/>
        <w:autoSpaceDE/>
        <w:autoSpaceDN/>
        <w:bidi w:val="0"/>
        <w:adjustRightInd/>
        <w:snapToGrid/>
        <w:ind w:firstLine="420" w:firstLineChars="0"/>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600325" cy="2019300"/>
            <wp:effectExtent l="0" t="0" r="9525"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2600325" cy="2019300"/>
                    </a:xfrm>
                    <a:prstGeom prst="rect">
                      <a:avLst/>
                    </a:prstGeom>
                    <a:noFill/>
                    <a:ln w="9525">
                      <a:noFill/>
                    </a:ln>
                  </pic:spPr>
                </pic:pic>
              </a:graphicData>
            </a:graphic>
          </wp:inline>
        </w:drawing>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kern w:val="0"/>
          <w:sz w:val="24"/>
          <w:szCs w:val="24"/>
          <w:lang w:val="en-US" w:eastAsia="zh-CN" w:bidi="ar"/>
        </w:rPr>
      </w:pP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IT行业工资变化最明显的是合同工。根据图2可以看见由将近一半的合同工薪资发生了变化，其中有28%的合同工薪资上涨，另有18%的合同工薪资下降。</w:t>
      </w:r>
    </w:p>
    <w:p>
      <w:pPr>
        <w:keepNext w:val="0"/>
        <w:keepLines w:val="0"/>
        <w:pageBreakBefore w:val="0"/>
        <w:kinsoku/>
        <w:wordWrap w:val="0"/>
        <w:overflowPunct/>
        <w:topLinePunct w:val="0"/>
        <w:autoSpaceDE/>
        <w:autoSpaceDN/>
        <w:bidi w:val="0"/>
        <w:adjustRightInd/>
        <w:snapToGrid/>
        <w:ind w:firstLine="420" w:firstLineChars="0"/>
        <w:textAlignment w:val="auto"/>
        <w:rPr>
          <w:rFonts w:hint="default"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3.3薪资期望不降反升</w:t>
      </w:r>
    </w:p>
    <w:p>
      <w:pPr>
        <w:keepNext w:val="0"/>
        <w:keepLines w:val="0"/>
        <w:pageBreakBefore w:val="0"/>
        <w:kinsoku/>
        <w:wordWrap w:val="0"/>
        <w:overflowPunct/>
        <w:topLinePunct w:val="0"/>
        <w:autoSpaceDE/>
        <w:autoSpaceDN/>
        <w:bidi w:val="0"/>
        <w:adjustRightInd/>
        <w:snapToGrid/>
        <w:ind w:firstLine="42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由图3可得，虽然 IT 行业标准工资的增长率下降至44%，但更多的工资增长与绩效挂钩（上升到了</w:t>
      </w:r>
    </w:p>
    <w:p>
      <w:pPr>
        <w:keepNext w:val="0"/>
        <w:keepLines w:val="0"/>
        <w:pageBreakBefore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38％），这也许可以解释大家为何对薪资有更多期望。对奖金的期望，尤其是对于决策者而言，与新职责、晋升机会和掌握新技能等因素相关。在当前的工作和经济环境下，这是可以理解的，因为在许多情况下，收入下降的背景下，越来越多的组织努力满足快速增长的数字化需求。毫无疑问，这是对该行业的积极反映。</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p>
    <w:p>
      <w:pPr>
        <w:keepNext w:val="0"/>
        <w:keepLines w:val="0"/>
        <w:pageBreakBefore w:val="0"/>
        <w:widowControl/>
        <w:suppressLineNumbers w:val="0"/>
        <w:kinsoku/>
        <w:wordWrap w:val="0"/>
        <w:overflowPunct/>
        <w:topLinePunct w:val="0"/>
        <w:autoSpaceDE/>
        <w:autoSpaceDN/>
        <w:bidi w:val="0"/>
        <w:adjustRightInd/>
        <w:snapToGrid/>
        <w:ind w:left="2520" w:leftChars="0" w:firstLine="750" w:firstLineChars="500"/>
        <w:jc w:val="both"/>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图3  涨薪原因调查</w:t>
      </w:r>
    </w:p>
    <w:p>
      <w:pPr>
        <w:keepNext w:val="0"/>
        <w:keepLines w:val="0"/>
        <w:pageBreakBefore w:val="0"/>
        <w:widowControl/>
        <w:suppressLineNumbers w:val="0"/>
        <w:kinsoku/>
        <w:wordWrap w:val="0"/>
        <w:overflowPunct/>
        <w:topLinePunct w:val="0"/>
        <w:autoSpaceDE/>
        <w:autoSpaceDN/>
        <w:bidi w:val="0"/>
        <w:adjustRightInd/>
        <w:snapToGrid/>
        <w:jc w:val="center"/>
        <w:textAlignment w:val="auto"/>
      </w:pPr>
      <w:r>
        <w:rPr>
          <w:rFonts w:ascii="宋体" w:hAnsi="宋体" w:eastAsia="宋体" w:cs="宋体"/>
          <w:kern w:val="0"/>
          <w:sz w:val="24"/>
          <w:szCs w:val="24"/>
          <w:lang w:val="en-US" w:eastAsia="zh-CN" w:bidi="ar"/>
        </w:rPr>
        <w:drawing>
          <wp:inline distT="0" distB="0" distL="114300" distR="114300">
            <wp:extent cx="4947920" cy="2016125"/>
            <wp:effectExtent l="0" t="0" r="5080" b="3175"/>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7"/>
                    <a:stretch>
                      <a:fillRect/>
                    </a:stretch>
                  </pic:blipFill>
                  <pic:spPr>
                    <a:xfrm>
                      <a:off x="0" y="0"/>
                      <a:ext cx="4947920" cy="2016125"/>
                    </a:xfrm>
                    <a:prstGeom prst="rect">
                      <a:avLst/>
                    </a:prstGeom>
                    <a:noFill/>
                    <a:ln w="9525">
                      <a:noFill/>
                    </a:ln>
                  </pic:spPr>
                </pic:pic>
              </a:graphicData>
            </a:graphic>
          </wp:inline>
        </w:drawing>
      </w: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黑体" w:hAnsi="黑体" w:eastAsia="黑体" w:cs="黑体"/>
          <w:sz w:val="32"/>
          <w:szCs w:val="32"/>
          <w:lang w:val="en-US" w:eastAsia="zh-CN"/>
        </w:rPr>
      </w:pP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sz w:val="15"/>
          <w:szCs w:val="15"/>
          <w:lang w:val="en-US" w:eastAsia="zh-CN"/>
        </w:rPr>
      </w:pP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sz w:val="15"/>
          <w:szCs w:val="15"/>
          <w:lang w:val="en-US" w:eastAsia="zh-CN"/>
        </w:rPr>
      </w:pP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sz w:val="15"/>
          <w:szCs w:val="15"/>
          <w:lang w:val="en-US" w:eastAsia="zh-CN"/>
        </w:rPr>
      </w:pP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sz w:val="15"/>
          <w:szCs w:val="15"/>
          <w:lang w:val="en-US" w:eastAsia="zh-CN"/>
        </w:rPr>
      </w:pP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sz w:val="15"/>
          <w:szCs w:val="15"/>
          <w:lang w:val="en-US" w:eastAsia="zh-CN"/>
        </w:rPr>
      </w:pPr>
    </w:p>
    <w:p>
      <w:pPr>
        <w:keepNext w:val="0"/>
        <w:keepLines w:val="0"/>
        <w:pageBreakBefore w:val="0"/>
        <w:widowControl/>
        <w:suppressLineNumbers w:val="0"/>
        <w:kinsoku/>
        <w:wordWrap w:val="0"/>
        <w:overflowPunct/>
        <w:topLinePunct w:val="0"/>
        <w:autoSpaceDE/>
        <w:autoSpaceDN/>
        <w:bidi w:val="0"/>
        <w:adjustRightInd/>
        <w:snapToGrid/>
        <w:ind w:left="1680" w:leftChars="0" w:firstLine="420" w:firstLineChars="0"/>
        <w:jc w:val="left"/>
        <w:textAlignment w:val="auto"/>
        <w:rPr>
          <w:rFonts w:hint="eastAsia" w:ascii="宋体" w:hAnsi="宋体" w:eastAsia="宋体" w:cs="宋体"/>
          <w:sz w:val="15"/>
          <w:szCs w:val="15"/>
          <w:lang w:val="en-US" w:eastAsia="zh-CN"/>
        </w:rPr>
      </w:pPr>
    </w:p>
    <w:p>
      <w:pPr>
        <w:keepNext w:val="0"/>
        <w:keepLines w:val="0"/>
        <w:pageBreakBefore w:val="0"/>
        <w:widowControl/>
        <w:suppressLineNumbers w:val="0"/>
        <w:kinsoku/>
        <w:wordWrap w:val="0"/>
        <w:overflowPunct/>
        <w:topLinePunct w:val="0"/>
        <w:autoSpaceDE/>
        <w:autoSpaceDN/>
        <w:bidi w:val="0"/>
        <w:adjustRightInd/>
        <w:snapToGrid/>
        <w:ind w:left="1680" w:leftChars="0" w:firstLine="450" w:firstLineChars="300"/>
        <w:jc w:val="both"/>
        <w:textAlignment w:val="auto"/>
        <w:rPr>
          <w:rFonts w:hint="default" w:ascii="宋体" w:hAnsi="宋体" w:eastAsia="宋体" w:cs="宋体"/>
          <w:sz w:val="15"/>
          <w:szCs w:val="15"/>
          <w:lang w:val="en-US" w:eastAsia="zh-CN"/>
        </w:rPr>
      </w:pPr>
      <w:r>
        <w:rPr>
          <w:rFonts w:hint="eastAsia" w:ascii="宋体" w:hAnsi="宋体" w:eastAsia="宋体" w:cs="宋体"/>
          <w:sz w:val="15"/>
          <w:szCs w:val="15"/>
          <w:lang w:val="en-US" w:eastAsia="zh-CN"/>
        </w:rPr>
        <w:t>表2    2016年-2020年IT行业各领域平均薪资</w:t>
      </w:r>
    </w:p>
    <w:p>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hint="eastAsia" w:ascii="黑体" w:hAnsi="黑体" w:eastAsia="黑体" w:cs="黑体"/>
          <w:sz w:val="32"/>
          <w:szCs w:val="32"/>
          <w:lang w:val="en-US" w:eastAsia="zh-CN"/>
        </w:rPr>
      </w:pPr>
      <w:r>
        <w:rPr>
          <w:rFonts w:ascii="宋体" w:hAnsi="宋体" w:eastAsia="宋体" w:cs="宋体"/>
          <w:kern w:val="0"/>
          <w:sz w:val="24"/>
          <w:szCs w:val="24"/>
          <w:lang w:val="en-US" w:eastAsia="zh-CN" w:bidi="ar"/>
        </w:rPr>
        <w:drawing>
          <wp:inline distT="0" distB="0" distL="114300" distR="114300">
            <wp:extent cx="4970145" cy="3278505"/>
            <wp:effectExtent l="0" t="0" r="1905"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970145" cy="3278505"/>
                    </a:xfrm>
                    <a:prstGeom prst="rect">
                      <a:avLst/>
                    </a:prstGeom>
                    <a:noFill/>
                    <a:ln w="9525">
                      <a:noFill/>
                    </a:ln>
                  </pic:spPr>
                </pic:pic>
              </a:graphicData>
            </a:graphic>
          </wp:inline>
        </w:drawing>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由表2可得，就实际角色而言，在保持长期薪水稳定和增长方面，我们已经看到一些专业处于中心地位。在过去的四年中，企业应用程序集成，安全性和 ERP 角色的平均薪水实现了两位数的高增长。自 2016 年以来，企业应用程序集成岗位的收入增长了 32％，平均薪水为 139,913 美元，位居收入榜首。专注于安全性的岗位紧随其后，自 2016 年以来增长了 28％，2020 年的平均年薪为 134,365 美元。ERP 岗位位居第三，自 2016 年以来增长了 25％，2020 年的平均薪资为 130,602 美元。</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其他显著的增长包括云计算（自 2016 年以来增长了 15％），商业智能/分析（增长了 21％）和应用程序开发（增长了 27％）。尽管与企业应用程序集成，安全性和ERP相比，这三个技能功能的薪水在 2020 年较低（分别为 127,025 美元、118,828 美元和 124,017 美元），但它们与组织的未来成功相关，在未来几个月中将持续增长。</w:t>
      </w: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3.4性别因素对薪酬的影响</w:t>
      </w:r>
    </w:p>
    <w:p>
      <w:pPr>
        <w:keepNext w:val="0"/>
        <w:keepLines w:val="0"/>
        <w:pageBreakBefore w:val="0"/>
        <w:kinsoku/>
        <w:wordWrap w:val="0"/>
        <w:overflowPunct/>
        <w:topLinePunct w:val="0"/>
        <w:autoSpaceDE/>
        <w:autoSpaceDN/>
        <w:bidi w:val="0"/>
        <w:adjustRightInd/>
        <w:snapToGrid/>
        <w:ind w:firstLine="420" w:firstLineChars="0"/>
        <w:jc w:val="center"/>
        <w:textAlignment w:val="auto"/>
        <w:rPr>
          <w:rFonts w:hint="eastAsia" w:ascii="黑体" w:hAnsi="黑体" w:eastAsia="黑体" w:cs="黑体"/>
          <w:sz w:val="18"/>
          <w:szCs w:val="18"/>
          <w:lang w:val="en-US" w:eastAsia="zh-CN"/>
        </w:rPr>
      </w:pPr>
    </w:p>
    <w:p>
      <w:pPr>
        <w:keepNext w:val="0"/>
        <w:keepLines w:val="0"/>
        <w:pageBreakBefore w:val="0"/>
        <w:kinsoku/>
        <w:wordWrap w:val="0"/>
        <w:overflowPunct/>
        <w:topLinePunct w:val="0"/>
        <w:autoSpaceDE/>
        <w:autoSpaceDN/>
        <w:bidi w:val="0"/>
        <w:adjustRightInd/>
        <w:snapToGrid/>
        <w:ind w:firstLine="2400" w:firstLineChars="1600"/>
        <w:jc w:val="both"/>
        <w:textAlignment w:val="auto"/>
        <w:rPr>
          <w:rFonts w:hint="default" w:ascii="黑体" w:hAnsi="黑体" w:eastAsia="黑体" w:cs="黑体"/>
          <w:sz w:val="32"/>
          <w:szCs w:val="32"/>
          <w:lang w:val="en-US" w:eastAsia="zh-CN"/>
        </w:rPr>
      </w:pPr>
      <w:r>
        <w:rPr>
          <w:rFonts w:hint="eastAsia" w:ascii="宋体" w:hAnsi="宋体" w:eastAsia="宋体" w:cs="宋体"/>
          <w:sz w:val="15"/>
          <w:szCs w:val="15"/>
          <w:lang w:val="en-US" w:eastAsia="zh-CN"/>
        </w:rPr>
        <w:t>表3  不同性别不同级别的IT从业者薪资情况</w:t>
      </w:r>
    </w:p>
    <w:p>
      <w:pPr>
        <w:keepNext w:val="0"/>
        <w:keepLines w:val="0"/>
        <w:pageBreakBefore w:val="0"/>
        <w:widowControl/>
        <w:suppressLineNumbers w:val="0"/>
        <w:kinsoku/>
        <w:wordWrap w:val="0"/>
        <w:overflowPunct/>
        <w:topLinePunct w:val="0"/>
        <w:autoSpaceDE/>
        <w:autoSpaceDN/>
        <w:bidi w:val="0"/>
        <w:adjustRightInd/>
        <w:snapToGrid/>
        <w:jc w:val="center"/>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94580" cy="2503805"/>
            <wp:effectExtent l="0" t="0" r="1270" b="1079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4894580" cy="2503805"/>
                    </a:xfrm>
                    <a:prstGeom prst="rect">
                      <a:avLst/>
                    </a:prstGeom>
                    <a:noFill/>
                    <a:ln w="9525">
                      <a:noFill/>
                    </a:ln>
                  </pic:spPr>
                </pic:pic>
              </a:graphicData>
            </a:graphic>
          </wp:inline>
        </w:drawing>
      </w: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ascii="宋体" w:hAnsi="宋体" w:eastAsia="宋体" w:cs="宋体"/>
          <w:kern w:val="0"/>
          <w:sz w:val="24"/>
          <w:szCs w:val="24"/>
          <w:lang w:val="en-US" w:eastAsia="zh-CN" w:bidi="ar"/>
        </w:rPr>
      </w:pP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根据表3的信息可知，从事 IT 工作的女性的薪资总体比男性低。尽管担任高级职位的女工与男性相比随时间推移增长幅度更大（自 2016 年以来增长了 50％），但在过去一年中，担任中层管理职位的女性平均工资有所下降。</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2016 年，担任中层管理IT职位的女性平均收入为 100,850 美元，高于男性，但在2020年的调查中，这一数字降至 95,537 美元。在 2016 年，男性中层管理IT职位的收入为 98,340 美元，但如今增长了 14％，达到 112,256 美元。</w:t>
      </w:r>
    </w:p>
    <w:p>
      <w:pPr>
        <w:keepNext w:val="0"/>
        <w:keepLines w:val="0"/>
        <w:pageBreakBefore w:val="0"/>
        <w:kinsoku/>
        <w:wordWrap w:val="0"/>
        <w:overflowPunct/>
        <w:topLinePunct w:val="0"/>
        <w:autoSpaceDE/>
        <w:autoSpaceDN/>
        <w:bidi w:val="0"/>
        <w:adjustRightInd/>
        <w:snapToGrid/>
        <w:ind w:firstLine="420" w:firstLineChars="0"/>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 2016 年以来，男性技术人员每年的收入都高于女性。在今年的调查中，男性技术人员的平均收入为 90,893 美元，而女性为 83,465 美元。尽管女性在过去四年中增长了 5％，但男性增长了 6％。</w:t>
      </w:r>
    </w:p>
    <w:p>
      <w:pPr>
        <w:keepNext w:val="0"/>
        <w:keepLines w:val="0"/>
        <w:pageBreakBefore w:val="0"/>
        <w:kinsoku/>
        <w:wordWrap w:val="0"/>
        <w:overflowPunct/>
        <w:topLinePunct w:val="0"/>
        <w:autoSpaceDE/>
        <w:autoSpaceDN/>
        <w:bidi w:val="0"/>
        <w:adjustRightInd/>
        <w:snapToGrid/>
        <w:ind w:firstLine="42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值得注意的是2020年的女性在高级 IT 职位中的收入要比男性高，这是一个重大变化。过去几年中，高级IT管理人员的男性和女性收入之间的差异可以忽略不计，但今年，女性的平均收入从2019年的 97,551 美元跃升至 107,038 美元。相比之下，担任类似职务的男性的平均收入为 158,417 美元，仍然比去年增长 39％。</w:t>
      </w:r>
    </w:p>
    <w:p>
      <w:pPr>
        <w:keepNext w:val="0"/>
        <w:keepLines w:val="0"/>
        <w:pageBreakBefore w:val="0"/>
        <w:kinsoku/>
        <w:wordWrap w:val="0"/>
        <w:overflowPunct/>
        <w:topLinePunct w:val="0"/>
        <w:autoSpaceDE/>
        <w:autoSpaceDN/>
        <w:bidi w:val="0"/>
        <w:adjustRightInd/>
        <w:snapToGrid/>
        <w:textAlignment w:val="auto"/>
        <w:rPr>
          <w:rFonts w:hint="default" w:ascii="黑体" w:hAnsi="黑体" w:eastAsia="黑体" w:cs="黑体"/>
          <w:sz w:val="32"/>
          <w:szCs w:val="32"/>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结论</w:t>
      </w:r>
    </w:p>
    <w:p>
      <w:pPr>
        <w:keepNext w:val="0"/>
        <w:keepLines w:val="0"/>
        <w:pageBreakBefore w:val="0"/>
        <w:kinsoku/>
        <w:wordWrap w:val="0"/>
        <w:overflowPunct/>
        <w:topLinePunct w:val="0"/>
        <w:autoSpaceDE/>
        <w:autoSpaceDN/>
        <w:bidi w:val="0"/>
        <w:adjustRightInd/>
        <w:snapToGrid/>
        <w:ind w:firstLine="420" w:firstLineChars="0"/>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COVID-19对行业产生一定的影响，尽管发生了大流行，IT 从业人员的总体情况还是相对乐观的。调查显示，整个行业总体上希望发展技能并增加薪水，这与前几年没有什么不同。在疫情大流行的背景下，现在的问题是雇主是否准备好迎接这一切。已经过去的 2020 年对各行各业来说都产生了一定影响，有的行业甚至遭遇了严重的打击面临着困境。但对于 IT 行业来说，这一年是机会与挑战并存的一年。这一点从 IT 从业人员总体收入和对未来收入的期望上也能看出。在2020这一整年，数字化转型的快速加速已经证实了IT 行业仍然是一个充满活力，投资良好且面向增长的行业。</w:t>
      </w: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p>
    <w:p>
      <w:pPr>
        <w:keepNext w:val="0"/>
        <w:keepLines w:val="0"/>
        <w:pageBreakBefore w:val="0"/>
        <w:kinsoku/>
        <w:wordWrap w:val="0"/>
        <w:overflowPunct/>
        <w:topLinePunct w:val="0"/>
        <w:autoSpaceDE/>
        <w:autoSpaceDN/>
        <w:bidi w:val="0"/>
        <w:adjustRightInd/>
        <w:snapToGrid/>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参考文献</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[1]2021-21年全球工资报告：COVID-19时代的工资和最低工资[R].(2020-12).https://www.ilo.org/infostories/zh-CN/Campaigns/Wages/globalwagereport</w:t>
      </w:r>
    </w:p>
    <w:p>
      <w:pPr>
        <w:keepNext w:val="0"/>
        <w:keepLines w:val="0"/>
        <w:pageBreakBefore w:val="0"/>
        <w:widowControl w:val="0"/>
        <w:kinsoku/>
        <w:wordWrap w:val="0"/>
        <w:overflowPunct/>
        <w:topLinePunct w:val="0"/>
        <w:autoSpaceDE/>
        <w:autoSpaceDN/>
        <w:bidi w:val="0"/>
        <w:adjustRightInd/>
        <w:snapToGrid/>
        <w:textAlignment w:val="auto"/>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[2]IT Salary Survey 2021: Compensation holds steady despite pandemic[EB/OL].(2021-2-22),https://www.idginsiderpro.com/article/3607982/it-salary-survey-2021-compensation-holds-steady-despite-pandemic.html</w:t>
      </w:r>
    </w:p>
    <w:p>
      <w:pPr>
        <w:keepNext w:val="0"/>
        <w:keepLines w:val="0"/>
        <w:pageBreakBefore w:val="0"/>
        <w:widowControl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b w:val="0"/>
          <w:bCs w:val="0"/>
          <w:kern w:val="2"/>
          <w:sz w:val="18"/>
          <w:szCs w:val="18"/>
          <w:lang w:val="en-US" w:eastAsia="zh-CN" w:bidi="ar-SA"/>
        </w:rPr>
        <w:t>[3]图1：2020年疫情下中国新经济产业投资研究报告[R].(2020-3-13).</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"http://report.iresearch.cn/report/202003/3534.shtml" </w:instrText>
      </w:r>
      <w:r>
        <w:rPr>
          <w:rFonts w:hint="eastAsia" w:ascii="宋体" w:hAnsi="宋体" w:eastAsia="宋体" w:cs="宋体"/>
          <w:sz w:val="18"/>
          <w:szCs w:val="18"/>
          <w:lang w:val="en-US" w:eastAsia="zh-CN"/>
        </w:rPr>
        <w:fldChar w:fldCharType="separate"/>
      </w:r>
      <w:r>
        <w:rPr>
          <w:rStyle w:val="6"/>
          <w:rFonts w:hint="eastAsia" w:ascii="宋体" w:hAnsi="宋体" w:eastAsia="宋体" w:cs="宋体"/>
          <w:sz w:val="18"/>
          <w:szCs w:val="18"/>
          <w:lang w:val="en-US" w:eastAsia="zh-CN"/>
        </w:rPr>
        <w:t>http://report.iresearch.cn/report/202003/3534.shtml</w:t>
      </w:r>
      <w:r>
        <w:rPr>
          <w:rFonts w:hint="eastAsia" w:ascii="宋体" w:hAnsi="宋体" w:eastAsia="宋体" w:cs="宋体"/>
          <w:sz w:val="18"/>
          <w:szCs w:val="18"/>
          <w:lang w:val="en-US" w:eastAsia="zh-CN"/>
        </w:rPr>
        <w:fldChar w:fldCharType="end"/>
      </w:r>
    </w:p>
    <w:p>
      <w:pPr>
        <w:keepNext w:val="0"/>
        <w:keepLines w:val="0"/>
        <w:pageBreakBefore w:val="0"/>
        <w:widowControl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[4]图2，图3，表1，表2，表3：见[2]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7408B"/>
    <w:rsid w:val="02471FA4"/>
    <w:rsid w:val="02621A2B"/>
    <w:rsid w:val="0378287F"/>
    <w:rsid w:val="042816F2"/>
    <w:rsid w:val="05C16C9F"/>
    <w:rsid w:val="073A4D93"/>
    <w:rsid w:val="08BE558A"/>
    <w:rsid w:val="08C224D6"/>
    <w:rsid w:val="0A3F53BE"/>
    <w:rsid w:val="0B5C1C87"/>
    <w:rsid w:val="0CB720B7"/>
    <w:rsid w:val="0CF62590"/>
    <w:rsid w:val="0DFF4328"/>
    <w:rsid w:val="11512E36"/>
    <w:rsid w:val="12432308"/>
    <w:rsid w:val="15156A13"/>
    <w:rsid w:val="15203F88"/>
    <w:rsid w:val="159F5CA8"/>
    <w:rsid w:val="15F66CD8"/>
    <w:rsid w:val="16B555B4"/>
    <w:rsid w:val="191B5B91"/>
    <w:rsid w:val="195B402A"/>
    <w:rsid w:val="1C1A549E"/>
    <w:rsid w:val="1D05629C"/>
    <w:rsid w:val="1EB42A66"/>
    <w:rsid w:val="1F0A4D78"/>
    <w:rsid w:val="1F7B47F7"/>
    <w:rsid w:val="20DE65F3"/>
    <w:rsid w:val="226B121E"/>
    <w:rsid w:val="230279C6"/>
    <w:rsid w:val="24852369"/>
    <w:rsid w:val="26F55218"/>
    <w:rsid w:val="277735F3"/>
    <w:rsid w:val="2B722FEA"/>
    <w:rsid w:val="2C027726"/>
    <w:rsid w:val="2C92232F"/>
    <w:rsid w:val="2D270A88"/>
    <w:rsid w:val="2F730E72"/>
    <w:rsid w:val="2FA43388"/>
    <w:rsid w:val="300D0869"/>
    <w:rsid w:val="308B77CF"/>
    <w:rsid w:val="34915BE7"/>
    <w:rsid w:val="35D166D5"/>
    <w:rsid w:val="369D228B"/>
    <w:rsid w:val="383E3EC9"/>
    <w:rsid w:val="3B0A6C23"/>
    <w:rsid w:val="3BAD7771"/>
    <w:rsid w:val="3C5F2515"/>
    <w:rsid w:val="3EA8536D"/>
    <w:rsid w:val="3EB81DF3"/>
    <w:rsid w:val="40513BB5"/>
    <w:rsid w:val="410D3259"/>
    <w:rsid w:val="41123EA6"/>
    <w:rsid w:val="41A47855"/>
    <w:rsid w:val="4210275A"/>
    <w:rsid w:val="433E1B96"/>
    <w:rsid w:val="441D1567"/>
    <w:rsid w:val="442932E5"/>
    <w:rsid w:val="444B19C8"/>
    <w:rsid w:val="49DA17C5"/>
    <w:rsid w:val="4A6A57BB"/>
    <w:rsid w:val="4BC54CBF"/>
    <w:rsid w:val="4D1809F3"/>
    <w:rsid w:val="4F375CD1"/>
    <w:rsid w:val="4F890A73"/>
    <w:rsid w:val="50912266"/>
    <w:rsid w:val="50F166AE"/>
    <w:rsid w:val="54CE565E"/>
    <w:rsid w:val="55085BFD"/>
    <w:rsid w:val="56A62B7E"/>
    <w:rsid w:val="571F6285"/>
    <w:rsid w:val="586A1817"/>
    <w:rsid w:val="5877408B"/>
    <w:rsid w:val="58F63026"/>
    <w:rsid w:val="59681CD0"/>
    <w:rsid w:val="5A893238"/>
    <w:rsid w:val="5A9F0CEB"/>
    <w:rsid w:val="5B9A34BB"/>
    <w:rsid w:val="5CA42CEC"/>
    <w:rsid w:val="5CE573B0"/>
    <w:rsid w:val="5D21190A"/>
    <w:rsid w:val="5F822855"/>
    <w:rsid w:val="619C7103"/>
    <w:rsid w:val="619D5602"/>
    <w:rsid w:val="625A34C3"/>
    <w:rsid w:val="62C25539"/>
    <w:rsid w:val="65304255"/>
    <w:rsid w:val="65563518"/>
    <w:rsid w:val="66DA74F9"/>
    <w:rsid w:val="67FA0F33"/>
    <w:rsid w:val="684A2121"/>
    <w:rsid w:val="68A634BD"/>
    <w:rsid w:val="699F5870"/>
    <w:rsid w:val="6A2F167D"/>
    <w:rsid w:val="6ACC7A60"/>
    <w:rsid w:val="6B4E0C67"/>
    <w:rsid w:val="6CD93072"/>
    <w:rsid w:val="6D130A98"/>
    <w:rsid w:val="6E9542F1"/>
    <w:rsid w:val="720D7163"/>
    <w:rsid w:val="722B467F"/>
    <w:rsid w:val="72E15631"/>
    <w:rsid w:val="735F750A"/>
    <w:rsid w:val="7467266F"/>
    <w:rsid w:val="74782716"/>
    <w:rsid w:val="753C415C"/>
    <w:rsid w:val="75CD3DBF"/>
    <w:rsid w:val="76AA6669"/>
    <w:rsid w:val="76DF6E13"/>
    <w:rsid w:val="77057CD9"/>
    <w:rsid w:val="78451A7C"/>
    <w:rsid w:val="78777F0B"/>
    <w:rsid w:val="78B93A85"/>
    <w:rsid w:val="7B411BC2"/>
    <w:rsid w:val="7BD73001"/>
    <w:rsid w:val="7EFE356D"/>
    <w:rsid w:val="7F7748AD"/>
    <w:rsid w:val="7FDE6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2021-04-04T11:27:00Z</dcterms:created>
  <dc:creator>爆炸是玛莎的艺术</dc:creator>
  <cp:lastModifiedBy>爆炸是玛莎的艺术</cp:lastModifiedBy>
  <dcterms:modified xsi:type="dcterms:W3CDTF">2021-04-06T10:49:24Z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E6743F96D0A144DD9A9313F396E7CAE8</vt:lpwstr>
  </property>
</Properties>
</file>