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bookmarkStart w:id="0" w:name="_GoBack"/>
      <w:bookmarkEnd w:id="0"/>
      <w:r>
        <w:rPr>
          <w:rFonts w:hint="default" w:ascii="黑体" w:hAnsi="黑体" w:eastAsia="黑体"/>
          <w:sz w:val="32"/>
          <w:szCs w:val="32"/>
        </w:rPr>
        <w:t>对近5年内IT行业薪水变化的数据分析</w:t>
      </w:r>
    </w:p>
    <w:p>
      <w:pPr>
        <w:spacing w:after="180" w:afterLines="50" w:line="220" w:lineRule="atLeast"/>
        <w:rPr>
          <w:rFonts w:ascii="宋体" w:hAnsi="宋体" w:eastAsia="宋体"/>
          <w:sz w:val="21"/>
          <w:szCs w:val="21"/>
          <w:vertAlign w:val="superscript"/>
        </w:rPr>
      </w:pPr>
      <w:r>
        <w:rPr>
          <w:rFonts w:hint="default" w:ascii="宋体" w:hAnsi="宋体" w:eastAsia="宋体"/>
          <w:b/>
          <w:sz w:val="21"/>
          <w:szCs w:val="21"/>
        </w:rPr>
        <w:t>温晴</w:t>
      </w:r>
    </w:p>
    <w:p>
      <w:pPr>
        <w:spacing w:after="0" w:line="220" w:lineRule="atLeast"/>
        <w:jc w:val="both"/>
        <w:rPr>
          <w:rFonts w:ascii="仿宋" w:hAnsi="仿宋" w:eastAsia="仿宋"/>
          <w:sz w:val="18"/>
          <w:szCs w:val="18"/>
        </w:rPr>
      </w:pPr>
      <w:r>
        <w:rPr>
          <w:rFonts w:hint="default" w:ascii="仿宋" w:hAnsi="仿宋" w:eastAsia="仿宋"/>
          <w:sz w:val="18"/>
          <w:szCs w:val="18"/>
        </w:rPr>
        <w:t>大连理工大学软件学院</w:t>
      </w:r>
      <w:r>
        <w:rPr>
          <w:rFonts w:hint="eastAsia" w:ascii="仿宋" w:hAnsi="仿宋" w:eastAsia="仿宋"/>
          <w:sz w:val="18"/>
          <w:szCs w:val="18"/>
        </w:rPr>
        <w:t xml:space="preserve"> </w:t>
      </w:r>
      <w:r>
        <w:rPr>
          <w:rFonts w:hint="default" w:ascii="仿宋" w:hAnsi="仿宋" w:eastAsia="仿宋"/>
          <w:sz w:val="18"/>
          <w:szCs w:val="18"/>
        </w:rPr>
        <w:t>辽宁 大连 116024</w:t>
      </w:r>
    </w:p>
    <w:p>
      <w:pPr>
        <w:spacing w:after="0" w:line="220" w:lineRule="atLeast"/>
        <w:jc w:val="both"/>
        <w:rPr>
          <w:rFonts w:ascii="仿宋" w:hAnsi="仿宋" w:eastAsia="仿宋"/>
          <w:sz w:val="21"/>
          <w:szCs w:val="21"/>
        </w:rPr>
      </w:pPr>
    </w:p>
    <w:p>
      <w:pPr>
        <w:rPr>
          <w:rFonts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auto"/>
          <w:sz w:val="18"/>
          <w:szCs w:val="18"/>
        </w:rPr>
        <w:t>自20世纪以来，随着科技水平的提高和互联网的发展，IT行业迅猛扩张。作为新兴的朝阳产业，IT行业具备人才缺口大，未来就业前景良好等优势。人工智能、大数据、5G等新技术更是使得IT行业炙手可热。以技术为主导的IT行业凭借着“高薪酬”等噱头吸引大量年轻人加入。鉴于社会各界对IT行业的关注，文中搜集了近5年智联招聘发布的《中国雇主需求与白领人才报告》，提取出同一年份不同行业月薪水平的可视化数据；横向对比整理分析各个年份IT行业与其他行业薪酬水平差异，纵向对比总结得出IT行业近5年间薪酬变化的总体趋势及其特征；结合时事背景，</w:t>
      </w:r>
      <w:r>
        <w:rPr>
          <w:rFonts w:hint="default" w:ascii="仿宋" w:hAnsi="仿宋" w:eastAsia="仿宋"/>
          <w:color w:val="auto"/>
          <w:sz w:val="18"/>
          <w:szCs w:val="18"/>
        </w:rPr>
        <w:t>从</w:t>
      </w:r>
      <w:r>
        <w:rPr>
          <w:rFonts w:hint="eastAsia" w:ascii="仿宋" w:hAnsi="仿宋" w:eastAsia="仿宋"/>
          <w:color w:val="auto"/>
          <w:sz w:val="18"/>
          <w:szCs w:val="18"/>
        </w:rPr>
        <w:t>给出了IT行业薪酬变化的原因。</w:t>
      </w:r>
    </w:p>
    <w:p>
      <w:pPr>
        <w:spacing w:before="180" w:beforeLines="50" w:after="180" w:afterLines="50" w:line="220" w:lineRule="atLeast"/>
        <w:rPr>
          <w:rFonts w:ascii="宋体" w:hAnsi="宋体" w:eastAsia="宋体"/>
          <w:sz w:val="18"/>
          <w:szCs w:val="18"/>
        </w:rPr>
      </w:pPr>
      <w:r>
        <w:rPr>
          <w:rFonts w:hint="eastAsia" w:ascii="宋体" w:hAnsi="宋体" w:eastAsia="宋体"/>
          <w:b/>
          <w:sz w:val="18"/>
          <w:szCs w:val="18"/>
        </w:rPr>
        <w:t xml:space="preserve">关键词：  </w:t>
      </w:r>
      <w:r>
        <w:rPr>
          <w:rFonts w:hint="default" w:ascii="宋体" w:hAnsi="宋体" w:eastAsia="宋体"/>
          <w:sz w:val="18"/>
          <w:szCs w:val="18"/>
        </w:rPr>
        <w:t>数据分析；就业；薪水；IT行业；互联网；大数据</w:t>
      </w:r>
    </w:p>
    <w:p>
      <w:pPr>
        <w:pStyle w:val="15"/>
        <w:ind w:left="99" w:hanging="99"/>
        <w:rPr>
          <w:color w:val="FF0000"/>
          <w:sz w:val="15"/>
          <w:szCs w:val="15"/>
        </w:rPr>
      </w:pPr>
    </w:p>
    <w:p>
      <w:pPr>
        <w:pStyle w:val="5"/>
        <w:numPr>
          <w:ilvl w:val="0"/>
          <w:numId w:val="1"/>
        </w:numPr>
      </w:pPr>
      <w:r>
        <w:rPr>
          <w:rFonts w:hint="default" w:ascii="黑体" w:hAnsi="黑体" w:eastAsia="黑体"/>
          <w:szCs w:val="21"/>
        </w:rPr>
        <w:t>引言</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sz w:val="18"/>
          <w:szCs w:val="18"/>
        </w:rPr>
      </w:pPr>
      <w:r>
        <w:rPr>
          <w:rFonts w:hint="default" w:ascii="宋体" w:hAnsi="宋体"/>
          <w:sz w:val="18"/>
          <w:szCs w:val="18"/>
        </w:rPr>
        <w:t>2021年2月，中国互联网络信息中心发布了第47次《中国互联网络发展状况统计报告》[1]。报告中显示，截止2020年12月，中国网民的数量已经达到了9.89亿，互联网普及率达到了70.4%。网络的大规模普及促使IT行业从数年前的朝阳产业转变为支柱产业。但IT行业的庞大规模却并不意味着它已经丧失了前沿性。大数据、人工智能、5G通信、区块链等前沿技术领域不断迎来新的突破。政策上的有力支持促使IT技术不断革新，产业层和应用层互促共同步入快速增长期。</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sz w:val="18"/>
          <w:szCs w:val="18"/>
        </w:rPr>
      </w:pPr>
      <w:r>
        <w:rPr>
          <w:rFonts w:hint="default" w:ascii="宋体" w:hAnsi="宋体"/>
          <w:sz w:val="18"/>
          <w:szCs w:val="18"/>
        </w:rPr>
        <w:t>IT行业的庞大规模和广阔未来吸引了大批量、高质量人才的加入。大型互联网企业蓬勃发展，规模以上互联网企业完成业务收入同比增长达29%；中小型互联网企业如雨后春笋，据前瞻产业研究院整理数据，我国境内外互联网上市企业数量总数已达135家[1]。</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sz w:val="18"/>
          <w:szCs w:val="18"/>
        </w:rPr>
      </w:pPr>
      <w:r>
        <w:rPr>
          <w:rFonts w:hint="default" w:ascii="宋体" w:hAnsi="宋体"/>
          <w:sz w:val="18"/>
          <w:szCs w:val="18"/>
        </w:rPr>
        <w:t>互联网行业的巨大风口依然急需更多年轻人的加入，为此各家企业争相开出高薪酬。2020年8月，年薪两百万的华为“天才少年”引发了网民对互联网高薪水的关注[2]。近年来，全国的就业市场竞争非常激烈，智联招聘发布数据显示全国人才供需指数逐年上涨。求职者面对的职位竞争情况逐年严峻。而IT行业却逆势而上，薪水一路水涨船高。文中将基于智联招聘统计数据对互联网薪资水平及变化趋势进行详尽分析。</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right="0" w:rightChars="0"/>
        <w:jc w:val="left"/>
        <w:textAlignment w:val="auto"/>
        <w:outlineLvl w:val="9"/>
        <w:rPr>
          <w:rFonts w:hint="default" w:ascii="宋体" w:hAnsi="宋体"/>
          <w:sz w:val="18"/>
          <w:szCs w:val="18"/>
        </w:rPr>
      </w:pPr>
    </w:p>
    <w:p>
      <w:pPr>
        <w:pStyle w:val="5"/>
        <w:numPr>
          <w:ilvl w:val="0"/>
          <w:numId w:val="1"/>
        </w:numPr>
      </w:pPr>
      <w:r>
        <w:rPr>
          <w:rFonts w:hint="default" w:ascii="黑体" w:hAnsi="黑体" w:eastAsia="黑体"/>
          <w:szCs w:val="21"/>
        </w:rPr>
        <w:t>近5年IT行业薪酬数据及分析</w:t>
      </w:r>
    </w:p>
    <w:p>
      <w:pPr>
        <w:pStyle w:val="15"/>
        <w:numPr>
          <w:ilvl w:val="1"/>
          <w:numId w:val="1"/>
        </w:numPr>
        <w:ind w:left="119" w:hanging="119"/>
        <w:rPr>
          <w:rFonts w:ascii="黑体" w:hAnsi="黑体" w:eastAsia="黑体"/>
          <w:sz w:val="18"/>
          <w:szCs w:val="18"/>
        </w:rPr>
      </w:pPr>
      <w:r>
        <w:rPr>
          <w:rFonts w:hint="default" w:ascii="黑体" w:hAnsi="黑体" w:eastAsia="黑体"/>
          <w:sz w:val="18"/>
          <w:szCs w:val="18"/>
        </w:rPr>
        <w:t>近5年IT行业薪酬数据</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eastAsia="宋体"/>
          <w:sz w:val="18"/>
          <w:szCs w:val="18"/>
        </w:rPr>
      </w:pPr>
      <w:r>
        <w:rPr>
          <w:rFonts w:hint="default" w:ascii="宋体" w:hAnsi="宋体" w:eastAsia="宋体"/>
          <w:sz w:val="18"/>
          <w:szCs w:val="18"/>
        </w:rPr>
        <w:t>文中使用了智联招聘在2016-2020五年间发布的《中国雇主需求与白领人才供给报告》[3-7]中各职业薪酬水平排名数据。图1所示为2020年冬季求职期职业平均薪酬排行榜</w:t>
      </w:r>
      <w:r>
        <w:rPr>
          <w:rFonts w:hint="default" w:ascii="宋体" w:hAnsi="宋体"/>
          <w:sz w:val="18"/>
          <w:szCs w:val="18"/>
        </w:rPr>
        <w:t>[3]</w:t>
      </w:r>
      <w:r>
        <w:rPr>
          <w:rFonts w:hint="default" w:ascii="宋体" w:hAnsi="宋体" w:eastAsia="宋体"/>
          <w:sz w:val="18"/>
          <w:szCs w:val="18"/>
        </w:rPr>
        <w:t>。表中与IT行业范畴内职业包括：IT管理/项目协调，软件/互联网开发/系统集成，IT质量管理/测试/配置管理，互联网产品/运营管理，IT运维/技术支持这五项。我们将这五项职业依次简称为管理，开发，测试，产品和运维。管理位居各项职业平均薪酬排行榜第一，平均月薪为22384元。开发，测试，产品分别以12946元，9897元，9339元的平均月薪位居第6，第19和第22名。IT行业中运维平均薪酬最低，为8897元，但在55项职业中也排到了25名的位置。由此可见，2020年IT行业下各项职业平均薪酬均居于职业榜前50%，最低平均月薪为8897元；平均月薪最高的职业IT管理/项目协调也属于IT行业下范畴，平均月薪为22384元。</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eastAsia="宋体"/>
          <w:sz w:val="18"/>
          <w:szCs w:val="18"/>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right="0" w:rightChars="0"/>
        <w:jc w:val="center"/>
        <w:textAlignment w:val="auto"/>
        <w:outlineLvl w:val="9"/>
        <w:rPr>
          <w:rFonts w:hint="default" w:ascii="宋体" w:hAnsi="宋体" w:eastAsia="宋体"/>
          <w:sz w:val="18"/>
          <w:szCs w:val="18"/>
        </w:rPr>
      </w:pPr>
      <w:r>
        <w:rPr>
          <w:rFonts w:ascii="宋体" w:hAnsi="宋体"/>
          <w:sz w:val="15"/>
          <w:szCs w:val="15"/>
        </w:rPr>
        <w:drawing>
          <wp:inline distT="0" distB="0" distL="114300" distR="114300">
            <wp:extent cx="4321810" cy="4700905"/>
            <wp:effectExtent l="0" t="0" r="21590" b="23495"/>
            <wp:docPr id="1" name="图片 8" descr="截屏2021-04-05 下午7.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截屏2021-04-05 下午7.14.53"/>
                    <pic:cNvPicPr>
                      <a:picLocks noChangeAspect="1"/>
                    </pic:cNvPicPr>
                  </pic:nvPicPr>
                  <pic:blipFill>
                    <a:blip r:embed="rId9"/>
                    <a:stretch>
                      <a:fillRect/>
                    </a:stretch>
                  </pic:blipFill>
                  <pic:spPr>
                    <a:xfrm>
                      <a:off x="0" y="0"/>
                      <a:ext cx="4321810" cy="4700905"/>
                    </a:xfrm>
                    <a:prstGeom prst="rect">
                      <a:avLst/>
                    </a:prstGeom>
                    <a:noFill/>
                    <a:ln w="9525">
                      <a:noFill/>
                    </a:ln>
                  </pic:spPr>
                </pic:pic>
              </a:graphicData>
            </a:graphic>
          </wp:inline>
        </w:drawing>
      </w:r>
    </w:p>
    <w:p>
      <w:pPr>
        <w:pStyle w:val="6"/>
        <w:spacing w:after="0"/>
        <w:jc w:val="center"/>
        <w:rPr>
          <w:rFonts w:ascii="宋体" w:hAnsi="宋体"/>
          <w:sz w:val="15"/>
          <w:szCs w:val="15"/>
        </w:rPr>
      </w:pPr>
      <w:r>
        <w:rPr>
          <w:rFonts w:hint="eastAsia" w:ascii="宋体" w:hAnsi="宋体"/>
          <w:sz w:val="15"/>
          <w:szCs w:val="15"/>
        </w:rPr>
        <w:t xml:space="preserve">图1  </w:t>
      </w:r>
      <w:r>
        <w:rPr>
          <w:rFonts w:hint="default" w:ascii="宋体" w:hAnsi="宋体"/>
          <w:sz w:val="15"/>
          <w:szCs w:val="15"/>
        </w:rPr>
        <w:t>2020</w:t>
      </w:r>
      <w:r>
        <w:rPr>
          <w:rFonts w:hint="default" w:ascii="宋体" w:hAnsi="宋体" w:eastAsia="宋体"/>
          <w:sz w:val="15"/>
          <w:szCs w:val="15"/>
        </w:rPr>
        <w:t>年冬季求职期职业平均薪酬排行榜</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eastAsia="宋体"/>
          <w:sz w:val="18"/>
          <w:szCs w:val="18"/>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eastAsia="宋体"/>
          <w:sz w:val="18"/>
          <w:szCs w:val="18"/>
        </w:rPr>
      </w:pPr>
      <w:r>
        <w:rPr>
          <w:rFonts w:hint="default" w:ascii="宋体" w:hAnsi="宋体" w:eastAsia="宋体"/>
          <w:sz w:val="18"/>
          <w:szCs w:val="18"/>
        </w:rPr>
        <w:t>我们收集了近五年的职业平均薪酬排行榜，对其中IT行业有关职业薪酬进行整理，整理结果如表1所示。后两节将对数据进行具体分析。</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eastAsia="宋体"/>
          <w:sz w:val="18"/>
          <w:szCs w:val="18"/>
        </w:rPr>
      </w:pPr>
    </w:p>
    <w:p>
      <w:pPr>
        <w:pStyle w:val="6"/>
        <w:spacing w:after="0" w:line="240" w:lineRule="atLeast"/>
        <w:jc w:val="center"/>
        <w:rPr>
          <w:color w:val="FF0000"/>
          <w:sz w:val="18"/>
          <w:szCs w:val="18"/>
        </w:rPr>
      </w:pPr>
      <w:r>
        <w:rPr>
          <w:rFonts w:hint="eastAsia" w:ascii="宋体" w:hAnsi="宋体"/>
          <w:sz w:val="15"/>
          <w:szCs w:val="15"/>
        </w:rPr>
        <w:t xml:space="preserve">表1   </w:t>
      </w:r>
      <w:r>
        <w:rPr>
          <w:rFonts w:hint="default" w:ascii="宋体" w:hAnsi="宋体"/>
          <w:sz w:val="15"/>
          <w:szCs w:val="15"/>
        </w:rPr>
        <w:t>2016-2020年份IT行业内各职业月平均薪酬及排名</w:t>
      </w:r>
    </w:p>
    <w:tbl>
      <w:tblPr>
        <w:tblStyle w:val="13"/>
        <w:tblW w:w="8242" w:type="dxa"/>
        <w:jc w:val="center"/>
        <w:tblLayout w:type="fixed"/>
        <w:tblCellMar>
          <w:top w:w="0" w:type="dxa"/>
          <w:left w:w="108" w:type="dxa"/>
          <w:bottom w:w="0" w:type="dxa"/>
          <w:right w:w="108" w:type="dxa"/>
        </w:tblCellMar>
      </w:tblPr>
      <w:tblGrid>
        <w:gridCol w:w="590"/>
        <w:gridCol w:w="1202"/>
        <w:gridCol w:w="1373"/>
        <w:gridCol w:w="1319"/>
        <w:gridCol w:w="1330"/>
        <w:gridCol w:w="1276"/>
        <w:gridCol w:w="1152"/>
      </w:tblGrid>
      <w:tr>
        <w:trPr>
          <w:jc w:val="center"/>
        </w:trPr>
        <w:tc>
          <w:tcPr>
            <w:tcW w:w="1792" w:type="dxa"/>
            <w:gridSpan w:val="2"/>
            <w:tcBorders>
              <w:top w:val="single" w:color="auto" w:sz="4" w:space="0"/>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职业</w:t>
            </w:r>
          </w:p>
        </w:tc>
        <w:tc>
          <w:tcPr>
            <w:tcW w:w="1373" w:type="dxa"/>
            <w:tcBorders>
              <w:top w:val="single" w:color="auto" w:sz="4" w:space="0"/>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eastAsia" w:ascii="宋体" w:hAnsi="宋体" w:eastAsia="宋体" w:cs="Times New Roman"/>
                <w:kern w:val="2"/>
                <w:sz w:val="15"/>
                <w:szCs w:val="15"/>
                <w:lang w:eastAsia="zh-CN" w:bidi="ar-SA"/>
              </w:rPr>
              <w:t>IT管理/项目协调</w:t>
            </w:r>
          </w:p>
        </w:tc>
        <w:tc>
          <w:tcPr>
            <w:tcW w:w="1319" w:type="dxa"/>
            <w:tcBorders>
              <w:top w:val="single" w:color="auto" w:sz="4" w:space="0"/>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软件/互联网开发/系统集成</w:t>
            </w:r>
          </w:p>
        </w:tc>
        <w:tc>
          <w:tcPr>
            <w:tcW w:w="1330" w:type="dxa"/>
            <w:tcBorders>
              <w:top w:val="single" w:color="auto" w:sz="4" w:space="0"/>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IT质量管理/测试/配置管理</w:t>
            </w:r>
          </w:p>
        </w:tc>
        <w:tc>
          <w:tcPr>
            <w:tcW w:w="1276" w:type="dxa"/>
            <w:tcBorders>
              <w:top w:val="single" w:color="auto" w:sz="4" w:space="0"/>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互联网产品/运营管理</w:t>
            </w:r>
          </w:p>
        </w:tc>
        <w:tc>
          <w:tcPr>
            <w:tcW w:w="1152" w:type="dxa"/>
            <w:tcBorders>
              <w:top w:val="single" w:color="auto" w:sz="4" w:space="0"/>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IT运维/技术支持</w:t>
            </w:r>
          </w:p>
        </w:tc>
      </w:tr>
      <w:tr>
        <w:trPr>
          <w:jc w:val="center"/>
        </w:trPr>
        <w:tc>
          <w:tcPr>
            <w:tcW w:w="590" w:type="dxa"/>
            <w:vMerge w:val="restart"/>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2020</w:t>
            </w: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月平均薪酬/元</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22384</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12946</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9897</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9939</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8897</w:t>
            </w:r>
          </w:p>
        </w:tc>
      </w:tr>
      <w:tr>
        <w:trPr>
          <w:jc w:val="center"/>
        </w:trPr>
        <w:tc>
          <w:tcPr>
            <w:tcW w:w="590" w:type="dxa"/>
            <w:vMerge w:val="continue"/>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排名</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6</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19</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22</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eastAsia"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25</w:t>
            </w:r>
          </w:p>
        </w:tc>
      </w:tr>
      <w:tr>
        <w:trPr>
          <w:jc w:val="center"/>
        </w:trPr>
        <w:tc>
          <w:tcPr>
            <w:tcW w:w="590" w:type="dxa"/>
            <w:vMerge w:val="restart"/>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2019</w:t>
            </w: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月平均薪酬/元</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16808</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11622</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9512</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8085</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7943</w:t>
            </w:r>
          </w:p>
        </w:tc>
      </w:tr>
      <w:tr>
        <w:trPr>
          <w:jc w:val="center"/>
        </w:trPr>
        <w:tc>
          <w:tcPr>
            <w:tcW w:w="590" w:type="dxa"/>
            <w:vMerge w:val="continue"/>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排名</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5</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15</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25</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26</w:t>
            </w:r>
          </w:p>
        </w:tc>
      </w:tr>
      <w:tr>
        <w:trPr>
          <w:jc w:val="center"/>
        </w:trPr>
        <w:tc>
          <w:tcPr>
            <w:tcW w:w="590" w:type="dxa"/>
            <w:vMerge w:val="restart"/>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2018</w:t>
            </w: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月平均薪酬/元</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14515</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10188</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r>
      <w:tr>
        <w:trPr>
          <w:jc w:val="center"/>
        </w:trPr>
        <w:tc>
          <w:tcPr>
            <w:tcW w:w="590" w:type="dxa"/>
            <w:vMerge w:val="continue"/>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排名</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7</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r>
      <w:tr>
        <w:trPr>
          <w:jc w:val="center"/>
        </w:trPr>
        <w:tc>
          <w:tcPr>
            <w:tcW w:w="590" w:type="dxa"/>
            <w:vMerge w:val="restart"/>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2017</w:t>
            </w: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月平均薪酬/元</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14127</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9828</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r>
      <w:tr>
        <w:trPr>
          <w:jc w:val="center"/>
        </w:trPr>
        <w:tc>
          <w:tcPr>
            <w:tcW w:w="590" w:type="dxa"/>
            <w:vMerge w:val="continue"/>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排名</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6</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r>
      <w:tr>
        <w:trPr>
          <w:jc w:val="center"/>
        </w:trPr>
        <w:tc>
          <w:tcPr>
            <w:tcW w:w="590" w:type="dxa"/>
            <w:vMerge w:val="restart"/>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2016</w:t>
            </w:r>
          </w:p>
        </w:tc>
        <w:tc>
          <w:tcPr>
            <w:tcW w:w="120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月平均薪酬/元</w:t>
            </w:r>
          </w:p>
        </w:tc>
        <w:tc>
          <w:tcPr>
            <w:tcW w:w="1373"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13320</w:t>
            </w:r>
          </w:p>
        </w:tc>
        <w:tc>
          <w:tcPr>
            <w:tcW w:w="1319"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9553</w:t>
            </w:r>
          </w:p>
        </w:tc>
        <w:tc>
          <w:tcPr>
            <w:tcW w:w="1330"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276"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152" w:type="dxa"/>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r>
      <w:tr>
        <w:trPr>
          <w:jc w:val="center"/>
        </w:trPr>
        <w:tc>
          <w:tcPr>
            <w:tcW w:w="590" w:type="dxa"/>
            <w:vMerge w:val="continue"/>
            <w:tcBorders>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p>
        </w:tc>
        <w:tc>
          <w:tcPr>
            <w:tcW w:w="1202" w:type="dxa"/>
            <w:tcBorders>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排名</w:t>
            </w:r>
          </w:p>
        </w:tc>
        <w:tc>
          <w:tcPr>
            <w:tcW w:w="1373" w:type="dxa"/>
            <w:tcBorders>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2</w:t>
            </w:r>
          </w:p>
        </w:tc>
        <w:tc>
          <w:tcPr>
            <w:tcW w:w="1319" w:type="dxa"/>
            <w:tcBorders>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eastAsia="zh-CN" w:bidi="ar-SA"/>
              </w:rPr>
            </w:pPr>
            <w:r>
              <w:rPr>
                <w:rFonts w:hint="default" w:ascii="宋体" w:hAnsi="宋体" w:eastAsia="宋体" w:cs="Times New Roman"/>
                <w:kern w:val="2"/>
                <w:sz w:val="15"/>
                <w:szCs w:val="15"/>
                <w:lang w:eastAsia="zh-CN" w:bidi="ar-SA"/>
              </w:rPr>
              <w:t>4</w:t>
            </w:r>
          </w:p>
        </w:tc>
        <w:tc>
          <w:tcPr>
            <w:tcW w:w="1330" w:type="dxa"/>
            <w:tcBorders>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276" w:type="dxa"/>
            <w:tcBorders>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c>
          <w:tcPr>
            <w:tcW w:w="1152" w:type="dxa"/>
            <w:tcBorders>
              <w:bottom w:val="single" w:color="auto" w:sz="4" w:space="0"/>
            </w:tcBorders>
            <w:noWrap w:val="0"/>
            <w:vAlign w:val="center"/>
          </w:tcPr>
          <w:p>
            <w:pPr>
              <w:keepNext w:val="0"/>
              <w:keepLines w:val="0"/>
              <w:pageBreakBefore w:val="0"/>
              <w:widowControl w:val="0"/>
              <w:kinsoku/>
              <w:wordWrap/>
              <w:overflowPunct w:val="0"/>
              <w:topLinePunct w:val="0"/>
              <w:autoSpaceDE/>
              <w:autoSpaceDN/>
              <w:bidi w:val="0"/>
              <w:adjustRightInd w:val="0"/>
              <w:snapToGrid w:val="0"/>
              <w:spacing w:after="60" w:line="240" w:lineRule="auto"/>
              <w:ind w:left="0" w:leftChars="0" w:right="0" w:rightChars="0" w:firstLine="0" w:firstLineChars="0"/>
              <w:jc w:val="center"/>
              <w:textAlignment w:val="auto"/>
              <w:outlineLvl w:val="9"/>
              <w:rPr>
                <w:rFonts w:hint="default" w:ascii="宋体" w:hAnsi="宋体" w:eastAsia="宋体" w:cs="Times New Roman"/>
                <w:kern w:val="2"/>
                <w:sz w:val="15"/>
                <w:szCs w:val="15"/>
                <w:lang w:val="en-US" w:eastAsia="zh-CN" w:bidi="ar-SA"/>
              </w:rPr>
            </w:pPr>
            <w:r>
              <w:rPr>
                <w:rFonts w:hint="default" w:ascii="宋体" w:hAnsi="宋体" w:eastAsia="宋体" w:cs="Times New Roman"/>
                <w:kern w:val="2"/>
                <w:sz w:val="15"/>
                <w:szCs w:val="15"/>
                <w:lang w:eastAsia="zh-CN" w:bidi="ar-SA"/>
              </w:rPr>
              <w:t>-</w:t>
            </w:r>
          </w:p>
        </w:tc>
      </w:tr>
    </w:tbl>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eastAsia="宋体"/>
          <w:sz w:val="18"/>
          <w:szCs w:val="18"/>
        </w:rPr>
      </w:pPr>
      <w:r>
        <w:rPr>
          <w:rFonts w:hint="default" w:ascii="宋体" w:hAnsi="宋体" w:eastAsia="宋体"/>
          <w:sz w:val="18"/>
          <w:szCs w:val="18"/>
        </w:rPr>
        <w:t>表1中缺失数据是由于2018年以前（含2018年）只公布了职业薪酬榜前十名的相关数据，故这些年份的测试、产品、运维的薪酬数据不得而知。</w:t>
      </w:r>
    </w:p>
    <w:p>
      <w:pPr>
        <w:pStyle w:val="15"/>
        <w:numPr>
          <w:ilvl w:val="1"/>
          <w:numId w:val="1"/>
        </w:numPr>
        <w:ind w:left="119" w:hanging="119"/>
        <w:rPr>
          <w:rFonts w:hint="default" w:ascii="宋体" w:hAnsi="宋体" w:eastAsia="宋体"/>
          <w:sz w:val="18"/>
          <w:szCs w:val="18"/>
        </w:rPr>
      </w:pPr>
      <w:r>
        <w:rPr>
          <w:rFonts w:hint="default" w:ascii="黑体" w:hAnsi="黑体" w:eastAsia="黑体"/>
          <w:sz w:val="18"/>
          <w:szCs w:val="18"/>
        </w:rPr>
        <w:t>IT行业薪酬数据分析</w:t>
      </w:r>
    </w:p>
    <w:p>
      <w:pPr>
        <w:pStyle w:val="15"/>
        <w:numPr>
          <w:ilvl w:val="2"/>
          <w:numId w:val="1"/>
        </w:numPr>
        <w:ind w:firstLineChars="0"/>
        <w:rPr>
          <w:rFonts w:ascii="楷体" w:hAnsi="楷体" w:eastAsia="楷体"/>
          <w:color w:val="FF0000"/>
          <w:sz w:val="18"/>
          <w:szCs w:val="18"/>
        </w:rPr>
      </w:pPr>
      <w:r>
        <w:rPr>
          <w:rFonts w:hint="default" w:ascii="楷体" w:hAnsi="楷体" w:eastAsia="楷体"/>
          <w:sz w:val="18"/>
          <w:szCs w:val="18"/>
        </w:rPr>
        <w:t>IT行业薪酬横向对比分析</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360" w:firstLineChars="200"/>
        <w:jc w:val="left"/>
        <w:textAlignment w:val="auto"/>
        <w:outlineLvl w:val="9"/>
        <w:rPr>
          <w:rFonts w:hint="default" w:ascii="宋体" w:hAnsi="宋体" w:eastAsia="宋体"/>
          <w:sz w:val="18"/>
          <w:szCs w:val="18"/>
        </w:rPr>
      </w:pPr>
      <w:r>
        <w:rPr>
          <w:rFonts w:hint="default" w:ascii="宋体" w:hAnsi="宋体" w:eastAsia="宋体"/>
          <w:sz w:val="18"/>
          <w:szCs w:val="18"/>
        </w:rPr>
        <w:t>从表1中可发现5年内管理和开发始终位居前十，测试、产品、运营则在10名以外。IT管理稳居前2，在IT行业内各项职业中排名第一。IT开发紧随其后，在4-7名之间波动。2019及2020年数据显示，测试、产品、运营均位居15名及以后，最低位次为26名。在55种职业中，这5种职业均位居前50%。</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通过横向数据对比可知，IT行业内各个职业的平均薪酬均居于中等及以上，高于半数职业的平均薪酬。IT管理/项目协调，软件/互联网开发/系统集成不仅在IT行业内薪水领先，也是所有职业中的高薪职业。IT质量管理/测试/配置管理，互联网产品/运营管理，IT运维/技术支持在IT行业内薪水普通，但在所有职业中仍居于中等偏上的位置。</w:t>
      </w:r>
    </w:p>
    <w:p>
      <w:pPr>
        <w:pStyle w:val="15"/>
        <w:numPr>
          <w:ilvl w:val="2"/>
          <w:numId w:val="1"/>
        </w:numPr>
        <w:ind w:firstLineChars="0"/>
        <w:rPr>
          <w:rFonts w:ascii="楷体" w:hAnsi="楷体" w:eastAsia="楷体"/>
          <w:color w:val="FF0000"/>
          <w:sz w:val="18"/>
          <w:szCs w:val="18"/>
        </w:rPr>
      </w:pPr>
      <w:r>
        <w:rPr>
          <w:rFonts w:hint="default" w:ascii="楷体" w:hAnsi="楷体" w:eastAsia="楷体"/>
          <w:sz w:val="18"/>
          <w:szCs w:val="18"/>
        </w:rPr>
        <w:t>IT行业薪酬纵向对比分析</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从表1中可发现收集到数据中，IT行业内各职业薪水稳步上升。五年内，管理平均月薪上涨9064元，涨至原工资的168.0%；开发的平均月薪上涨3393元，涨至原工资的135.5%。管理、产品、运维排名略有上升；开发、测试的排名则略有下降。</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IT行业内各职业薪水的稳步上升，有赖于国内经济蓬勃发展，但也和IT行业近年的迅猛扩张不无关系。其中管理月薪上升幅度最大，由此可见IT业内管理人才的地位相当高。</w:t>
      </w:r>
    </w:p>
    <w:p>
      <w:pPr>
        <w:pStyle w:val="6"/>
        <w:spacing w:after="0" w:line="400" w:lineRule="exact"/>
        <w:ind w:firstLine="357"/>
        <w:rPr>
          <w:rFonts w:hint="default" w:ascii="宋体" w:hAnsi="宋体" w:eastAsia="宋体"/>
          <w:sz w:val="18"/>
          <w:szCs w:val="18"/>
        </w:rPr>
      </w:pPr>
    </w:p>
    <w:p>
      <w:pPr>
        <w:pStyle w:val="5"/>
        <w:numPr>
          <w:ilvl w:val="0"/>
          <w:numId w:val="1"/>
        </w:numPr>
      </w:pPr>
      <w:r>
        <w:rPr>
          <w:rFonts w:hint="default" w:ascii="黑体" w:hAnsi="黑体" w:eastAsia="黑体"/>
          <w:szCs w:val="21"/>
        </w:rPr>
        <w:t>IT行业薪酬变化原因</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IT行业内各职业薪酬持续、稳步上涨。在2020年疫情爆发，各个行业处于经济严冬之时，IT行业依旧保持活力。文中将原因归结至以下几方面。</w:t>
      </w:r>
    </w:p>
    <w:p>
      <w:pPr>
        <w:pStyle w:val="15"/>
        <w:numPr>
          <w:ilvl w:val="1"/>
          <w:numId w:val="1"/>
        </w:numPr>
        <w:ind w:left="119" w:hanging="119"/>
        <w:rPr>
          <w:rFonts w:ascii="黑体" w:hAnsi="黑体" w:eastAsia="黑体"/>
          <w:sz w:val="18"/>
          <w:szCs w:val="18"/>
        </w:rPr>
      </w:pPr>
      <w:r>
        <w:rPr>
          <w:rFonts w:ascii="黑体" w:hAnsi="黑体" w:eastAsia="黑体"/>
          <w:sz w:val="18"/>
          <w:szCs w:val="18"/>
        </w:rPr>
        <w:t>前沿技术迅猛发展</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我国企业、高校不断加速IT业前沿技术的发展，IPv6、5G通信、人工智能、大数据、区块链等领域不断取得重大突破。这些高兴技术推动我国数字经济高速发展。而新的技术仍在不断被提出。</w:t>
      </w:r>
    </w:p>
    <w:p>
      <w:pPr>
        <w:pStyle w:val="15"/>
        <w:numPr>
          <w:ilvl w:val="1"/>
          <w:numId w:val="1"/>
        </w:numPr>
        <w:ind w:left="119" w:hanging="119"/>
        <w:rPr>
          <w:rFonts w:ascii="黑体" w:hAnsi="黑体" w:eastAsia="黑体"/>
          <w:sz w:val="18"/>
          <w:szCs w:val="18"/>
        </w:rPr>
      </w:pPr>
      <w:r>
        <w:rPr>
          <w:rFonts w:ascii="黑体" w:hAnsi="黑体" w:eastAsia="黑体"/>
          <w:sz w:val="18"/>
          <w:szCs w:val="18"/>
        </w:rPr>
        <w:t>消费娱乐数字化</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截止2020年12月，我国网络支付用户已达8.54亿，占网民整体的86.4。我国货币数字化进程居于全球领先地位，互联网为每一位用户享受数字化生活便利提供了有力支持。此外，网络购物也迅速发展，衍生出了网络直播等。</w:t>
      </w:r>
    </w:p>
    <w:p>
      <w:pPr>
        <w:pStyle w:val="15"/>
        <w:numPr>
          <w:ilvl w:val="1"/>
          <w:numId w:val="1"/>
        </w:numPr>
        <w:ind w:left="119" w:hanging="119"/>
        <w:rPr>
          <w:rFonts w:ascii="黑体" w:hAnsi="黑体" w:eastAsia="黑体"/>
          <w:sz w:val="18"/>
          <w:szCs w:val="18"/>
        </w:rPr>
      </w:pPr>
      <w:r>
        <w:rPr>
          <w:rFonts w:hint="default" w:ascii="黑体" w:hAnsi="黑体" w:eastAsia="黑体"/>
          <w:sz w:val="18"/>
          <w:szCs w:val="18"/>
        </w:rPr>
        <w:t>疫情时期线上生活</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2020年初，新冠疫情爆发，处于隔离中的群众大多选择借助互联网的力量继续学习、工作等。由此，在线办公、在线教育、在线医疗等数字化服务保障社会生活正常运行。截止2020年12月，我国在线教育用户规模已达3.42亿，占网民整体的34.6%。如今疫情已得到有效控制，IT业以大数据生成“健康码”等方式在促进经济复苏方面继续发光发热。</w:t>
      </w:r>
    </w:p>
    <w:p>
      <w:pPr>
        <w:pStyle w:val="17"/>
        <w:spacing w:line="240" w:lineRule="auto"/>
        <w:ind w:left="0" w:firstLine="0" w:firstLineChars="0"/>
        <w:rPr>
          <w:rFonts w:hint="eastAsia" w:ascii="黑体" w:hAnsi="宋体" w:eastAsia="黑体"/>
          <w:b/>
          <w:kern w:val="2"/>
          <w:sz w:val="18"/>
          <w:szCs w:val="18"/>
        </w:rPr>
      </w:pPr>
    </w:p>
    <w:p>
      <w:pPr>
        <w:pStyle w:val="5"/>
        <w:numPr>
          <w:ilvl w:val="0"/>
          <w:numId w:val="1"/>
        </w:numPr>
      </w:pPr>
      <w:r>
        <w:rPr>
          <w:rFonts w:hint="default" w:ascii="黑体" w:hAnsi="黑体" w:eastAsia="黑体"/>
          <w:szCs w:val="21"/>
        </w:rPr>
        <w:t>结论</w:t>
      </w:r>
    </w:p>
    <w:p>
      <w:pPr>
        <w:pStyle w:val="6"/>
        <w:spacing w:after="0" w:line="400" w:lineRule="exact"/>
        <w:ind w:firstLine="357"/>
        <w:rPr>
          <w:rFonts w:hint="default" w:ascii="宋体" w:hAnsi="宋体" w:eastAsia="宋体"/>
          <w:sz w:val="18"/>
          <w:szCs w:val="18"/>
        </w:rPr>
      </w:pPr>
      <w:r>
        <w:rPr>
          <w:rFonts w:hint="default" w:ascii="宋体" w:hAnsi="宋体" w:eastAsia="宋体"/>
          <w:sz w:val="18"/>
          <w:szCs w:val="18"/>
        </w:rPr>
        <w:t>文中搜集了近五年内IT行业内各职业的月平均薪酬及其对应排名，对数据进行了整合。通过横向对比不同职业排名高低；纵向对比各个职业薪水和排名的走向，最终得出IT行业薪水数据分析的结论：IT行业内各职业薪水的稳步上升，其中各个职业的平均薪酬在所有职业中均居于中等及以上。</w:t>
      </w:r>
    </w:p>
    <w:p>
      <w:pPr>
        <w:pStyle w:val="6"/>
        <w:spacing w:after="0" w:line="400" w:lineRule="exact"/>
        <w:ind w:firstLine="357"/>
        <w:rPr>
          <w:sz w:val="18"/>
          <w:szCs w:val="18"/>
        </w:rPr>
      </w:pPr>
      <w:r>
        <w:rPr>
          <w:rFonts w:hint="default" w:ascii="宋体" w:hAnsi="宋体" w:eastAsia="宋体"/>
          <w:sz w:val="18"/>
          <w:szCs w:val="18"/>
        </w:rPr>
        <w:t>本文中因智联招聘公布数据量原因搜集到的数据数量有限，年份跨度可能不够大，但对反映近几年IT行业薪水变化仍有足够说服力。值得注意的是，文中指出IT行业内部各职业薪水存在差异，其背后原因仍待进一步探讨。</w:t>
      </w:r>
    </w:p>
    <w:p>
      <w:pPr>
        <w:pStyle w:val="17"/>
        <w:spacing w:line="240" w:lineRule="auto"/>
        <w:ind w:left="0" w:firstLine="0" w:firstLineChars="0"/>
        <w:rPr>
          <w:b/>
          <w:color w:val="FF0000"/>
          <w:sz w:val="18"/>
          <w:szCs w:val="18"/>
        </w:rPr>
      </w:pPr>
    </w:p>
    <w:p>
      <w:pPr>
        <w:pStyle w:val="17"/>
        <w:ind w:left="333" w:leftChars="34" w:firstLineChars="0"/>
        <w:jc w:val="left"/>
        <w:rPr>
          <w:rFonts w:hAnsi="宋体"/>
          <w:b/>
          <w:sz w:val="18"/>
          <w:szCs w:val="18"/>
        </w:rPr>
      </w:pPr>
      <w:r>
        <w:rPr>
          <w:rFonts w:hint="eastAsia" w:hAnsi="宋体"/>
          <w:b/>
          <w:sz w:val="18"/>
          <w:szCs w:val="18"/>
        </w:rPr>
        <w:t>参考文献</w:t>
      </w:r>
    </w:p>
    <w:p>
      <w:pPr>
        <w:pStyle w:val="17"/>
        <w:ind w:left="333" w:leftChars="34" w:firstLineChars="0"/>
        <w:jc w:val="left"/>
        <w:rPr>
          <w:rFonts w:hAnsi="宋体"/>
          <w:b/>
          <w:sz w:val="18"/>
          <w:szCs w:val="18"/>
        </w:rPr>
      </w:pPr>
    </w:p>
    <w:p>
      <w:pPr>
        <w:jc w:val="both"/>
        <w:rPr>
          <w:rFonts w:hint="eastAsia" w:ascii="Times New Roman" w:hAnsi="Times New Roman" w:eastAsia="宋体"/>
          <w:color w:val="FF0000"/>
          <w:sz w:val="18"/>
          <w:szCs w:val="18"/>
          <w:bdr w:val="single" w:color="auto" w:sz="4" w:space="0"/>
        </w:rPr>
      </w:pPr>
      <w:r>
        <w:rPr>
          <w:rFonts w:hint="eastAsia" w:ascii="Times New Roman" w:hAnsi="Times New Roman" w:eastAsia="宋体"/>
          <w:sz w:val="18"/>
          <w:szCs w:val="18"/>
        </w:rPr>
        <w:t>[</w:t>
      </w:r>
      <w:r>
        <w:rPr>
          <w:rFonts w:hint="default" w:ascii="Times New Roman" w:hAnsi="Times New Roman" w:eastAsia="宋体"/>
          <w:sz w:val="18"/>
          <w:szCs w:val="18"/>
        </w:rPr>
        <w:t>1</w:t>
      </w:r>
      <w:r>
        <w:rPr>
          <w:rFonts w:hint="eastAsia" w:ascii="Times New Roman" w:hAnsi="Times New Roman" w:eastAsia="宋体"/>
          <w:sz w:val="18"/>
          <w:szCs w:val="18"/>
        </w:rPr>
        <w:t xml:space="preserve">] </w:t>
      </w:r>
      <w:r>
        <w:rPr>
          <w:rFonts w:ascii="Times New Roman" w:hAnsi="Times New Roman" w:eastAsia="宋体"/>
          <w:sz w:val="18"/>
          <w:szCs w:val="18"/>
        </w:rPr>
        <w:t>朱英.</w:t>
      </w:r>
      <w:r>
        <w:rPr>
          <w:rFonts w:hint="default" w:ascii="Times New Roman" w:hAnsi="Times New Roman" w:eastAsia="宋体"/>
          <w:sz w:val="18"/>
          <w:szCs w:val="18"/>
        </w:rPr>
        <w:t>CNNIC发布第47次《中国互联网络发展状况统计报告》</w:t>
      </w:r>
      <w:r>
        <w:rPr>
          <w:rFonts w:ascii="Times New Roman" w:hAnsi="Times New Roman" w:eastAsia="宋体"/>
          <w:sz w:val="18"/>
          <w:szCs w:val="18"/>
        </w:rPr>
        <w:t>[EB/OL].(2021-02-03) [2021-04-07].</w:t>
      </w:r>
      <w:r>
        <w:rPr>
          <w:rFonts w:hint="eastAsia" w:ascii="Times New Roman" w:hAnsi="Times New Roman" w:eastAsia="宋体"/>
          <w:sz w:val="18"/>
          <w:szCs w:val="18"/>
        </w:rPr>
        <w:t xml:space="preserve">http://www.gov.cn/xinwen/2021-02/03/content_5584518.htm. </w:t>
      </w:r>
    </w:p>
    <w:p>
      <w:pPr>
        <w:jc w:val="both"/>
        <w:rPr>
          <w:rFonts w:hint="eastAsia" w:ascii="Times New Roman" w:hAnsi="Times New Roman" w:eastAsia="宋体"/>
          <w:sz w:val="18"/>
          <w:szCs w:val="18"/>
        </w:rPr>
      </w:pPr>
      <w:r>
        <w:rPr>
          <w:rFonts w:hint="default" w:ascii="Times New Roman" w:hAnsi="Times New Roman" w:eastAsia="宋体"/>
          <w:sz w:val="18"/>
          <w:szCs w:val="18"/>
        </w:rPr>
        <w:t xml:space="preserve">[2] </w:t>
      </w:r>
      <w:r>
        <w:rPr>
          <w:rFonts w:hint="eastAsia" w:ascii="Times New Roman" w:hAnsi="Times New Roman" w:eastAsia="宋体"/>
          <w:sz w:val="18"/>
          <w:szCs w:val="18"/>
          <w:lang w:val="en-US" w:eastAsia="zh-CN"/>
        </w:rPr>
        <w:t>尹悦</w:t>
      </w:r>
      <w:r>
        <w:rPr>
          <w:rFonts w:hint="default" w:ascii="Times New Roman" w:hAnsi="Times New Roman" w:eastAsia="宋体"/>
          <w:sz w:val="18"/>
          <w:szCs w:val="18"/>
          <w:lang w:eastAsia="zh-CN"/>
        </w:rPr>
        <w:t>.</w:t>
      </w:r>
      <w:r>
        <w:rPr>
          <w:rFonts w:hint="default" w:ascii="Times New Roman" w:hAnsi="Times New Roman" w:eastAsia="宋体"/>
          <w:sz w:val="18"/>
          <w:szCs w:val="18"/>
        </w:rPr>
        <w:t>华为年薪两百万“天才少年”：希望所学所用助华为渡过难关[EB/OL].(2020-08-05) [2021-04-07].https://finance.sina.com.cn/chanjing/gsnews/2020-08-05/doc-iivhvpwx9246570.shtml.</w:t>
      </w:r>
    </w:p>
    <w:p>
      <w:pPr>
        <w:jc w:val="both"/>
        <w:rPr>
          <w:rFonts w:hint="default" w:ascii="Times New Roman" w:hAnsi="Times New Roman" w:eastAsia="宋体"/>
          <w:sz w:val="18"/>
          <w:szCs w:val="18"/>
        </w:rPr>
      </w:pPr>
      <w:r>
        <w:rPr>
          <w:rFonts w:hint="default" w:ascii="Times New Roman" w:hAnsi="Times New Roman" w:eastAsia="宋体"/>
          <w:sz w:val="18"/>
          <w:szCs w:val="18"/>
        </w:rPr>
        <w:t>[3] 消费热点.</w:t>
      </w:r>
      <w:r>
        <w:rPr>
          <w:rFonts w:hint="eastAsia" w:ascii="Times New Roman" w:hAnsi="Times New Roman" w:eastAsia="宋体"/>
          <w:sz w:val="18"/>
          <w:szCs w:val="18"/>
        </w:rPr>
        <w:t>智联招聘发布《2020年冬季中国雇主需求与白领人才供给报告》</w:t>
      </w:r>
      <w:r>
        <w:rPr>
          <w:rFonts w:hint="default" w:ascii="Times New Roman" w:hAnsi="Times New Roman" w:eastAsia="宋体"/>
          <w:sz w:val="18"/>
          <w:szCs w:val="18"/>
        </w:rPr>
        <w:t>[EB/OL].(2020-12-28) [2021-04-07].https://www.sohu.com/a/440942517_413600.</w:t>
      </w:r>
    </w:p>
    <w:p>
      <w:pPr>
        <w:jc w:val="both"/>
        <w:rPr>
          <w:rFonts w:hint="eastAsia" w:ascii="Times New Roman" w:hAnsi="Times New Roman" w:eastAsia="宋体"/>
          <w:sz w:val="18"/>
          <w:szCs w:val="18"/>
        </w:rPr>
      </w:pPr>
      <w:r>
        <w:rPr>
          <w:rFonts w:hint="default" w:ascii="Times New Roman" w:hAnsi="Times New Roman" w:eastAsia="宋体"/>
          <w:sz w:val="18"/>
          <w:szCs w:val="18"/>
        </w:rPr>
        <w:t xml:space="preserve">[4] </w:t>
      </w:r>
      <w:r>
        <w:rPr>
          <w:rFonts w:hint="eastAsia" w:ascii="Times New Roman" w:hAnsi="Times New Roman" w:eastAsia="宋体"/>
          <w:sz w:val="18"/>
          <w:szCs w:val="18"/>
          <w:lang w:val="en-US" w:eastAsia="zh-CN"/>
        </w:rPr>
        <w:t>第一资源</w:t>
      </w:r>
      <w:r>
        <w:rPr>
          <w:rFonts w:hint="default" w:ascii="Times New Roman" w:hAnsi="Times New Roman" w:eastAsia="宋体"/>
          <w:sz w:val="18"/>
          <w:szCs w:val="18"/>
        </w:rPr>
        <w:t>.</w:t>
      </w:r>
      <w:r>
        <w:rPr>
          <w:rFonts w:hint="eastAsia" w:ascii="Times New Roman" w:hAnsi="Times New Roman" w:eastAsia="宋体"/>
          <w:sz w:val="18"/>
          <w:szCs w:val="18"/>
          <w:lang w:val="en-US" w:eastAsia="zh-CN"/>
        </w:rPr>
        <w:t>智联招聘发布2019年春季中国雇主需求与白领人才供给报告</w:t>
      </w:r>
      <w:r>
        <w:rPr>
          <w:rFonts w:hint="default" w:ascii="Times New Roman" w:hAnsi="Times New Roman" w:eastAsia="宋体"/>
          <w:sz w:val="18"/>
          <w:szCs w:val="18"/>
        </w:rPr>
        <w:t>[EB/OL].(2019-04-18) [2021-04-07].http://www.tophr.net/news/index.asp?id=20935.</w:t>
      </w:r>
    </w:p>
    <w:p>
      <w:pPr>
        <w:jc w:val="both"/>
        <w:rPr>
          <w:rFonts w:hint="default" w:ascii="Times New Roman" w:hAnsi="Times New Roman" w:eastAsia="宋体"/>
          <w:sz w:val="18"/>
          <w:szCs w:val="18"/>
        </w:rPr>
      </w:pPr>
      <w:r>
        <w:rPr>
          <w:rFonts w:hint="default" w:ascii="Times New Roman" w:hAnsi="Times New Roman" w:eastAsia="宋体"/>
          <w:sz w:val="18"/>
          <w:szCs w:val="18"/>
          <w:lang w:eastAsia="zh-CN"/>
        </w:rPr>
        <w:t>[5] 看到苏州.</w:t>
      </w:r>
      <w:r>
        <w:rPr>
          <w:rFonts w:hint="eastAsia" w:ascii="Times New Roman" w:hAnsi="Times New Roman" w:eastAsia="宋体"/>
          <w:sz w:val="18"/>
          <w:szCs w:val="18"/>
          <w:lang w:val="en-US" w:eastAsia="zh-CN"/>
        </w:rPr>
        <w:t>2018年春季中国雇主需求与白领人才供给报告</w:t>
      </w:r>
      <w:r>
        <w:rPr>
          <w:rFonts w:hint="default" w:ascii="Times New Roman" w:hAnsi="Times New Roman" w:eastAsia="宋体"/>
          <w:sz w:val="18"/>
          <w:szCs w:val="18"/>
        </w:rPr>
        <w:t>[EB/OL].(2018-04-03) [2021-04-07].https://www.sohu.com/a/227136896_102681.</w:t>
      </w:r>
    </w:p>
    <w:p>
      <w:pPr>
        <w:jc w:val="both"/>
        <w:rPr>
          <w:rFonts w:hint="default" w:ascii="Times New Roman" w:hAnsi="Times New Roman" w:eastAsia="宋体"/>
          <w:sz w:val="18"/>
          <w:szCs w:val="18"/>
        </w:rPr>
      </w:pPr>
      <w:r>
        <w:rPr>
          <w:rFonts w:hint="default" w:ascii="Times New Roman" w:hAnsi="Times New Roman" w:eastAsia="宋体"/>
          <w:sz w:val="18"/>
          <w:szCs w:val="18"/>
          <w:lang w:eastAsia="zh-CN"/>
        </w:rPr>
        <w:t xml:space="preserve">[6] </w:t>
      </w:r>
      <w:r>
        <w:rPr>
          <w:rFonts w:hint="default" w:ascii="Times New Roman" w:hAnsi="Times New Roman" w:eastAsia="宋体"/>
          <w:sz w:val="18"/>
          <w:szCs w:val="18"/>
          <w:lang w:val="en-US" w:eastAsia="zh-CN"/>
        </w:rPr>
        <w:t>智联原创</w:t>
      </w:r>
      <w:r>
        <w:rPr>
          <w:rFonts w:hint="default" w:ascii="Times New Roman" w:hAnsi="Times New Roman" w:eastAsia="宋体"/>
          <w:sz w:val="18"/>
          <w:szCs w:val="18"/>
          <w:lang w:eastAsia="zh-CN"/>
        </w:rPr>
        <w:t>.</w:t>
      </w:r>
      <w:r>
        <w:rPr>
          <w:rFonts w:hint="default" w:ascii="Times New Roman" w:hAnsi="Times New Roman" w:eastAsia="宋体"/>
          <w:sz w:val="18"/>
          <w:szCs w:val="18"/>
          <w:lang w:val="en-US" w:eastAsia="zh-CN"/>
        </w:rPr>
        <w:t>2017年秋季中国雇主需求与白领人才供给报告</w:t>
      </w:r>
      <w:r>
        <w:rPr>
          <w:rFonts w:hint="default" w:ascii="Times New Roman" w:hAnsi="Times New Roman" w:eastAsia="宋体"/>
          <w:sz w:val="18"/>
          <w:szCs w:val="18"/>
        </w:rPr>
        <w:t>[EB/OL].(2017-11-30) [2021-04-07].http://article.zhaopin.com/marketing/pub/view/detail-100149.html.</w:t>
      </w:r>
    </w:p>
    <w:p>
      <w:pPr>
        <w:jc w:val="both"/>
        <w:rPr>
          <w:rFonts w:hint="default" w:ascii="Times New Roman" w:hAnsi="Times New Roman" w:eastAsia="宋体"/>
          <w:sz w:val="18"/>
          <w:szCs w:val="18"/>
          <w:lang w:eastAsia="zh-CN"/>
        </w:rPr>
      </w:pPr>
      <w:r>
        <w:rPr>
          <w:rFonts w:hint="default" w:ascii="Times New Roman" w:hAnsi="Times New Roman" w:eastAsia="宋体"/>
          <w:sz w:val="18"/>
          <w:szCs w:val="18"/>
          <w:lang w:eastAsia="zh-CN"/>
        </w:rPr>
        <w:t>[7] 爱运营.</w:t>
      </w:r>
      <w:r>
        <w:rPr>
          <w:rFonts w:hint="default" w:ascii="Times New Roman" w:hAnsi="Times New Roman" w:eastAsia="宋体"/>
          <w:sz w:val="18"/>
          <w:szCs w:val="18"/>
        </w:rPr>
        <w:t>智联招聘：2016年春季中国雇主需求与白领人才供给报告[EB/OL].(2016-04-29) [2021-04-07].</w:t>
      </w:r>
      <w:r>
        <w:rPr>
          <w:rFonts w:hint="default" w:ascii="Times New Roman" w:hAnsi="Times New Roman" w:eastAsia="宋体"/>
          <w:sz w:val="18"/>
          <w:szCs w:val="18"/>
          <w:lang w:eastAsia="zh-CN"/>
        </w:rPr>
        <w:t>https://www.iyunying.org/news/57061.html.</w:t>
      </w:r>
    </w:p>
    <w:p>
      <w:pPr>
        <w:rPr>
          <w:rFonts w:ascii="宋体" w:hAnsi="宋体" w:eastAsia="宋体"/>
          <w:b/>
          <w:color w:val="FF0000"/>
          <w:sz w:val="21"/>
          <w:szCs w:val="21"/>
        </w:rPr>
      </w:pPr>
    </w:p>
    <w:sectPr>
      <w:headerReference r:id="rId5" w:type="first"/>
      <w:footerReference r:id="rId7" w:type="first"/>
      <w:headerReference r:id="rId3" w:type="default"/>
      <w:footerReference r:id="rId6" w:type="default"/>
      <w:headerReference r:id="rId4" w:type="even"/>
      <w:type w:val="continuous"/>
      <w:pgSz w:w="11906" w:h="16838"/>
      <w:pgMar w:top="1440" w:right="1800" w:bottom="1440" w:left="1800" w:header="708" w:footer="708" w:gutter="0"/>
      <w:cols w:space="720"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00"/>
    <w:family w:val="swiss"/>
    <w:pitch w:val="default"/>
    <w:sig w:usb0="80000287" w:usb1="280F3C52" w:usb2="00000016" w:usb3="00000000" w:csb0="0004001F" w:csb1="00000000"/>
  </w:font>
  <w:font w:name="仿宋">
    <w:altName w:val="方正仿宋_GBK"/>
    <w:panose1 w:val="02010609060101010101"/>
    <w:charset w:val="00"/>
    <w:family w:val="modern"/>
    <w:pitch w:val="default"/>
    <w:sig w:usb0="800002BF" w:usb1="38CF7CFA" w:usb2="00000016" w:usb3="00000000" w:csb0="00040001" w:csb1="00000000"/>
  </w:font>
  <w:font w:name="黑体">
    <w:panose1 w:val="02010600040101010101"/>
    <w:charset w:val="86"/>
    <w:family w:val="auto"/>
    <w:pitch w:val="default"/>
    <w:sig w:usb0="80000287" w:usb1="280F3C52" w:usb2="00000016" w:usb3="00000000" w:csb0="0004001F" w:csb1="00000000"/>
  </w:font>
  <w:font w:name="楷体">
    <w:altName w:val="汉仪楷体KW"/>
    <w:panose1 w:val="02010609060101010101"/>
    <w:charset w:val="00"/>
    <w:family w:val="modern"/>
    <w:pitch w:val="default"/>
    <w:sig w:usb0="800002BF" w:usb1="38CF7CFA" w:usb2="00000016" w:usb3="00000000" w:csb0="00040001"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zh-CN"/>
      </w:rPr>
      <w:t>[键入文字]</w:t>
    </w:r>
  </w:p>
  <w:p>
    <w:pPr>
      <w:pStyle w:val="8"/>
      <w:rPr>
        <w:rFonts w:ascii="Times New Roman" w:hAnsi="Times New Roman" w:eastAsia="仿宋"/>
        <w:sz w:val="15"/>
        <w:szCs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0"/>
      <w:rPr>
        <w:rFonts w:ascii="宋体" w:hAnsi="宋体" w:eastAsia="宋体"/>
        <w:sz w:val="15"/>
        <w:szCs w:val="15"/>
      </w:rPr>
    </w:pPr>
    <w:r>
      <w:rPr>
        <w:rFonts w:hint="eastAsia" w:ascii="宋体" w:hAnsi="宋体" w:eastAsia="宋体"/>
        <w:sz w:val="15"/>
        <w:szCs w:val="15"/>
      </w:rPr>
      <w:t xml:space="preserve">到稿日期：        返修日期：         </w:t>
    </w:r>
  </w:p>
  <w:p>
    <w:pPr>
      <w:pStyle w:val="8"/>
      <w:spacing w:after="0"/>
      <w:rPr>
        <w:rFonts w:ascii="宋体" w:hAnsi="宋体" w:eastAsia="宋体"/>
        <w:color w:val="FF0000"/>
        <w:sz w:val="15"/>
        <w:szCs w:val="15"/>
      </w:rPr>
    </w:pPr>
    <w:r>
      <w:rPr>
        <w:rFonts w:hint="eastAsia" w:ascii="宋体" w:hAnsi="宋体" w:eastAsia="宋体"/>
        <w:color w:val="FF0000"/>
        <w:sz w:val="15"/>
        <w:szCs w:val="15"/>
      </w:rPr>
      <w:t>基金项目：XX基金（基金号）；YY项目（项目号）</w:t>
    </w:r>
  </w:p>
  <w:p>
    <w:pPr>
      <w:pStyle w:val="8"/>
      <w:spacing w:after="0"/>
      <w:rPr>
        <w:rFonts w:ascii="宋体" w:hAnsi="宋体" w:eastAsia="宋体"/>
        <w:color w:val="FF0000"/>
        <w:sz w:val="15"/>
        <w:szCs w:val="15"/>
      </w:rPr>
    </w:pPr>
    <w:r>
      <w:rPr>
        <w:rFonts w:hint="eastAsia" w:ascii="宋体" w:hAnsi="宋体" w:eastAsia="宋体"/>
        <w:color w:val="FF0000"/>
        <w:sz w:val="15"/>
        <w:szCs w:val="15"/>
      </w:rPr>
      <w:t xml:space="preserve">This work was </w:t>
    </w:r>
    <w:r>
      <w:rPr>
        <w:rFonts w:ascii="宋体" w:hAnsi="宋体" w:eastAsia="宋体"/>
        <w:color w:val="FF0000"/>
        <w:sz w:val="15"/>
        <w:szCs w:val="15"/>
      </w:rPr>
      <w:t>supported by</w:t>
    </w:r>
    <w:r>
      <w:rPr>
        <w:rFonts w:hint="eastAsia" w:ascii="宋体" w:hAnsi="宋体" w:eastAsia="宋体"/>
        <w:color w:val="FF0000"/>
        <w:sz w:val="15"/>
        <w:szCs w:val="15"/>
      </w:rPr>
      <w:t xml:space="preserve"> XX (No.) and YY (No.).    </w:t>
    </w:r>
    <w:r>
      <w:rPr>
        <w:rFonts w:hint="eastAsia" w:ascii="宋体" w:hAnsi="宋体" w:eastAsia="宋体"/>
        <w:color w:val="FF0000"/>
        <w:sz w:val="15"/>
        <w:szCs w:val="15"/>
        <w:bdr w:val="single" w:color="auto" w:sz="4" w:space="0"/>
      </w:rPr>
      <w:t>基金项目名称、编号的英文翻译确保无误。</w:t>
    </w:r>
  </w:p>
  <w:p>
    <w:pPr>
      <w:pStyle w:val="8"/>
      <w:spacing w:after="0"/>
      <w:rPr>
        <w:rFonts w:ascii="宋体" w:hAnsi="宋体" w:eastAsia="宋体"/>
        <w:sz w:val="15"/>
        <w:szCs w:val="15"/>
      </w:rPr>
    </w:pPr>
    <w:r>
      <w:rPr>
        <w:rFonts w:hint="eastAsia" w:ascii="宋体" w:hAnsi="宋体" w:eastAsia="宋体"/>
        <w:color w:val="FF0000"/>
        <w:sz w:val="15"/>
        <w:szCs w:val="15"/>
      </w:rPr>
      <w:t xml:space="preserve">通信作者：姓名（E-mail）   </w:t>
    </w:r>
  </w:p>
  <w:p>
    <w:pPr>
      <w:pStyle w:val="8"/>
      <w:spacing w:after="0"/>
      <w:rPr>
        <w:rFonts w:ascii="宋体" w:hAnsi="宋体" w:eastAsia="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0"/>
      <w:jc w:val="left"/>
      <w:rPr>
        <w:rFonts w:ascii="宋体" w:hAnsi="宋体" w:eastAsia="宋体"/>
        <w:sz w:val="15"/>
        <w:szCs w:val="15"/>
      </w:rPr>
    </w:pPr>
    <w:r>
      <w:rPr>
        <w:rFonts w:hint="eastAsia" w:ascii="宋体" w:hAnsi="宋体" w:eastAsia="宋体"/>
        <w:sz w:val="15"/>
        <w:szCs w:val="15"/>
        <w:lang w:eastAsia="zh-CN"/>
      </w:rPr>
      <w:t>作者，等：题目名称</w:t>
    </w:r>
    <w:r>
      <w:rPr>
        <w:rFonts w:hint="eastAsia" w:ascii="宋体" w:hAnsi="宋体" w:eastAsia="宋体"/>
        <w:sz w:val="15"/>
        <w:szCs w:val="15"/>
      </w:rPr>
      <w:t xml:space="preserve">                                                                                </w:t>
    </w:r>
    <w:r>
      <w:rPr>
        <w:rFonts w:hint="eastAsia" w:ascii="宋体" w:hAnsi="宋体" w:eastAsia="宋体"/>
        <w:sz w:val="15"/>
        <w:szCs w:val="15"/>
        <w:lang w:eastAsia="zh-CN"/>
      </w:rPr>
      <w:t>（奇数）</w:t>
    </w:r>
    <w:r>
      <w:rPr>
        <w:rFonts w:hint="eastAsia" w:ascii="宋体" w:hAnsi="宋体" w:eastAsia="宋体"/>
        <w:sz w:val="15"/>
        <w:szCs w:val="15"/>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ascii="宋体" w:hAnsi="宋体" w:eastAsia="宋体"/>
        <w:sz w:val="15"/>
        <w:szCs w:val="15"/>
      </w:rPr>
    </w:pPr>
    <w:r>
      <w:rPr>
        <w:rFonts w:hint="default" w:ascii="Times New Roman" w:hAnsi="Times New Roman" w:eastAsia="宋体" w:cs="Times New Roman"/>
        <w:i/>
        <w:iCs/>
        <w:sz w:val="15"/>
        <w:szCs w:val="15"/>
        <w:lang w:val="en-US" w:eastAsia="zh-CN"/>
      </w:rPr>
      <w:t>Computer Science</w:t>
    </w:r>
    <w:r>
      <w:rPr>
        <w:rFonts w:hint="eastAsia" w:ascii="宋体" w:hAnsi="宋体" w:eastAsia="宋体"/>
        <w:i/>
        <w:iCs/>
        <w:sz w:val="15"/>
        <w:szCs w:val="15"/>
      </w:rPr>
      <w:t xml:space="preserve">  </w:t>
    </w:r>
    <w:r>
      <w:rPr>
        <w:rFonts w:hint="eastAsia" w:ascii="宋体" w:hAnsi="宋体" w:eastAsia="宋体"/>
        <w:i w:val="0"/>
        <w:iCs w:val="0"/>
        <w:sz w:val="15"/>
        <w:szCs w:val="15"/>
        <w:lang w:eastAsia="zh-CN"/>
      </w:rPr>
      <w:t>计算机科学</w:t>
    </w:r>
    <w:r>
      <w:rPr>
        <w:rFonts w:hint="eastAsia" w:ascii="宋体" w:hAnsi="宋体" w:eastAsia="宋体"/>
        <w:sz w:val="15"/>
        <w:szCs w:val="15"/>
      </w:rPr>
      <w:t xml:space="preserve"> </w:t>
    </w:r>
    <w:r>
      <w:rPr>
        <w:rFonts w:hint="default" w:ascii="Times New Roman" w:hAnsi="Times New Roman" w:eastAsia="宋体" w:cs="Times New Roman"/>
        <w:sz w:val="15"/>
        <w:szCs w:val="15"/>
        <w:lang w:val="en-US" w:eastAsia="zh-CN"/>
      </w:rPr>
      <w:t>Vol.x,</w:t>
    </w:r>
    <w:r>
      <w:rPr>
        <w:rFonts w:hint="eastAsia" w:ascii="Times New Roman" w:hAnsi="Times New Roman" w:eastAsia="宋体" w:cs="Times New Roman"/>
        <w:sz w:val="15"/>
        <w:szCs w:val="15"/>
        <w:lang w:val="en-US" w:eastAsia="zh-CN"/>
      </w:rPr>
      <w:t xml:space="preserve"> </w:t>
    </w:r>
    <w:r>
      <w:rPr>
        <w:rFonts w:hint="default" w:ascii="Times New Roman" w:hAnsi="Times New Roman" w:eastAsia="宋体" w:cs="Times New Roman"/>
        <w:sz w:val="15"/>
        <w:szCs w:val="15"/>
        <w:lang w:val="en-US" w:eastAsia="zh-CN"/>
      </w:rPr>
      <w:t>No.y, Month.2020</w:t>
    </w:r>
    <w:r>
      <w:rPr>
        <w:rFonts w:hint="eastAsia" w:ascii="宋体" w:hAnsi="宋体" w:eastAsia="宋体"/>
        <w:sz w:val="15"/>
        <w:szCs w:val="15"/>
      </w:rPr>
      <w:t xml:space="preserve">                                               </w:t>
    </w:r>
    <w:r>
      <w:rPr>
        <w:rFonts w:hint="eastAsia" w:ascii="宋体" w:hAnsi="宋体" w:eastAsia="宋体"/>
        <w:sz w:val="15"/>
        <w:szCs w:val="15"/>
        <w:lang w:val="en-US" w:eastAsia="zh-CN"/>
      </w:rPr>
      <w:t xml:space="preserve">    (偶数) </w:t>
    </w:r>
    <w:r>
      <w:rPr>
        <w:rFonts w:hint="eastAsia" w:ascii="宋体" w:hAnsi="宋体" w:eastAsia="宋体"/>
        <w:sz w:val="15"/>
        <w:szCs w:val="15"/>
      </w:rPr>
      <w:t>页码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spacing w:after="0"/>
      <w:jc w:val="left"/>
      <w:rPr>
        <w:rFonts w:hint="eastAsia" w:ascii="Times New Roman" w:hAnsi="Times New Roman" w:eastAsia="仿宋"/>
        <w:sz w:val="21"/>
        <w:szCs w:val="21"/>
        <w:lang w:val="en-US" w:eastAsia="zh-CN"/>
      </w:rPr>
    </w:pPr>
    <w:r>
      <w:rPr>
        <w:rFonts w:ascii="Times New Roman" w:hAnsi="Times New Roman" w:eastAsia="仿宋"/>
        <w:i/>
        <w:lang/>
      </w:rPr>
      <w:drawing>
        <wp:anchor distT="0" distB="0" distL="114300" distR="114300" simplePos="0" relativeHeight="251658240" behindDoc="1" locked="0" layoutInCell="1" allowOverlap="1">
          <wp:simplePos x="0" y="0"/>
          <wp:positionH relativeFrom="column">
            <wp:posOffset>-187325</wp:posOffset>
          </wp:positionH>
          <wp:positionV relativeFrom="paragraph">
            <wp:posOffset>-52070</wp:posOffset>
          </wp:positionV>
          <wp:extent cx="1303020" cy="360045"/>
          <wp:effectExtent l="0" t="0" r="0" b="0"/>
          <wp:wrapTight wrapText="bothSides">
            <wp:wrapPolygon>
              <wp:start x="4068" y="5355"/>
              <wp:lineTo x="2959" y="14727"/>
              <wp:lineTo x="4068" y="14727"/>
              <wp:lineTo x="17014" y="14727"/>
              <wp:lineTo x="18493" y="8033"/>
              <wp:lineTo x="16644" y="5355"/>
              <wp:lineTo x="8877" y="5355"/>
              <wp:lineTo x="4068" y="5355"/>
            </wp:wrapPolygon>
          </wp:wrapTight>
          <wp:docPr id="2" name="图片 4"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E:\计科封面、LOGO及红章\计科logo（无底色）.png"/>
                  <pic:cNvPicPr>
                    <a:picLocks noChangeAspect="1"/>
                  </pic:cNvPicPr>
                </pic:nvPicPr>
                <pic:blipFill>
                  <a:blip r:embed="rId1"/>
                  <a:stretch>
                    <a:fillRect/>
                  </a:stretch>
                </pic:blipFill>
                <pic:spPr>
                  <a:xfrm>
                    <a:off x="0" y="0"/>
                    <a:ext cx="1303020" cy="360045"/>
                  </a:xfrm>
                  <a:prstGeom prst="rect">
                    <a:avLst/>
                  </a:prstGeom>
                  <a:noFill/>
                  <a:ln w="9525">
                    <a:noFill/>
                  </a:ln>
                </pic:spPr>
              </pic:pic>
            </a:graphicData>
          </a:graphic>
        </wp:anchor>
      </w:drawing>
    </w:r>
    <w:r>
      <w:rPr>
        <w:rFonts w:hint="eastAsia" w:ascii="Times New Roman" w:hAnsi="Times New Roman" w:eastAsia="仿宋"/>
      </w:rPr>
      <w:t xml:space="preserve">                                             </w:t>
    </w:r>
    <w:r>
      <w:rPr>
        <w:rFonts w:hint="eastAsia" w:ascii="Times New Roman" w:hAnsi="Times New Roman" w:eastAsia="仿宋"/>
        <w:lang w:val="en-US" w:eastAsia="zh-CN"/>
      </w:rPr>
      <w:t xml:space="preserve">                                                                                           </w:t>
    </w:r>
    <w:r>
      <w:rPr>
        <w:rFonts w:hint="eastAsia" w:ascii="Times New Roman" w:hAnsi="Times New Roman" w:eastAsia="仿宋"/>
        <w:sz w:val="15"/>
        <w:szCs w:val="15"/>
        <w:lang w:val="en-US" w:eastAsia="zh-CN"/>
      </w:rPr>
      <w:t xml:space="preserve">                    http://www.jsjkx.com</w:t>
    </w:r>
  </w:p>
  <w:p>
    <w:pPr>
      <w:pStyle w:val="9"/>
      <w:pBdr>
        <w:bottom w:val="single" w:color="auto" w:sz="6" w:space="0"/>
      </w:pBdr>
      <w:spacing w:after="0"/>
      <w:jc w:val="left"/>
      <w:rPr>
        <w:rFonts w:ascii="Times New Roman" w:hAnsi="Times New Roman" w:eastAsia="仿宋"/>
      </w:rPr>
    </w:pPr>
    <w:r>
      <w:rPr>
        <w:rFonts w:hint="eastAsia" w:ascii="Times New Roman" w:hAnsi="Times New Roman" w:eastAsia="仿宋"/>
      </w:rPr>
      <w:t xml:space="preserve">                                                                                                                                          </w:t>
    </w:r>
    <w:r>
      <w:rPr>
        <w:rFonts w:hint="eastAsia" w:ascii="Times New Roman" w:hAnsi="Times New Roman" w:eastAsia="仿宋"/>
        <w:sz w:val="15"/>
        <w:szCs w:val="15"/>
      </w:rPr>
      <w:t xml:space="preserve">   </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  DOI</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10.11896/jsjkx.xx </w:t>
    </w:r>
    <w:r>
      <w:rPr>
        <w:rFonts w:hint="eastAsia" w:ascii="Times New Roman" w:hAnsi="Times New Roman" w:eastAsia="仿宋"/>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val="1"/>
  <w:bordersDoNotSurroundHeader w:val="0"/>
  <w:bordersDoNotSurroundFooter w:val="0"/>
  <w:documentProtection w:enforcement="0"/>
  <w:defaultTabStop w:val="720"/>
  <w:hyphenationZone w:val="360"/>
  <w:evenAndOddHeaders w:val="1"/>
  <w:drawingGridHorizontalSpacing w:val="110"/>
  <w:displayHorizontalDrawingGridEvery w:val="1"/>
  <w:displayVerticalDrawingGridEvery w:val="1"/>
  <w:noPunctuationKerning w:val="1"/>
  <w:characterSpacingControl w:val="doNotCompress"/>
  <w:hdrShapeDefaults>
    <o:shapelayout v:ext="edit">
      <o:idmap v:ext="edit" data="23"/>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6BD9"/>
    <w:rsid w:val="00065F87"/>
    <w:rsid w:val="0007521F"/>
    <w:rsid w:val="000A59B1"/>
    <w:rsid w:val="000D28FE"/>
    <w:rsid w:val="000D3421"/>
    <w:rsid w:val="001127F6"/>
    <w:rsid w:val="001201EC"/>
    <w:rsid w:val="00133034"/>
    <w:rsid w:val="00144784"/>
    <w:rsid w:val="00145238"/>
    <w:rsid w:val="00146AB7"/>
    <w:rsid w:val="001611D8"/>
    <w:rsid w:val="00170945"/>
    <w:rsid w:val="00175F84"/>
    <w:rsid w:val="001819DE"/>
    <w:rsid w:val="00196857"/>
    <w:rsid w:val="001B7B77"/>
    <w:rsid w:val="001F117C"/>
    <w:rsid w:val="001F14BC"/>
    <w:rsid w:val="001F5C3E"/>
    <w:rsid w:val="0022631A"/>
    <w:rsid w:val="00262119"/>
    <w:rsid w:val="00295131"/>
    <w:rsid w:val="002A0C9F"/>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E3D6E"/>
    <w:rsid w:val="003E56A3"/>
    <w:rsid w:val="003E5DEA"/>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E7636"/>
    <w:rsid w:val="005F123B"/>
    <w:rsid w:val="005F3802"/>
    <w:rsid w:val="006502CA"/>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85F05"/>
    <w:rsid w:val="0078600A"/>
    <w:rsid w:val="007B19A1"/>
    <w:rsid w:val="007B462D"/>
    <w:rsid w:val="007C7ABE"/>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35DB1"/>
    <w:rsid w:val="00951CF0"/>
    <w:rsid w:val="009569A3"/>
    <w:rsid w:val="009655B0"/>
    <w:rsid w:val="009710C4"/>
    <w:rsid w:val="00991066"/>
    <w:rsid w:val="009A0899"/>
    <w:rsid w:val="009A4F8D"/>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6DEA"/>
    <w:rsid w:val="00E31A09"/>
    <w:rsid w:val="00E57558"/>
    <w:rsid w:val="00E838DC"/>
    <w:rsid w:val="00E92AC4"/>
    <w:rsid w:val="00E93ABA"/>
    <w:rsid w:val="00EB22D5"/>
    <w:rsid w:val="00EB7B12"/>
    <w:rsid w:val="00EC28D2"/>
    <w:rsid w:val="00EC61F0"/>
    <w:rsid w:val="00F34918"/>
    <w:rsid w:val="00F60B7E"/>
    <w:rsid w:val="00F746D8"/>
    <w:rsid w:val="00F81581"/>
    <w:rsid w:val="00F837DC"/>
    <w:rsid w:val="00F9124B"/>
    <w:rsid w:val="00FE4CAF"/>
    <w:rsid w:val="025224ED"/>
    <w:rsid w:val="095F1821"/>
    <w:rsid w:val="0B8160C8"/>
    <w:rsid w:val="15F264FE"/>
    <w:rsid w:val="24903351"/>
    <w:rsid w:val="24CEEE88"/>
    <w:rsid w:val="27D5172C"/>
    <w:rsid w:val="33621B91"/>
    <w:rsid w:val="38B75B73"/>
    <w:rsid w:val="3BFC2917"/>
    <w:rsid w:val="4B27224E"/>
    <w:rsid w:val="4CA14097"/>
    <w:rsid w:val="4FAE470F"/>
    <w:rsid w:val="533B3115"/>
    <w:rsid w:val="6DBB7DE5"/>
    <w:rsid w:val="77B462C0"/>
    <w:rsid w:val="7AE97DF9"/>
    <w:rsid w:val="7B5A0B42"/>
    <w:rsid w:val="7DE2A9FC"/>
    <w:rsid w:val="9FF5D841"/>
    <w:rsid w:val="BAA6341E"/>
    <w:rsid w:val="D3FBD1CB"/>
    <w:rsid w:val="EFE512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sz w:val="22"/>
      <w:szCs w:val="22"/>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unhideWhenUsed/>
    <w:uiPriority w:val="1"/>
  </w:style>
  <w:style w:type="table" w:default="1" w:styleId="13">
    <w:name w:val="Normal Table"/>
    <w:unhideWhenUsed/>
    <w:qFormat/>
    <w:uiPriority w:val="99"/>
    <w:tblPr>
      <w:tblStyle w:val="13"/>
      <w:tblCellMar>
        <w:top w:w="0" w:type="dxa"/>
        <w:left w:w="108" w:type="dxa"/>
        <w:bottom w:w="0" w:type="dxa"/>
        <w:right w:w="108" w:type="dxa"/>
      </w:tblCellMar>
    </w:tblPr>
  </w:style>
  <w:style w:type="paragraph" w:styleId="4">
    <w:name w:val="annotation subject"/>
    <w:basedOn w:val="5"/>
    <w:next w:val="5"/>
    <w:link w:val="19"/>
    <w:unhideWhenUsed/>
    <w:uiPriority w:val="99"/>
    <w:pPr>
      <w:widowControl/>
      <w:adjustRightInd w:val="0"/>
      <w:snapToGrid w:val="0"/>
      <w:spacing w:after="200"/>
    </w:pPr>
    <w:rPr>
      <w:rFonts w:ascii="Tahoma" w:hAnsi="Tahoma" w:eastAsia="微软雅黑" w:cs="Times New Roman"/>
      <w:b/>
      <w:bCs/>
      <w:kern w:val="0"/>
      <w:sz w:val="22"/>
      <w:szCs w:val="22"/>
    </w:rPr>
  </w:style>
  <w:style w:type="paragraph" w:styleId="5">
    <w:name w:val="annotation text"/>
    <w:basedOn w:val="1"/>
    <w:link w:val="20"/>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6">
    <w:name w:val="Body Text"/>
    <w:basedOn w:val="1"/>
    <w:link w:val="23"/>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7">
    <w:name w:val="Balloon Text"/>
    <w:basedOn w:val="1"/>
    <w:link w:val="21"/>
    <w:unhideWhenUsed/>
    <w:qFormat/>
    <w:uiPriority w:val="99"/>
    <w:pPr>
      <w:spacing w:after="0"/>
    </w:pPr>
    <w:rPr>
      <w:sz w:val="18"/>
      <w:szCs w:val="18"/>
    </w:rPr>
  </w:style>
  <w:style w:type="paragraph" w:styleId="8">
    <w:name w:val="footer"/>
    <w:basedOn w:val="1"/>
    <w:link w:val="24"/>
    <w:unhideWhenUsed/>
    <w:qFormat/>
    <w:uiPriority w:val="99"/>
    <w:pPr>
      <w:tabs>
        <w:tab w:val="center" w:pos="4153"/>
        <w:tab w:val="right" w:pos="8306"/>
      </w:tabs>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jc w:val="center"/>
    </w:pPr>
    <w:rPr>
      <w:sz w:val="18"/>
      <w:szCs w:val="18"/>
    </w:rPr>
  </w:style>
  <w:style w:type="character" w:styleId="11">
    <w:name w:val="Hyperlink"/>
    <w:basedOn w:val="10"/>
    <w:unhideWhenUsed/>
    <w:qFormat/>
    <w:uiPriority w:val="99"/>
    <w:rPr>
      <w:color w:val="0000FF"/>
      <w:u w:val="single"/>
    </w:rPr>
  </w:style>
  <w:style w:type="character" w:styleId="12">
    <w:name w:val="annotation reference"/>
    <w:basedOn w:val="10"/>
    <w:semiHidden/>
    <w:qFormat/>
    <w:uiPriority w:val="0"/>
    <w:rPr>
      <w:sz w:val="21"/>
      <w:szCs w:val="21"/>
    </w:rPr>
  </w:style>
  <w:style w:type="paragraph" w:styleId="14">
    <w:name w:val=""/>
    <w:basedOn w:val="1"/>
    <w:unhideWhenUsed/>
    <w:qFormat/>
    <w:uiPriority w:val="34"/>
    <w:pPr>
      <w:ind w:firstLine="420" w:firstLineChars="200"/>
    </w:pPr>
  </w:style>
  <w:style w:type="paragraph" w:customStyle="1" w:styleId="15">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16">
    <w:name w:val="列出段落2"/>
    <w:basedOn w:val="1"/>
    <w:qFormat/>
    <w:uiPriority w:val="34"/>
    <w:pPr>
      <w:ind w:firstLine="420" w:firstLineChars="200"/>
    </w:pPr>
  </w:style>
  <w:style w:type="paragraph" w:customStyle="1" w:styleId="17">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 w:type="paragraph" w:customStyle="1" w:styleId="18">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character" w:customStyle="1" w:styleId="19">
    <w:name w:val="批注主题 Char"/>
    <w:basedOn w:val="20"/>
    <w:link w:val="4"/>
    <w:semiHidden/>
    <w:qFormat/>
    <w:uiPriority w:val="99"/>
    <w:rPr>
      <w:rFonts w:ascii="Tahoma" w:hAnsi="Tahoma" w:eastAsia="微软雅黑" w:cs="Times New Roman"/>
      <w:b/>
      <w:bCs/>
      <w:sz w:val="22"/>
      <w:szCs w:val="22"/>
    </w:rPr>
  </w:style>
  <w:style w:type="character" w:customStyle="1" w:styleId="20">
    <w:name w:val="批注文字 Char"/>
    <w:basedOn w:val="10"/>
    <w:link w:val="5"/>
    <w:semiHidden/>
    <w:uiPriority w:val="0"/>
    <w:rPr>
      <w:rFonts w:ascii="Times New Roman" w:hAnsi="Times New Roman" w:eastAsia="宋体" w:cs="Times New Roman"/>
      <w:kern w:val="2"/>
      <w:sz w:val="21"/>
      <w:szCs w:val="24"/>
    </w:rPr>
  </w:style>
  <w:style w:type="character" w:customStyle="1" w:styleId="21">
    <w:name w:val="批注框文本 Char"/>
    <w:basedOn w:val="10"/>
    <w:link w:val="7"/>
    <w:semiHidden/>
    <w:qFormat/>
    <w:uiPriority w:val="99"/>
    <w:rPr>
      <w:rFonts w:ascii="Tahoma" w:hAnsi="Tahoma"/>
      <w:sz w:val="18"/>
      <w:szCs w:val="18"/>
    </w:rPr>
  </w:style>
  <w:style w:type="character" w:styleId="22">
    <w:name w:val=""/>
    <w:basedOn w:val="10"/>
    <w:qFormat/>
    <w:uiPriority w:val="21"/>
    <w:rPr>
      <w:b/>
      <w:bCs/>
      <w:i/>
      <w:iCs/>
      <w:color w:val="4F81BD"/>
    </w:rPr>
  </w:style>
  <w:style w:type="character" w:customStyle="1" w:styleId="23">
    <w:name w:val="正文文本 Char"/>
    <w:basedOn w:val="10"/>
    <w:link w:val="6"/>
    <w:uiPriority w:val="0"/>
    <w:rPr>
      <w:rFonts w:ascii="Times New Roman" w:hAnsi="Times New Roman" w:eastAsia="宋体" w:cs="Times New Roman"/>
      <w:kern w:val="2"/>
      <w:sz w:val="21"/>
      <w:szCs w:val="24"/>
    </w:rPr>
  </w:style>
  <w:style w:type="character" w:customStyle="1" w:styleId="24">
    <w:name w:val="页脚 Char"/>
    <w:basedOn w:val="10"/>
    <w:link w:val="8"/>
    <w:qFormat/>
    <w:uiPriority w:val="99"/>
    <w:rPr>
      <w:rFonts w:ascii="Tahoma" w:hAnsi="Tahoma"/>
      <w:sz w:val="18"/>
      <w:szCs w:val="18"/>
    </w:rPr>
  </w:style>
  <w:style w:type="character" w:customStyle="1" w:styleId="25">
    <w:name w:val="页眉 Char"/>
    <w:basedOn w:val="10"/>
    <w:link w:val="9"/>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592</Words>
  <Characters>3380</Characters>
  <Lines>28</Lines>
  <Paragraphs>7</Paragraphs>
  <TotalTime>0</TotalTime>
  <ScaleCrop>false</ScaleCrop>
  <LinksUpToDate>false</LinksUpToDate>
  <CharactersWithSpaces>3965</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2019-08-09T09:39:00Z</dcterms:created>
  <dc:creator>Administrator</dc:creator>
  <cp:lastModifiedBy>qwer</cp:lastModifiedBy>
  <cp:lastPrinted>2019-07-12T14:22:00Z</cp:lastPrinted>
  <dcterms:modified xsi:type="dcterms:W3CDTF">2021-04-07T20:40:09Z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