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60" w:beforeLines="100" w:after="360" w:afterLines="100" w:line="220" w:lineRule="atLeast"/>
        <w:rPr>
          <w:rFonts w:hint="eastAsia" w:ascii="黑体" w:hAnsi="黑体" w:eastAsia="黑体"/>
          <w:color w:val="auto"/>
          <w:sz w:val="32"/>
          <w:szCs w:val="32"/>
          <w:lang w:val="en-US" w:eastAsia="zh-CN"/>
        </w:rPr>
      </w:pPr>
      <w:bookmarkStart w:id="0" w:name="_GoBack"/>
      <w:bookmarkEnd w:id="0"/>
      <w:r>
        <w:rPr>
          <w:rFonts w:hint="eastAsia" w:ascii="黑体" w:hAnsi="黑体" w:eastAsia="黑体"/>
          <w:color w:val="auto"/>
          <w:sz w:val="32"/>
          <w:szCs w:val="32"/>
          <w:lang w:val="en-US" w:eastAsia="zh-CN"/>
        </w:rPr>
        <w:t>大学毕业生在IT行业的薪酬变化及其影响因素分析</w:t>
      </w:r>
    </w:p>
    <w:p>
      <w:pPr>
        <w:spacing w:before="360" w:beforeLines="100" w:after="360" w:afterLines="100" w:line="220" w:lineRule="atLeast"/>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潘宇豪</w:t>
      </w:r>
    </w:p>
    <w:p>
      <w:pPr>
        <w:spacing w:before="360" w:beforeLines="100" w:after="360" w:afterLines="100" w:line="220" w:lineRule="atLeast"/>
        <w:rPr>
          <w:rFonts w:hint="default" w:ascii="仿宋" w:hAnsi="仿宋" w:eastAsia="仿宋" w:cs="仿宋"/>
          <w:b w:val="0"/>
          <w:bCs w:val="0"/>
          <w:color w:val="auto"/>
          <w:sz w:val="18"/>
          <w:szCs w:val="18"/>
          <w:lang w:val="en-US" w:eastAsia="zh-CN"/>
        </w:rPr>
      </w:pPr>
      <w:r>
        <w:rPr>
          <w:rFonts w:hint="eastAsia" w:ascii="仿宋" w:hAnsi="仿宋" w:eastAsia="仿宋" w:cs="仿宋"/>
          <w:b w:val="0"/>
          <w:bCs w:val="0"/>
          <w:color w:val="auto"/>
          <w:sz w:val="18"/>
          <w:szCs w:val="18"/>
          <w:lang w:val="en-US" w:eastAsia="zh-CN"/>
        </w:rPr>
        <w:t>大连理工大学开发区校区</w:t>
      </w:r>
    </w:p>
    <w:p>
      <w:pPr>
        <w:spacing w:before="180" w:beforeLines="50" w:after="180" w:afterLines="50" w:line="220" w:lineRule="atLeast"/>
        <w:rPr>
          <w:rFonts w:hint="default" w:ascii="仿宋" w:hAnsi="仿宋" w:eastAsia="仿宋"/>
          <w:color w:val="auto"/>
          <w:sz w:val="18"/>
          <w:szCs w:val="18"/>
          <w:lang w:val="en-US" w:eastAsia="zh-CN"/>
        </w:rPr>
      </w:pPr>
      <w:r>
        <w:rPr>
          <w:rFonts w:hint="eastAsia" w:ascii="仿宋" w:hAnsi="仿宋" w:eastAsia="仿宋"/>
          <w:b/>
          <w:sz w:val="18"/>
          <w:szCs w:val="18"/>
        </w:rPr>
        <w:t>摘 要</w:t>
      </w:r>
      <w:r>
        <w:rPr>
          <w:rFonts w:hint="eastAsia" w:ascii="仿宋" w:hAnsi="仿宋" w:eastAsia="仿宋"/>
          <w:color w:val="FF0000"/>
          <w:sz w:val="18"/>
          <w:szCs w:val="18"/>
        </w:rPr>
        <w:t xml:space="preserve"> </w:t>
      </w:r>
      <w:r>
        <w:rPr>
          <w:rFonts w:hint="eastAsia" w:ascii="仿宋" w:hAnsi="仿宋" w:eastAsia="仿宋"/>
          <w:color w:val="auto"/>
          <w:sz w:val="18"/>
          <w:szCs w:val="18"/>
          <w:lang w:val="en-US" w:eastAsia="zh-CN"/>
        </w:rPr>
        <w:t>随着计算机行业的深入发展，IT行业的人才缺口越来越大。而IT薪酬水平可以说是解决人才缺口的关键因素。因此，对于IT行业薪酬的变化分析有助于找出解决人才缺口的办法。IT行业技术也在不断发展，因此从薪酬变化中找出技术成本与利润水平的“平衡杠杆”至关重要。本文选取了近几年来IT行业薪酬的各方面数据作为样本，实证分析IT行业薪酬的变化及其原因。认为在地域，政策，社会心理等方面对IT行业薪酬的变化起到了显著影响。且对于含有较高水平的技术也取得了更高的技术利润。在科学技术更加普及的地区，像北上广深等地，薪酬水平较高。且拥有政策保障的地区与企业，薪酬水平较为稳定。社会对IT行业的认知与态度也是导致IT行业薪酬变化的重要因素。</w:t>
      </w:r>
    </w:p>
    <w:p>
      <w:pPr>
        <w:spacing w:before="180" w:beforeLines="50" w:after="180" w:afterLines="50" w:line="220" w:lineRule="atLeast"/>
        <w:rPr>
          <w:rFonts w:hint="default" w:ascii="宋体" w:hAnsi="宋体" w:eastAsia="宋体"/>
          <w:sz w:val="18"/>
          <w:szCs w:val="18"/>
          <w:lang w:val="en-US" w:eastAsia="zh-CN"/>
        </w:rPr>
      </w:pPr>
      <w:r>
        <w:rPr>
          <w:rFonts w:hint="eastAsia" w:ascii="宋体" w:hAnsi="宋体" w:eastAsia="宋体"/>
          <w:b/>
          <w:sz w:val="18"/>
          <w:szCs w:val="18"/>
        </w:rPr>
        <w:t xml:space="preserve">关键词：  </w:t>
      </w:r>
      <w:r>
        <w:rPr>
          <w:rFonts w:hint="eastAsia" w:ascii="宋体" w:hAnsi="宋体" w:eastAsia="宋体"/>
          <w:sz w:val="18"/>
          <w:szCs w:val="18"/>
          <w:lang w:val="en-US" w:eastAsia="zh-CN"/>
        </w:rPr>
        <w:t>大学毕业生</w:t>
      </w:r>
      <w:r>
        <w:rPr>
          <w:rFonts w:hint="eastAsia" w:ascii="宋体" w:hAnsi="宋体" w:eastAsia="宋体"/>
          <w:sz w:val="18"/>
          <w:szCs w:val="18"/>
        </w:rPr>
        <w:t>; 薪酬</w:t>
      </w:r>
      <w:r>
        <w:rPr>
          <w:rFonts w:hint="eastAsia" w:ascii="宋体" w:hAnsi="宋体" w:eastAsia="宋体"/>
          <w:sz w:val="18"/>
          <w:szCs w:val="18"/>
          <w:lang w:val="en-US" w:eastAsia="zh-CN"/>
        </w:rPr>
        <w:t>变化</w:t>
      </w:r>
      <w:r>
        <w:rPr>
          <w:rFonts w:hint="eastAsia" w:ascii="宋体" w:hAnsi="宋体" w:eastAsia="宋体"/>
          <w:sz w:val="18"/>
          <w:szCs w:val="18"/>
        </w:rPr>
        <w:t xml:space="preserve">; 计算机; </w:t>
      </w:r>
      <w:r>
        <w:rPr>
          <w:rFonts w:hint="eastAsia" w:ascii="宋体" w:hAnsi="宋体" w:eastAsia="宋体"/>
          <w:sz w:val="18"/>
          <w:szCs w:val="18"/>
          <w:lang w:val="en-US" w:eastAsia="zh-CN"/>
        </w:rPr>
        <w:t>变化原因</w:t>
      </w:r>
      <w:r>
        <w:rPr>
          <w:rFonts w:hint="eastAsia" w:ascii="宋体" w:hAnsi="宋体" w:eastAsia="宋体"/>
          <w:sz w:val="18"/>
          <w:szCs w:val="18"/>
        </w:rPr>
        <w:t>; 数据;</w:t>
      </w:r>
      <w:r>
        <w:rPr>
          <w:rFonts w:hint="eastAsia" w:ascii="宋体" w:hAnsi="宋体" w:eastAsia="宋体"/>
          <w:sz w:val="18"/>
          <w:szCs w:val="18"/>
          <w:lang w:val="en-US" w:eastAsia="zh-CN"/>
        </w:rPr>
        <w:t>企业;</w:t>
      </w:r>
    </w:p>
    <w:p>
      <w:pPr>
        <w:spacing w:before="180" w:beforeLines="50" w:after="180" w:afterLines="50" w:line="220" w:lineRule="atLeast"/>
        <w:rPr>
          <w:rFonts w:hint="eastAsia" w:ascii="黑体" w:hAnsi="黑体" w:eastAsia="黑体" w:cs="黑体"/>
          <w:sz w:val="21"/>
          <w:szCs w:val="21"/>
          <w:lang w:val="en-US" w:eastAsia="zh-CN"/>
        </w:rPr>
      </w:pPr>
    </w:p>
    <w:p>
      <w:pPr>
        <w:spacing w:before="180" w:beforeLines="50" w:after="180" w:afterLines="50" w:line="220" w:lineRule="atLeas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  引言</w:t>
      </w:r>
    </w:p>
    <w:p>
      <w:pPr>
        <w:spacing w:before="180" w:beforeLines="50" w:after="180" w:afterLines="50" w:line="220" w:lineRule="atLeast"/>
        <w:ind w:firstLine="42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薪酬变化对于各个行业、各个企业来讲都是一个重要问题。掌握了薪酬变化规律之后，政府和企业不但能够宏观掌控员工的心理状况、企业的经济发展，且易于调控经济结构，使得薪酬结构更加合理规范。从前几年来看，高科技行业发展很快，导致了竞争的加剧，利润减少，很多企业被淘汰出局，整体薪酬水平也逐渐降低。但是，我国高科技行业的整体发展与发达国家比，还处在比较低的层次上。从长远来看，国家对这个行业也会有许多鼓励政策，这些一定会导致IT行业的薪酬水平上涨。自2003年第一节扩招后的学生毕业以来，大学毕业生就业市场日趋紧张，毕业生的实际薪资也经历了一个下降的过程[1]，而究竟是哪些因素导致了薪资的变化还尚未厘清。本文选取了近几年来IT行业薪酬的各方面数据作为样本，实证分析IT行业薪酬的变化及其原因。关于薪资变化的原因讨论围绕地域，政策，社会心理这几个因素来展开。试图为企业和政府对于薪资的管控有一个良好而又深刻的借鉴。</w:t>
      </w:r>
    </w:p>
    <w:p>
      <w:pPr>
        <w:spacing w:before="180" w:beforeLines="50" w:after="180" w:afterLines="50" w:line="220" w:lineRule="atLeas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  分析结果</w:t>
      </w:r>
    </w:p>
    <w:p>
      <w:pPr>
        <w:spacing w:before="180" w:beforeLines="50" w:after="180" w:afterLines="50" w:line="220" w:lineRule="atLeast"/>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2.1 数据及其描述</w:t>
      </w:r>
    </w:p>
    <w:p>
      <w:pPr>
        <w:spacing w:before="180" w:beforeLines="50" w:after="180" w:afterLines="50" w:line="220" w:lineRule="atLeast"/>
        <w:ind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本文数来自于对某工业园区IT企业两届大学毕业生的两次薪酬调查。来自园区内的67家企业。两次数据的情况基本类似。两次样本在性别、学历、工作经验、专业、所在部门、企业年龄、企业所有制性质等方面均不存在根本性差异。由于本研究关注的是各因素对毕业生薪资影响的原因，上述差异不至于对研究结果产生重大影响。</w:t>
      </w:r>
    </w:p>
    <w:p>
      <w:pPr>
        <w:spacing w:before="180" w:beforeLines="50" w:after="180" w:afterLines="50" w:line="220" w:lineRule="atLeast"/>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2.2 大学毕业生薪资决定因素的总体分析</w:t>
      </w:r>
    </w:p>
    <w:p>
      <w:pPr>
        <w:spacing w:before="180" w:beforeLines="50" w:after="180" w:afterLines="50" w:line="220" w:lineRule="atLeast"/>
        <w:ind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在大学毕业生薪资决定因素的总体分析中，因变量为对数化的毕业生薪资，自变量为性别、学历、工作经验、学校、专业、所属部门等六个个人相关特性变量和所有制形式、规模两个企业特征变量。结果如表1所示（注：表中所有数据皆为对数化薪资值）。</w:t>
      </w:r>
    </w:p>
    <w:p>
      <w:pPr>
        <w:spacing w:before="180" w:beforeLines="50" w:after="180" w:afterLines="50" w:line="220" w:lineRule="atLeast"/>
        <w:ind w:firstLine="3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总体来看，性别、学历、学校、专业、所有制形式、企业规模等变量均在不同程度上对大学生薪资产生不同影响。从个人相关特征来看，在其他条件类似的情况下，男性毕业生薪资高于女性毕业生，学历越高的毕业生薪资越高，“985”高校毕业生薪资高于一般“211”高校毕业生薪资，一般“211”高校毕业生薪资高于一般本科院校及以下毕业生薪资。理工科毕业生薪资高于文科毕业生薪资。从企业特征来看，在其他条件类似的情况下，进入外企的毕业生薪资高于进入国企的毕业生薪资，进入规模较大企业的毕业生薪资高于进入规模较小企业的毕业生薪资。</w:t>
      </w:r>
    </w:p>
    <w:p>
      <w:pPr>
        <w:pStyle w:val="2"/>
        <w:spacing w:after="0" w:line="240" w:lineRule="atLeast"/>
        <w:jc w:val="center"/>
        <w:rPr>
          <w:rFonts w:hint="default" w:eastAsia="宋体"/>
          <w:color w:val="FF0000"/>
          <w:sz w:val="18"/>
          <w:szCs w:val="18"/>
          <w:lang w:val="en-US" w:eastAsia="zh-CN"/>
        </w:rPr>
      </w:pPr>
      <w:r>
        <w:rPr>
          <w:rFonts w:hint="eastAsia" w:ascii="宋体" w:hAnsi="宋体"/>
          <w:sz w:val="15"/>
          <w:szCs w:val="15"/>
        </w:rPr>
        <w:t xml:space="preserve">表1  </w:t>
      </w:r>
      <w:r>
        <w:rPr>
          <w:rFonts w:hint="eastAsia" w:ascii="宋体" w:hAnsi="宋体"/>
          <w:sz w:val="15"/>
          <w:szCs w:val="15"/>
          <w:lang w:val="en-US" w:eastAsia="zh-CN"/>
        </w:rPr>
        <w:t xml:space="preserve"> 大学生薪资决定因素</w:t>
      </w:r>
    </w:p>
    <w:tbl>
      <w:tblPr>
        <w:tblStyle w:val="3"/>
        <w:tblW w:w="10168" w:type="dxa"/>
        <w:jc w:val="center"/>
        <w:tblLayout w:type="fixed"/>
        <w:tblCellMar>
          <w:top w:w="0" w:type="dxa"/>
          <w:left w:w="108" w:type="dxa"/>
          <w:bottom w:w="0" w:type="dxa"/>
          <w:right w:w="108" w:type="dxa"/>
        </w:tblCellMar>
      </w:tblPr>
      <w:tblGrid>
        <w:gridCol w:w="672"/>
        <w:gridCol w:w="638"/>
        <w:gridCol w:w="800"/>
        <w:gridCol w:w="988"/>
        <w:gridCol w:w="687"/>
        <w:gridCol w:w="962"/>
        <w:gridCol w:w="612"/>
        <w:gridCol w:w="750"/>
        <w:gridCol w:w="925"/>
        <w:gridCol w:w="800"/>
        <w:gridCol w:w="625"/>
        <w:gridCol w:w="788"/>
        <w:gridCol w:w="921"/>
      </w:tblGrid>
      <w:tr>
        <w:trPr>
          <w:jc w:val="center"/>
        </w:trPr>
        <w:tc>
          <w:tcPr>
            <w:tcW w:w="672" w:type="dxa"/>
            <w:tcBorders>
              <w:top w:val="single" w:color="auto" w:sz="4" w:space="0"/>
              <w:bottom w:val="single" w:color="auto" w:sz="4" w:space="0"/>
            </w:tcBorders>
            <w:noWrap w:val="0"/>
            <w:vAlign w:val="center"/>
          </w:tcPr>
          <w:p>
            <w:pPr>
              <w:widowControl w:val="0"/>
              <w:overflowPunct w:val="0"/>
              <w:ind w:left="150" w:leftChars="68" w:firstLine="0" w:firstLineChars="0"/>
              <w:jc w:val="both"/>
              <w:rPr>
                <w:rFonts w:hint="default" w:ascii="Times New Roman" w:hAnsi="Times New Roman" w:eastAsia="仿宋"/>
                <w:kern w:val="2"/>
                <w:sz w:val="15"/>
                <w:szCs w:val="15"/>
                <w:lang w:val="en-US" w:eastAsia="zh-CN"/>
              </w:rPr>
            </w:pPr>
            <w:r>
              <w:rPr>
                <w:rFonts w:hint="eastAsia" w:ascii="Times New Roman" w:hAnsi="Times New Roman" w:eastAsia="仿宋"/>
                <w:sz w:val="15"/>
                <w:szCs w:val="15"/>
                <w:lang w:val="en-US" w:eastAsia="zh-CN"/>
              </w:rPr>
              <w:t>测试样本</w:t>
            </w:r>
          </w:p>
        </w:tc>
        <w:tc>
          <w:tcPr>
            <w:tcW w:w="638" w:type="dxa"/>
            <w:tcBorders>
              <w:top w:val="single" w:color="auto" w:sz="4" w:space="0"/>
              <w:bottom w:val="single" w:color="auto" w:sz="4" w:space="0"/>
            </w:tcBorders>
            <w:noWrap w:val="0"/>
            <w:vAlign w:val="center"/>
          </w:tcPr>
          <w:p>
            <w:pPr>
              <w:widowControl w:val="0"/>
              <w:overflowPunct w:val="0"/>
              <w:jc w:val="center"/>
              <w:rPr>
                <w:rFonts w:hint="default" w:ascii="Times New Roman" w:hAnsi="Times New Roman" w:eastAsia="仿宋"/>
                <w:kern w:val="2"/>
                <w:sz w:val="15"/>
                <w:szCs w:val="15"/>
                <w:lang w:val="en-US" w:eastAsia="zh-CN"/>
              </w:rPr>
            </w:pPr>
            <w:r>
              <w:rPr>
                <w:rFonts w:hint="eastAsia" w:ascii="Times New Roman" w:hAnsi="Times New Roman" w:eastAsia="仿宋"/>
                <w:kern w:val="2"/>
                <w:sz w:val="15"/>
                <w:szCs w:val="15"/>
                <w:lang w:val="en-US" w:eastAsia="zh-CN"/>
              </w:rPr>
              <w:t>性别</w:t>
            </w:r>
          </w:p>
        </w:tc>
        <w:tc>
          <w:tcPr>
            <w:tcW w:w="800" w:type="dxa"/>
            <w:tcBorders>
              <w:top w:val="single" w:color="auto" w:sz="4" w:space="0"/>
              <w:bottom w:val="single" w:color="auto" w:sz="4" w:space="0"/>
            </w:tcBorders>
            <w:noWrap w:val="0"/>
            <w:vAlign w:val="center"/>
          </w:tcPr>
          <w:p>
            <w:pPr>
              <w:widowControl w:val="0"/>
              <w:overflowPunct w:val="0"/>
              <w:jc w:val="center"/>
              <w:rPr>
                <w:rFonts w:hint="eastAsia" w:ascii="Times New Roman" w:hAnsi="Times New Roman" w:eastAsia="仿宋"/>
                <w:kern w:val="2"/>
                <w:sz w:val="15"/>
                <w:szCs w:val="15"/>
                <w:lang w:val="en-US" w:eastAsia="zh-CN"/>
              </w:rPr>
            </w:pPr>
            <w:r>
              <w:rPr>
                <w:rFonts w:hint="eastAsia" w:ascii="Times New Roman" w:hAnsi="Times New Roman" w:eastAsia="仿宋"/>
                <w:kern w:val="2"/>
                <w:sz w:val="15"/>
                <w:szCs w:val="15"/>
                <w:lang w:val="en-US" w:eastAsia="zh-CN"/>
              </w:rPr>
              <w:t>本科</w:t>
            </w:r>
          </w:p>
        </w:tc>
        <w:tc>
          <w:tcPr>
            <w:tcW w:w="988" w:type="dxa"/>
            <w:tcBorders>
              <w:top w:val="single" w:color="auto" w:sz="4" w:space="0"/>
              <w:bottom w:val="single" w:color="auto" w:sz="4" w:space="0"/>
            </w:tcBorders>
            <w:noWrap w:val="0"/>
            <w:vAlign w:val="center"/>
          </w:tcPr>
          <w:p>
            <w:pPr>
              <w:widowControl w:val="0"/>
              <w:overflowPunct w:val="0"/>
              <w:jc w:val="center"/>
              <w:rPr>
                <w:rFonts w:hint="eastAsia" w:ascii="Times New Roman" w:hAnsi="Times New Roman" w:eastAsia="仿宋"/>
                <w:kern w:val="2"/>
                <w:sz w:val="15"/>
                <w:szCs w:val="15"/>
                <w:lang w:eastAsia="zh-CN"/>
              </w:rPr>
            </w:pPr>
            <w:r>
              <w:rPr>
                <w:rFonts w:hint="eastAsia" w:ascii="Times New Roman" w:hAnsi="Times New Roman" w:eastAsia="仿宋"/>
                <w:sz w:val="15"/>
                <w:szCs w:val="15"/>
                <w:lang w:val="en-US" w:eastAsia="zh-CN"/>
              </w:rPr>
              <w:t>本科双学位</w:t>
            </w:r>
          </w:p>
        </w:tc>
        <w:tc>
          <w:tcPr>
            <w:tcW w:w="687" w:type="dxa"/>
            <w:tcBorders>
              <w:top w:val="single" w:color="auto" w:sz="4" w:space="0"/>
              <w:bottom w:val="single" w:color="auto" w:sz="4" w:space="0"/>
            </w:tcBorders>
            <w:noWrap w:val="0"/>
            <w:vAlign w:val="center"/>
          </w:tcPr>
          <w:p>
            <w:pPr>
              <w:widowControl w:val="0"/>
              <w:overflowPunct w:val="0"/>
              <w:jc w:val="center"/>
              <w:rPr>
                <w:rFonts w:hint="eastAsia" w:ascii="Times New Roman" w:hAnsi="Times New Roman" w:eastAsia="仿宋"/>
                <w:sz w:val="15"/>
                <w:szCs w:val="15"/>
                <w:lang w:val="en-US" w:eastAsia="zh-CN"/>
              </w:rPr>
            </w:pPr>
            <w:r>
              <w:rPr>
                <w:rFonts w:hint="eastAsia" w:ascii="Times New Roman" w:hAnsi="Times New Roman" w:eastAsia="仿宋"/>
                <w:sz w:val="15"/>
                <w:szCs w:val="15"/>
                <w:lang w:val="en-US" w:eastAsia="zh-CN"/>
              </w:rPr>
              <w:t>硕士毕业生</w:t>
            </w:r>
          </w:p>
        </w:tc>
        <w:tc>
          <w:tcPr>
            <w:tcW w:w="962" w:type="dxa"/>
            <w:tcBorders>
              <w:top w:val="single" w:color="auto" w:sz="4" w:space="0"/>
              <w:bottom w:val="single" w:color="auto" w:sz="4" w:space="0"/>
            </w:tcBorders>
            <w:noWrap w:val="0"/>
            <w:vAlign w:val="center"/>
          </w:tcPr>
          <w:p>
            <w:pPr>
              <w:widowControl w:val="0"/>
              <w:overflowPunct w:val="0"/>
              <w:jc w:val="center"/>
              <w:rPr>
                <w:rFonts w:hint="eastAsia" w:ascii="Times New Roman" w:hAnsi="Times New Roman" w:eastAsia="仿宋"/>
                <w:sz w:val="15"/>
                <w:szCs w:val="15"/>
                <w:lang w:val="en-US" w:eastAsia="zh-CN"/>
              </w:rPr>
            </w:pPr>
            <w:r>
              <w:rPr>
                <w:rFonts w:hint="eastAsia" w:ascii="Times New Roman" w:hAnsi="Times New Roman" w:eastAsia="仿宋"/>
                <w:sz w:val="15"/>
                <w:szCs w:val="15"/>
                <w:lang w:val="en-US" w:eastAsia="zh-CN"/>
              </w:rPr>
              <w:t>博士毕业生</w:t>
            </w:r>
          </w:p>
        </w:tc>
        <w:tc>
          <w:tcPr>
            <w:tcW w:w="612" w:type="dxa"/>
            <w:tcBorders>
              <w:top w:val="single" w:color="auto" w:sz="4" w:space="0"/>
              <w:bottom w:val="single" w:color="auto" w:sz="4" w:space="0"/>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211院校</w:t>
            </w:r>
          </w:p>
        </w:tc>
        <w:tc>
          <w:tcPr>
            <w:tcW w:w="750" w:type="dxa"/>
            <w:tcBorders>
              <w:top w:val="single" w:color="auto" w:sz="4" w:space="0"/>
              <w:bottom w:val="single" w:color="auto" w:sz="4" w:space="0"/>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985院校</w:t>
            </w:r>
          </w:p>
        </w:tc>
        <w:tc>
          <w:tcPr>
            <w:tcW w:w="925" w:type="dxa"/>
            <w:tcBorders>
              <w:top w:val="single" w:color="auto" w:sz="4" w:space="0"/>
              <w:bottom w:val="single" w:color="auto" w:sz="4" w:space="0"/>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理工科</w:t>
            </w:r>
          </w:p>
        </w:tc>
        <w:tc>
          <w:tcPr>
            <w:tcW w:w="800" w:type="dxa"/>
            <w:tcBorders>
              <w:top w:val="single" w:color="auto" w:sz="4" w:space="0"/>
              <w:bottom w:val="single" w:color="auto" w:sz="4" w:space="0"/>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技术或研发部门</w:t>
            </w:r>
          </w:p>
        </w:tc>
        <w:tc>
          <w:tcPr>
            <w:tcW w:w="625" w:type="dxa"/>
            <w:tcBorders>
              <w:top w:val="single" w:color="auto" w:sz="4" w:space="0"/>
              <w:bottom w:val="single" w:color="auto" w:sz="4" w:space="0"/>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民营</w:t>
            </w:r>
          </w:p>
        </w:tc>
        <w:tc>
          <w:tcPr>
            <w:tcW w:w="788" w:type="dxa"/>
            <w:tcBorders>
              <w:top w:val="single" w:color="auto" w:sz="4" w:space="0"/>
              <w:bottom w:val="single" w:color="auto" w:sz="4" w:space="0"/>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外资</w:t>
            </w:r>
          </w:p>
        </w:tc>
        <w:tc>
          <w:tcPr>
            <w:tcW w:w="921" w:type="dxa"/>
            <w:tcBorders>
              <w:top w:val="single" w:color="auto" w:sz="4" w:space="0"/>
              <w:bottom w:val="single" w:color="auto" w:sz="4" w:space="0"/>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销售额</w:t>
            </w:r>
          </w:p>
        </w:tc>
      </w:tr>
      <w:tr>
        <w:tblPrEx>
          <w:tblCellMar>
            <w:top w:w="0" w:type="dxa"/>
            <w:left w:w="108" w:type="dxa"/>
            <w:bottom w:w="0" w:type="dxa"/>
            <w:right w:w="108" w:type="dxa"/>
          </w:tblCellMar>
        </w:tblPrEx>
        <w:trPr>
          <w:jc w:val="center"/>
        </w:trPr>
        <w:tc>
          <w:tcPr>
            <w:tcW w:w="672" w:type="dxa"/>
            <w:noWrap w:val="0"/>
            <w:vAlign w:val="center"/>
          </w:tcPr>
          <w:p>
            <w:pPr>
              <w:widowControl w:val="0"/>
              <w:overflowPunct w:val="0"/>
              <w:jc w:val="center"/>
              <w:rPr>
                <w:rFonts w:hint="eastAsia" w:ascii="Times New Roman" w:hAnsi="Times New Roman" w:eastAsia="仿宋"/>
                <w:kern w:val="2"/>
                <w:sz w:val="15"/>
                <w:szCs w:val="15"/>
                <w:lang w:val="en-US" w:eastAsia="zh-CN"/>
              </w:rPr>
            </w:pPr>
            <w:r>
              <w:rPr>
                <w:rFonts w:hint="eastAsia" w:ascii="Times New Roman" w:hAnsi="Times New Roman" w:eastAsia="仿宋"/>
                <w:kern w:val="2"/>
                <w:sz w:val="15"/>
                <w:szCs w:val="15"/>
                <w:lang w:val="en-US" w:eastAsia="zh-CN"/>
              </w:rPr>
              <w:t>1</w:t>
            </w:r>
          </w:p>
        </w:tc>
        <w:tc>
          <w:tcPr>
            <w:tcW w:w="638" w:type="dxa"/>
            <w:noWrap w:val="0"/>
            <w:vAlign w:val="center"/>
          </w:tcPr>
          <w:p>
            <w:pPr>
              <w:widowControl w:val="0"/>
              <w:overflowPunct w:val="0"/>
              <w:jc w:val="center"/>
              <w:rPr>
                <w:rFonts w:hint="default" w:ascii="Times New Roman" w:hAnsi="Times New Roman" w:eastAsia="仿宋"/>
                <w:kern w:val="2"/>
                <w:sz w:val="15"/>
                <w:szCs w:val="15"/>
                <w:lang w:val="en-US" w:eastAsia="zh-CN"/>
              </w:rPr>
            </w:pPr>
            <w:r>
              <w:rPr>
                <w:rFonts w:hint="eastAsia" w:ascii="Times New Roman" w:hAnsi="Times New Roman" w:eastAsia="仿宋"/>
                <w:kern w:val="2"/>
                <w:sz w:val="15"/>
                <w:szCs w:val="15"/>
                <w:lang w:val="en-US" w:eastAsia="zh-CN"/>
              </w:rPr>
              <w:t>0.119</w:t>
            </w:r>
          </w:p>
        </w:tc>
        <w:tc>
          <w:tcPr>
            <w:tcW w:w="800" w:type="dxa"/>
            <w:noWrap w:val="0"/>
            <w:vAlign w:val="center"/>
          </w:tcPr>
          <w:p>
            <w:pPr>
              <w:widowControl w:val="0"/>
              <w:overflowPunct w:val="0"/>
              <w:jc w:val="center"/>
              <w:rPr>
                <w:rFonts w:hint="default" w:ascii="Times New Roman" w:hAnsi="Times New Roman" w:eastAsia="仿宋"/>
                <w:kern w:val="2"/>
                <w:sz w:val="15"/>
                <w:szCs w:val="15"/>
                <w:lang w:val="en-US" w:eastAsia="zh-CN"/>
              </w:rPr>
            </w:pPr>
            <w:r>
              <w:rPr>
                <w:rFonts w:hint="eastAsia" w:ascii="Times New Roman" w:hAnsi="Times New Roman" w:eastAsia="仿宋"/>
                <w:sz w:val="15"/>
                <w:szCs w:val="15"/>
                <w:lang w:val="en-US" w:eastAsia="zh-CN"/>
              </w:rPr>
              <w:t>0.231</w:t>
            </w:r>
          </w:p>
        </w:tc>
        <w:tc>
          <w:tcPr>
            <w:tcW w:w="988" w:type="dxa"/>
            <w:noWrap w:val="0"/>
            <w:vAlign w:val="center"/>
          </w:tcPr>
          <w:p>
            <w:pPr>
              <w:widowControl w:val="0"/>
              <w:overflowPunct w:val="0"/>
              <w:jc w:val="center"/>
              <w:rPr>
                <w:rFonts w:hint="default" w:ascii="Times New Roman" w:hAnsi="Times New Roman" w:eastAsia="仿宋"/>
                <w:kern w:val="2"/>
                <w:sz w:val="15"/>
                <w:szCs w:val="15"/>
                <w:lang w:val="en-US" w:eastAsia="zh-CN"/>
              </w:rPr>
            </w:pPr>
            <w:r>
              <w:rPr>
                <w:rFonts w:hint="eastAsia" w:ascii="Times New Roman" w:hAnsi="Times New Roman" w:eastAsia="仿宋"/>
                <w:sz w:val="15"/>
                <w:szCs w:val="15"/>
                <w:lang w:val="en-US" w:eastAsia="zh-CN"/>
              </w:rPr>
              <w:t>0.376</w:t>
            </w:r>
          </w:p>
        </w:tc>
        <w:tc>
          <w:tcPr>
            <w:tcW w:w="687"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0.598</w:t>
            </w:r>
          </w:p>
        </w:tc>
        <w:tc>
          <w:tcPr>
            <w:tcW w:w="962"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0.728</w:t>
            </w:r>
          </w:p>
        </w:tc>
        <w:tc>
          <w:tcPr>
            <w:tcW w:w="612"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0.092</w:t>
            </w:r>
          </w:p>
        </w:tc>
        <w:tc>
          <w:tcPr>
            <w:tcW w:w="750"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0.173</w:t>
            </w:r>
          </w:p>
        </w:tc>
        <w:tc>
          <w:tcPr>
            <w:tcW w:w="925"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-0.0791</w:t>
            </w:r>
          </w:p>
        </w:tc>
        <w:tc>
          <w:tcPr>
            <w:tcW w:w="800"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0.120</w:t>
            </w:r>
          </w:p>
        </w:tc>
        <w:tc>
          <w:tcPr>
            <w:tcW w:w="625"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0.017</w:t>
            </w:r>
          </w:p>
        </w:tc>
        <w:tc>
          <w:tcPr>
            <w:tcW w:w="788"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0.0840</w:t>
            </w:r>
          </w:p>
        </w:tc>
        <w:tc>
          <w:tcPr>
            <w:tcW w:w="921" w:type="dxa"/>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0.0310</w:t>
            </w:r>
          </w:p>
        </w:tc>
      </w:tr>
      <w:tr>
        <w:tblPrEx>
          <w:tblCellMar>
            <w:top w:w="0" w:type="dxa"/>
            <w:left w:w="108" w:type="dxa"/>
            <w:bottom w:w="0" w:type="dxa"/>
            <w:right w:w="108" w:type="dxa"/>
          </w:tblCellMar>
        </w:tblPrEx>
        <w:trPr>
          <w:jc w:val="center"/>
        </w:trPr>
        <w:tc>
          <w:tcPr>
            <w:tcW w:w="672" w:type="dxa"/>
            <w:tcBorders>
              <w:bottom w:val="single" w:color="auto" w:sz="4" w:space="0"/>
            </w:tcBorders>
            <w:noWrap w:val="0"/>
            <w:vAlign w:val="center"/>
          </w:tcPr>
          <w:p>
            <w:pPr>
              <w:widowControl w:val="0"/>
              <w:overflowPunct w:val="0"/>
              <w:jc w:val="center"/>
              <w:rPr>
                <w:rFonts w:hint="eastAsia" w:ascii="Times New Roman" w:hAnsi="Times New Roman" w:eastAsia="仿宋"/>
                <w:kern w:val="2"/>
                <w:sz w:val="15"/>
                <w:szCs w:val="15"/>
                <w:lang w:val="en-US" w:eastAsia="zh-CN"/>
              </w:rPr>
            </w:pPr>
            <w:r>
              <w:rPr>
                <w:rFonts w:hint="eastAsia" w:ascii="Times New Roman" w:hAnsi="Times New Roman" w:eastAsia="仿宋"/>
                <w:kern w:val="2"/>
                <w:sz w:val="15"/>
                <w:szCs w:val="15"/>
                <w:lang w:val="en-US" w:eastAsia="zh-CN"/>
              </w:rPr>
              <w:t>2</w:t>
            </w:r>
          </w:p>
        </w:tc>
        <w:tc>
          <w:tcPr>
            <w:tcW w:w="638" w:type="dxa"/>
            <w:tcBorders>
              <w:bottom w:val="single" w:color="auto" w:sz="4" w:space="0"/>
            </w:tcBorders>
            <w:noWrap w:val="0"/>
            <w:vAlign w:val="center"/>
          </w:tcPr>
          <w:p>
            <w:pPr>
              <w:widowControl w:val="0"/>
              <w:overflowPunct w:val="0"/>
              <w:jc w:val="center"/>
              <w:rPr>
                <w:rFonts w:hint="default" w:ascii="Times New Roman" w:hAnsi="Times New Roman" w:eastAsia="仿宋"/>
                <w:kern w:val="2"/>
                <w:sz w:val="15"/>
                <w:szCs w:val="15"/>
                <w:lang w:val="en-US" w:eastAsia="zh-CN"/>
              </w:rPr>
            </w:pPr>
            <w:r>
              <w:rPr>
                <w:rFonts w:hint="eastAsia" w:ascii="Times New Roman" w:hAnsi="Times New Roman" w:eastAsia="仿宋"/>
                <w:sz w:val="15"/>
                <w:szCs w:val="15"/>
                <w:lang w:val="en-US" w:eastAsia="zh-CN"/>
              </w:rPr>
              <w:t>0.096</w:t>
            </w:r>
          </w:p>
        </w:tc>
        <w:tc>
          <w:tcPr>
            <w:tcW w:w="800" w:type="dxa"/>
            <w:tcBorders>
              <w:bottom w:val="single" w:color="auto" w:sz="4" w:space="0"/>
            </w:tcBorders>
            <w:noWrap w:val="0"/>
            <w:vAlign w:val="center"/>
          </w:tcPr>
          <w:p>
            <w:pPr>
              <w:widowControl w:val="0"/>
              <w:overflowPunct w:val="0"/>
              <w:jc w:val="center"/>
              <w:rPr>
                <w:rFonts w:hint="default" w:ascii="Times New Roman" w:hAnsi="Times New Roman" w:eastAsia="仿宋"/>
                <w:kern w:val="2"/>
                <w:sz w:val="15"/>
                <w:szCs w:val="15"/>
                <w:lang w:val="en-US" w:eastAsia="zh-CN"/>
              </w:rPr>
            </w:pPr>
            <w:r>
              <w:rPr>
                <w:rFonts w:hint="eastAsia" w:ascii="Times New Roman" w:hAnsi="Times New Roman" w:eastAsia="仿宋"/>
                <w:sz w:val="15"/>
                <w:szCs w:val="15"/>
                <w:lang w:val="en-US" w:eastAsia="zh-CN"/>
              </w:rPr>
              <w:t>0.368</w:t>
            </w:r>
          </w:p>
        </w:tc>
        <w:tc>
          <w:tcPr>
            <w:tcW w:w="988" w:type="dxa"/>
            <w:tcBorders>
              <w:bottom w:val="single" w:color="auto" w:sz="4" w:space="0"/>
            </w:tcBorders>
            <w:noWrap w:val="0"/>
            <w:vAlign w:val="center"/>
          </w:tcPr>
          <w:p>
            <w:pPr>
              <w:widowControl w:val="0"/>
              <w:overflowPunct w:val="0"/>
              <w:jc w:val="center"/>
              <w:rPr>
                <w:rFonts w:hint="default" w:ascii="Times New Roman" w:hAnsi="Times New Roman" w:eastAsia="仿宋"/>
                <w:kern w:val="2"/>
                <w:sz w:val="15"/>
                <w:szCs w:val="15"/>
                <w:lang w:val="en-US" w:eastAsia="zh-CN"/>
              </w:rPr>
            </w:pPr>
            <w:r>
              <w:rPr>
                <w:rFonts w:hint="eastAsia" w:ascii="Times New Roman" w:hAnsi="Times New Roman" w:eastAsia="仿宋"/>
                <w:sz w:val="15"/>
                <w:szCs w:val="15"/>
                <w:lang w:val="en-US" w:eastAsia="zh-CN"/>
              </w:rPr>
              <w:t>0.842</w:t>
            </w:r>
          </w:p>
        </w:tc>
        <w:tc>
          <w:tcPr>
            <w:tcW w:w="687" w:type="dxa"/>
            <w:tcBorders>
              <w:bottom w:val="single" w:color="auto" w:sz="4" w:space="0"/>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0.968</w:t>
            </w:r>
          </w:p>
        </w:tc>
        <w:tc>
          <w:tcPr>
            <w:tcW w:w="962" w:type="dxa"/>
            <w:tcBorders>
              <w:bottom w:val="single" w:color="auto" w:sz="4" w:space="0"/>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1.305</w:t>
            </w:r>
          </w:p>
        </w:tc>
        <w:tc>
          <w:tcPr>
            <w:tcW w:w="612" w:type="dxa"/>
            <w:tcBorders>
              <w:bottom w:val="single" w:color="auto" w:sz="4" w:space="0"/>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0.104</w:t>
            </w:r>
          </w:p>
        </w:tc>
        <w:tc>
          <w:tcPr>
            <w:tcW w:w="750" w:type="dxa"/>
            <w:tcBorders>
              <w:bottom w:val="single" w:color="auto" w:sz="4" w:space="0"/>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0.185</w:t>
            </w:r>
          </w:p>
        </w:tc>
        <w:tc>
          <w:tcPr>
            <w:tcW w:w="925" w:type="dxa"/>
            <w:tcBorders>
              <w:bottom w:val="single" w:color="auto" w:sz="4" w:space="0"/>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0.179</w:t>
            </w:r>
          </w:p>
        </w:tc>
        <w:tc>
          <w:tcPr>
            <w:tcW w:w="800" w:type="dxa"/>
            <w:tcBorders>
              <w:bottom w:val="single" w:color="auto" w:sz="4" w:space="0"/>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0.0342</w:t>
            </w:r>
          </w:p>
        </w:tc>
        <w:tc>
          <w:tcPr>
            <w:tcW w:w="625" w:type="dxa"/>
            <w:tcBorders>
              <w:bottom w:val="single" w:color="auto" w:sz="4" w:space="0"/>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0.168</w:t>
            </w:r>
          </w:p>
        </w:tc>
        <w:tc>
          <w:tcPr>
            <w:tcW w:w="788" w:type="dxa"/>
            <w:tcBorders>
              <w:bottom w:val="single" w:color="auto" w:sz="4" w:space="0"/>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0.327</w:t>
            </w:r>
          </w:p>
        </w:tc>
        <w:tc>
          <w:tcPr>
            <w:tcW w:w="921" w:type="dxa"/>
            <w:tcBorders>
              <w:bottom w:val="single" w:color="auto" w:sz="4" w:space="0"/>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0.0532</w:t>
            </w:r>
          </w:p>
        </w:tc>
      </w:tr>
    </w:tbl>
    <w:p>
      <w:pPr>
        <w:spacing w:before="180" w:beforeLines="50" w:after="180" w:afterLines="50" w:line="220" w:lineRule="atLeast"/>
        <w:rPr>
          <w:rFonts w:hint="eastAsia" w:ascii="黑体" w:hAnsi="黑体" w:eastAsia="黑体" w:cs="黑体"/>
          <w:sz w:val="21"/>
          <w:szCs w:val="21"/>
          <w:lang w:val="en-US" w:eastAsia="zh-CN"/>
        </w:rPr>
      </w:pPr>
    </w:p>
    <w:p>
      <w:pPr>
        <w:spacing w:before="180" w:beforeLines="50" w:after="180" w:afterLines="50" w:line="220" w:lineRule="atLeast"/>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3  分析方法</w:t>
      </w:r>
    </w:p>
    <w:p>
      <w:pPr>
        <w:pStyle w:val="2"/>
        <w:spacing w:after="0" w:line="240" w:lineRule="atLeast"/>
        <w:ind w:firstLine="420"/>
        <w:jc w:val="left"/>
        <w:rPr>
          <w:rFonts w:hint="eastAsia" w:ascii="宋体" w:hAnsi="宋体" w:cs="宋体"/>
          <w:sz w:val="18"/>
          <w:szCs w:val="18"/>
          <w:lang w:val="en-US" w:eastAsia="zh-CN"/>
        </w:rPr>
      </w:pPr>
      <w:r>
        <w:rPr>
          <w:rFonts w:hint="eastAsia" w:ascii="宋体" w:hAnsi="宋体" w:eastAsia="宋体" w:cs="宋体"/>
          <w:sz w:val="18"/>
          <w:szCs w:val="18"/>
          <w:lang w:val="en-US" w:eastAsia="zh-CN"/>
        </w:rPr>
        <w:t>薪资问题本质上就是一个劳动力市场定价的问题。一系列因素会影响到薪资的上限和下限。首先，薪资的上限由边际生产率决定。作为一个企业经济体，总体上需要成本小于收益才能保证组织的生存。假定企业的其他成本由企业的现有状态来决定，那么企业的边际成本主要指的就是薪酬，而员工的边际产出则由边际生产率决定</w:t>
      </w:r>
      <w:r>
        <w:rPr>
          <w:rFonts w:hint="eastAsia" w:ascii="宋体" w:hAnsi="宋体" w:cs="宋体"/>
          <w:sz w:val="18"/>
          <w:szCs w:val="18"/>
          <w:lang w:val="en-US" w:eastAsia="zh-CN"/>
        </w:rPr>
        <w:t>。这样，员工的边际生产率就为企业所能提供的薪资设定了一个上限。由于新员工的生产率在进行生产活动之前是不确定的。企业会以其以往的生产率水平、技能水平、学历层次等因素来推断其生产率。</w:t>
      </w:r>
    </w:p>
    <w:p>
      <w:pPr>
        <w:pStyle w:val="2"/>
        <w:spacing w:after="0" w:line="240" w:lineRule="atLeast"/>
        <w:ind w:firstLine="420"/>
        <w:jc w:val="left"/>
        <w:rPr>
          <w:rFonts w:hint="eastAsia" w:ascii="宋体" w:hAnsi="宋体" w:cs="宋体"/>
          <w:sz w:val="18"/>
          <w:szCs w:val="18"/>
          <w:lang w:val="en-US" w:eastAsia="zh-CN"/>
        </w:rPr>
      </w:pPr>
      <w:r>
        <w:rPr>
          <w:rFonts w:hint="eastAsia" w:ascii="宋体" w:hAnsi="宋体" w:cs="宋体"/>
          <w:sz w:val="18"/>
          <w:szCs w:val="18"/>
          <w:lang w:val="en-US" w:eastAsia="zh-CN"/>
        </w:rPr>
        <w:t>其次，薪资的下限由企业的薪酬管理策略决定。薪酬管理策略首先要满足国家相关法律的要求，还会体现企业的人力资源策略。此外，发展阶段、规模大小行业特征等其他因素也会在不同程度上影响企业的薪酬策略。总之，由于企业的薪酬策略往往与其所处地区、所在行业、规模、所有制等因素有关，所以这些企业特征成为决定毕业生薪资下限的因素。</w:t>
      </w:r>
    </w:p>
    <w:p>
      <w:pPr>
        <w:pStyle w:val="2"/>
        <w:numPr>
          <w:ilvl w:val="0"/>
          <w:numId w:val="1"/>
        </w:numPr>
        <w:spacing w:after="0" w:line="240" w:lineRule="atLeast"/>
        <w:ind w:firstLine="420"/>
        <w:jc w:val="left"/>
        <w:rPr>
          <w:rFonts w:hint="default" w:ascii="宋体" w:hAnsi="宋体" w:cs="宋体"/>
          <w:sz w:val="18"/>
          <w:szCs w:val="18"/>
          <w:lang w:val="en-US" w:eastAsia="zh-CN"/>
        </w:rPr>
      </w:pPr>
      <w:r>
        <w:rPr>
          <w:rFonts w:hint="eastAsia" w:ascii="宋体" w:hAnsi="宋体" w:cs="宋体"/>
          <w:sz w:val="18"/>
          <w:szCs w:val="18"/>
          <w:lang w:val="en-US" w:eastAsia="zh-CN"/>
        </w:rPr>
        <w:t xml:space="preserve">劳动率市场状况会影响薪资的上限和下限。由于经济总体状况、求职者总量与结构等方面的差异，企业会面临一个松紧程度不同的劳动力市场。在一个趋于宽松的劳动力市场中，薪资的上限和下限都会随着劳动力市场的趋松而下降（如图1）。                </w:t>
      </w:r>
      <w:r>
        <w:drawing>
          <wp:inline distT="0" distB="0" distL="114300" distR="114300">
            <wp:extent cx="1911985" cy="1077595"/>
            <wp:effectExtent l="0" t="0" r="1206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1911985" cy="1077595"/>
                    </a:xfrm>
                    <a:prstGeom prst="rect">
                      <a:avLst/>
                    </a:prstGeom>
                    <a:noFill/>
                    <a:ln>
                      <a:noFill/>
                    </a:ln>
                  </pic:spPr>
                </pic:pic>
              </a:graphicData>
            </a:graphic>
          </wp:inline>
        </w:drawing>
      </w:r>
    </w:p>
    <w:p>
      <w:pPr>
        <w:pStyle w:val="2"/>
        <w:numPr>
          <w:ilvl w:val="0"/>
          <w:numId w:val="0"/>
        </w:numPr>
        <w:spacing w:after="0" w:line="240" w:lineRule="atLeast"/>
        <w:jc w:val="left"/>
        <w:rPr>
          <w:rFonts w:hint="default" w:ascii="宋体" w:hAnsi="宋体" w:cs="宋体"/>
          <w:sz w:val="18"/>
          <w:szCs w:val="18"/>
          <w:lang w:val="en-US" w:eastAsia="zh-CN"/>
        </w:rPr>
      </w:pPr>
      <w:r>
        <w:rPr>
          <w:rFonts w:hint="eastAsia" w:ascii="宋体" w:hAnsi="宋体" w:cs="宋体"/>
          <w:sz w:val="18"/>
          <w:szCs w:val="18"/>
          <w:lang w:val="en-US" w:eastAsia="zh-CN"/>
        </w:rPr>
        <w:t xml:space="preserve">                                                             </w:t>
      </w:r>
      <w:r>
        <w:rPr>
          <w:rFonts w:hint="eastAsia" w:ascii="宋体" w:hAnsi="宋体"/>
          <w:sz w:val="15"/>
          <w:szCs w:val="15"/>
          <w:lang w:val="en-US" w:eastAsia="zh-CN"/>
        </w:rPr>
        <w:t>图1 薪资决定因素及其影响</w:t>
      </w:r>
    </w:p>
    <w:p>
      <w:pPr>
        <w:pStyle w:val="2"/>
        <w:spacing w:after="0" w:line="240" w:lineRule="atLeast"/>
        <w:ind w:firstLine="360" w:firstLineChars="200"/>
        <w:jc w:val="left"/>
        <w:rPr>
          <w:rFonts w:hint="eastAsia" w:ascii="宋体" w:hAnsi="宋体"/>
          <w:sz w:val="18"/>
          <w:szCs w:val="18"/>
          <w:lang w:val="en-US" w:eastAsia="zh-CN"/>
        </w:rPr>
      </w:pPr>
      <w:r>
        <w:rPr>
          <w:rFonts w:hint="eastAsia" w:ascii="宋体" w:hAnsi="宋体"/>
          <w:sz w:val="18"/>
          <w:szCs w:val="18"/>
          <w:lang w:val="en-US" w:eastAsia="zh-CN"/>
        </w:rPr>
        <w:t>总之，供方、需方、市场三者的理论模型以及供需双方的搜索行为共同决定IT行业薪资发展。</w:t>
      </w:r>
    </w:p>
    <w:p>
      <w:pPr>
        <w:pStyle w:val="2"/>
        <w:spacing w:after="0" w:line="240" w:lineRule="atLeast"/>
        <w:jc w:val="left"/>
        <w:rPr>
          <w:rFonts w:hint="eastAsia" w:ascii="宋体" w:hAnsi="宋体"/>
          <w:sz w:val="15"/>
          <w:szCs w:val="15"/>
          <w:lang w:val="en-US" w:eastAsia="zh-CN"/>
        </w:rPr>
      </w:pPr>
    </w:p>
    <w:p>
      <w:pPr>
        <w:pStyle w:val="2"/>
        <w:spacing w:after="0" w:line="240" w:lineRule="atLeast"/>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  结论</w:t>
      </w:r>
    </w:p>
    <w:p>
      <w:pPr>
        <w:pStyle w:val="2"/>
        <w:spacing w:after="0" w:line="240" w:lineRule="atLeast"/>
        <w:ind w:firstLine="420"/>
        <w:jc w:val="left"/>
        <w:rPr>
          <w:rFonts w:hint="eastAsia" w:ascii="宋体" w:hAnsi="宋体" w:cs="宋体"/>
          <w:sz w:val="18"/>
          <w:szCs w:val="18"/>
          <w:lang w:val="en-US" w:eastAsia="zh-CN"/>
        </w:rPr>
      </w:pPr>
      <w:r>
        <w:rPr>
          <w:rFonts w:hint="eastAsia" w:ascii="宋体" w:hAnsi="宋体" w:cs="宋体"/>
          <w:sz w:val="18"/>
          <w:szCs w:val="18"/>
          <w:lang w:val="en-US" w:eastAsia="zh-CN"/>
        </w:rPr>
        <w:t>大学毕业生的性别、学历、工作经验、学校、专业、所属部门以及企业的所有制形式、规模等变量解释了约70%大学生起薪差异，说明企业总体上是根据一些可观测的特性来决定大学生的薪资。</w:t>
      </w:r>
    </w:p>
    <w:p>
      <w:pPr>
        <w:pStyle w:val="2"/>
        <w:spacing w:after="0" w:line="240" w:lineRule="atLeast"/>
        <w:ind w:firstLine="420"/>
        <w:jc w:val="left"/>
        <w:rPr>
          <w:rFonts w:hint="eastAsia" w:ascii="宋体" w:hAnsi="宋体" w:cs="宋体"/>
          <w:sz w:val="18"/>
          <w:szCs w:val="18"/>
          <w:lang w:val="en-US" w:eastAsia="zh-CN"/>
        </w:rPr>
      </w:pPr>
      <w:r>
        <w:rPr>
          <w:rFonts w:hint="eastAsia" w:ascii="宋体" w:hAnsi="宋体" w:eastAsia="宋体" w:cs="宋体"/>
          <w:sz w:val="18"/>
          <w:szCs w:val="18"/>
          <w:lang w:val="en-US" w:eastAsia="zh-CN"/>
        </w:rPr>
        <w:t>对于不同学历的毕业生</w:t>
      </w:r>
      <w:r>
        <w:rPr>
          <w:rFonts w:hint="eastAsia" w:ascii="宋体" w:hAnsi="宋体" w:cs="宋体"/>
          <w:sz w:val="18"/>
          <w:szCs w:val="18"/>
          <w:lang w:val="en-US" w:eastAsia="zh-CN"/>
        </w:rPr>
        <w:t>，其薪资的决定因素存在明显差异，而差异的背后，是企业对不同学历毕业生采取的不同雇佣策略。企业会在转移生产率不确定性风险与获取优秀人才之间做出平衡[2]。事实上在这方面，本科阶段仍弱于硕士阶段甚至博士阶段。可以说企业既可以直接考察其专业技术水平来判断其生产率，也可通过学校、专业、性别等标准来推测其生产率，进而通过压缩本科生的薪资等手段转移了在雇佣后生产率不确定性的风险[3]。</w:t>
      </w:r>
    </w:p>
    <w:p>
      <w:pPr>
        <w:pStyle w:val="2"/>
        <w:spacing w:after="0" w:line="240" w:lineRule="atLeast"/>
        <w:ind w:firstLine="420"/>
        <w:jc w:val="left"/>
        <w:rPr>
          <w:rFonts w:hint="eastAsia" w:ascii="黑体" w:hAnsi="黑体" w:eastAsia="黑体" w:cs="黑体"/>
          <w:sz w:val="21"/>
          <w:szCs w:val="21"/>
          <w:lang w:val="en-US" w:eastAsia="zh-CN"/>
        </w:rPr>
      </w:pPr>
      <w:r>
        <w:rPr>
          <w:rFonts w:hint="eastAsia" w:ascii="宋体" w:hAnsi="宋体" w:cs="宋体"/>
          <w:sz w:val="18"/>
          <w:szCs w:val="18"/>
          <w:lang w:val="en-US" w:eastAsia="zh-CN"/>
        </w:rPr>
        <w:t>本文利用某工业园区IT企业的薪酬调查数据，对大学毕业生薪资的决定因素进行了分析。研究发现，大学生薪资总体上受性别、学历、学校、专业、所属部门、企业所有制形式、规模等显在特征变量影响程度较大，且不同学历也会带来不同的薪资差异，不同所有制企业的薪资决定因素也有所不同。当然，这个过程中对其他各种因素的影响过程讨论仍不够充分，进一步的研究仍值得期待。</w:t>
      </w:r>
      <w:r>
        <w:rPr>
          <w:rFonts w:hint="eastAsia" w:ascii="黑体" w:hAnsi="黑体" w:eastAsia="黑体" w:cs="黑体"/>
          <w:sz w:val="21"/>
          <w:szCs w:val="21"/>
          <w:lang w:val="en-US" w:eastAsia="zh-CN"/>
        </w:rPr>
        <w:t xml:space="preserve">  </w:t>
      </w:r>
    </w:p>
    <w:p>
      <w:pPr>
        <w:pStyle w:val="2"/>
        <w:spacing w:after="0" w:line="240" w:lineRule="atLeast"/>
        <w:ind w:firstLine="420"/>
        <w:jc w:val="left"/>
        <w:rPr>
          <w:rFonts w:hint="eastAsia" w:ascii="黑体" w:hAnsi="黑体" w:eastAsia="黑体" w:cs="黑体"/>
          <w:sz w:val="21"/>
          <w:szCs w:val="21"/>
          <w:lang w:val="en-US" w:eastAsia="zh-CN"/>
        </w:rPr>
      </w:pPr>
    </w:p>
    <w:p>
      <w:pPr>
        <w:pStyle w:val="2"/>
        <w:spacing w:after="0" w:line="240" w:lineRule="atLeast"/>
        <w:ind w:firstLine="420"/>
        <w:jc w:val="left"/>
      </w:pPr>
      <w:r>
        <w:rPr>
          <w:rFonts w:hint="eastAsia" w:ascii="黑体" w:hAnsi="黑体" w:eastAsia="黑体" w:cs="黑体"/>
          <w:sz w:val="21"/>
          <w:szCs w:val="21"/>
          <w:lang w:val="en-US" w:eastAsia="zh-CN"/>
        </w:rPr>
        <w:t xml:space="preserve">          </w:t>
      </w:r>
      <w:r>
        <w:rPr>
          <w:rFonts w:hint="eastAsia" w:ascii="宋体" w:hAnsi="宋体"/>
          <w:sz w:val="15"/>
          <w:szCs w:val="15"/>
          <w:lang w:val="en-US" w:eastAsia="zh-CN"/>
        </w:rPr>
        <w:t xml:space="preserve">                                             </w:t>
      </w:r>
    </w:p>
    <w:p>
      <w:pPr>
        <w:jc w:val="center"/>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参 考 文 献</w:t>
      </w:r>
    </w:p>
    <w:p>
      <w:pPr>
        <w:numPr>
          <w:ilvl w:val="0"/>
          <w:numId w:val="2"/>
        </w:numPr>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林毓铭 大学生起薪工资走低现象的经济学分析—兼论政府社会保障职能[J].教育与经济，2006，（2）.</w:t>
      </w:r>
    </w:p>
    <w:p>
      <w:pPr>
        <w:numPr>
          <w:ilvl w:val="0"/>
          <w:numId w:val="2"/>
        </w:numPr>
        <w:jc w:val="left"/>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曾湘泉 变革中的就业环境与中国大学生就业[J].经济研究，2004，（6）.</w:t>
      </w:r>
    </w:p>
    <w:p>
      <w:pPr>
        <w:numPr>
          <w:ilvl w:val="0"/>
          <w:numId w:val="2"/>
        </w:numPr>
        <w:jc w:val="left"/>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曾湘泉 薪酬、宏观、微观与趋势[M].北京：中国人民大学出版社，2006.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DA8CA3"/>
    <w:multiLevelType w:val="singleLevel"/>
    <w:tmpl w:val="89DA8CA3"/>
    <w:lvl w:ilvl="0" w:tentative="0">
      <w:start w:val="3"/>
      <w:numFmt w:val="chineseCounting"/>
      <w:suff w:val="nothing"/>
      <w:lvlText w:val="第%1，"/>
      <w:lvlJc w:val="left"/>
      <w:rPr>
        <w:rFonts w:hint="eastAsia"/>
      </w:rPr>
    </w:lvl>
  </w:abstractNum>
  <w:abstractNum w:abstractNumId="1">
    <w:nsid w:val="159E61E9"/>
    <w:multiLevelType w:val="singleLevel"/>
    <w:tmpl w:val="159E61E9"/>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560CC8"/>
    <w:rsid w:val="02D7525D"/>
    <w:rsid w:val="08693778"/>
    <w:rsid w:val="09E167DF"/>
    <w:rsid w:val="0A8068B4"/>
    <w:rsid w:val="0CB054D8"/>
    <w:rsid w:val="0D931ECB"/>
    <w:rsid w:val="0E601F79"/>
    <w:rsid w:val="0F622BC0"/>
    <w:rsid w:val="10060397"/>
    <w:rsid w:val="10162019"/>
    <w:rsid w:val="108C4D9E"/>
    <w:rsid w:val="13CB1423"/>
    <w:rsid w:val="14CE0FCD"/>
    <w:rsid w:val="185D25D4"/>
    <w:rsid w:val="192E5D5E"/>
    <w:rsid w:val="19C27B58"/>
    <w:rsid w:val="1B421676"/>
    <w:rsid w:val="222E77C3"/>
    <w:rsid w:val="23EB4B35"/>
    <w:rsid w:val="25AC5A9E"/>
    <w:rsid w:val="27700AFD"/>
    <w:rsid w:val="2D9433C4"/>
    <w:rsid w:val="2DA92A86"/>
    <w:rsid w:val="2EA34EBF"/>
    <w:rsid w:val="34281C6E"/>
    <w:rsid w:val="39A869CA"/>
    <w:rsid w:val="3EA4446F"/>
    <w:rsid w:val="413C2CCD"/>
    <w:rsid w:val="41B82BF0"/>
    <w:rsid w:val="42464629"/>
    <w:rsid w:val="4319207D"/>
    <w:rsid w:val="433807BF"/>
    <w:rsid w:val="44FA651C"/>
    <w:rsid w:val="46E26F51"/>
    <w:rsid w:val="4AA90ED0"/>
    <w:rsid w:val="4C0B115A"/>
    <w:rsid w:val="4C992219"/>
    <w:rsid w:val="4D6D04E6"/>
    <w:rsid w:val="4E0F7A37"/>
    <w:rsid w:val="52A7573F"/>
    <w:rsid w:val="54C47BEB"/>
    <w:rsid w:val="56DD438C"/>
    <w:rsid w:val="5903454A"/>
    <w:rsid w:val="5C4D7D83"/>
    <w:rsid w:val="5E58302E"/>
    <w:rsid w:val="5E726C4C"/>
    <w:rsid w:val="5E7A0B19"/>
    <w:rsid w:val="63FB4B13"/>
    <w:rsid w:val="65B81949"/>
    <w:rsid w:val="686A23C0"/>
    <w:rsid w:val="6EBE1603"/>
    <w:rsid w:val="6F2B50FB"/>
    <w:rsid w:val="6FF46911"/>
    <w:rsid w:val="71522545"/>
    <w:rsid w:val="72D05A76"/>
    <w:rsid w:val="73A44A3C"/>
    <w:rsid w:val="77F42267"/>
    <w:rsid w:val="792D1A97"/>
    <w:rsid w:val="7ABC6723"/>
    <w:rsid w:val="7BB93720"/>
    <w:rsid w:val="7DF115CB"/>
    <w:rsid w:val="7E7B2F9A"/>
    <w:rsid w:val="7E8637BD"/>
    <w:rsid w:val="7F190CB0"/>
    <w:rsid w:val="7F560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imes New Roman"/>
      <w:sz w:val="22"/>
      <w:szCs w:val="22"/>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widowControl w:val="0"/>
      <w:adjustRightInd/>
      <w:snapToGrid/>
      <w:spacing w:after="120"/>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2021-04-05T07:28:00Z</dcterms:created>
  <dc:creator>青叶竹</dc:creator>
  <cp:lastModifiedBy>青叶竹</cp:lastModifiedBy>
  <dcterms:modified xsi:type="dcterms:W3CDTF">2021-04-05T09:30:53Z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