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基于2018-2019年IT行业薪酬调研的变化分析报告</w:t>
      </w:r>
    </w:p>
    <w:p>
      <w:pPr>
        <w:jc w:val="left"/>
        <w:rPr>
          <w:rFonts w:hint="eastAsia" w:ascii="宋体" w:hAnsi="宋体" w:eastAsia="宋体" w:cs="宋体"/>
          <w:sz w:val="21"/>
          <w:szCs w:val="21"/>
          <w:lang w:val="en-US" w:eastAsia="zh-CN"/>
        </w:rPr>
      </w:pPr>
    </w:p>
    <w:p>
      <w:pPr>
        <w:jc w:val="left"/>
        <w:rPr>
          <w:rFonts w:hint="default" w:ascii="宋体" w:hAnsi="宋体" w:eastAsia="宋体" w:cs="宋体"/>
          <w:sz w:val="21"/>
          <w:szCs w:val="21"/>
          <w:vertAlign w:val="superscript"/>
          <w:lang w:val="en-US" w:eastAsia="zh-CN"/>
        </w:rPr>
      </w:pPr>
      <w:r>
        <w:rPr>
          <w:rFonts w:hint="eastAsia" w:ascii="宋体" w:hAnsi="宋体" w:eastAsia="宋体" w:cs="宋体"/>
          <w:sz w:val="21"/>
          <w:szCs w:val="21"/>
          <w:lang w:val="en-US" w:eastAsia="zh-CN"/>
        </w:rPr>
        <w:t>王梓丞</w:t>
      </w:r>
      <w:r>
        <w:rPr>
          <w:rFonts w:hint="eastAsia" w:ascii="宋体" w:hAnsi="宋体" w:eastAsia="宋体" w:cs="宋体"/>
          <w:sz w:val="21"/>
          <w:szCs w:val="21"/>
          <w:vertAlign w:val="superscript"/>
          <w:lang w:val="en-US" w:eastAsia="zh-CN"/>
        </w:rPr>
        <w:t>1</w:t>
      </w:r>
    </w:p>
    <w:p>
      <w:pPr>
        <w:jc w:val="left"/>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1 大连理工大学软件学院 辽宁省 大连市 116620</w:t>
      </w:r>
    </w:p>
    <w:p>
      <w:pPr>
        <w:jc w:val="both"/>
        <w:rPr>
          <w:rFonts w:hint="eastAsia" w:ascii="宋体" w:hAnsi="宋体" w:eastAsia="宋体" w:cs="宋体"/>
          <w:sz w:val="18"/>
          <w:szCs w:val="18"/>
          <w:lang w:val="en-US" w:eastAsia="zh-CN"/>
        </w:rPr>
      </w:pPr>
    </w:p>
    <w:p>
      <w:pPr>
        <w:jc w:val="both"/>
        <w:rPr>
          <w:rFonts w:hint="eastAsia" w:ascii="仿宋" w:hAnsi="仿宋" w:eastAsia="仿宋" w:cs="仿宋"/>
          <w:sz w:val="18"/>
          <w:szCs w:val="18"/>
          <w:lang w:val="en-US" w:eastAsia="zh-CN"/>
        </w:rPr>
      </w:pPr>
      <w:r>
        <w:rPr>
          <w:rFonts w:hint="eastAsia" w:ascii="仿宋" w:hAnsi="仿宋" w:eastAsia="仿宋" w:cs="仿宋"/>
          <w:b/>
          <w:bCs/>
          <w:sz w:val="18"/>
          <w:szCs w:val="18"/>
          <w:lang w:val="en-US" w:eastAsia="zh-CN"/>
        </w:rPr>
        <w:t>摘 要</w:t>
      </w:r>
      <w:r>
        <w:rPr>
          <w:rFonts w:hint="eastAsia" w:ascii="仿宋" w:hAnsi="仿宋" w:eastAsia="仿宋" w:cs="仿宋"/>
          <w:sz w:val="18"/>
          <w:szCs w:val="18"/>
          <w:lang w:val="en-US" w:eastAsia="zh-CN"/>
        </w:rPr>
        <w:t xml:space="preserve">  随着IT行业的飞速发展，在中国IT行业步入2020年以来也展示了其独有的发展趋向和特色，随着中国IT行业从业者的增多，薪酬的增长也成为了焦点话题。调研分析采用了2018年到2019年的IT行业的相关薪酬数据，利用图表结合、控制变量等方式针对不同城市，不同等级的工作岗位进行了综合性的分析，得出了薪酬成长曲线和相关关键数值，最终结合现阶段中国IT行业云服务和人工智能业务的兴起预估了未来IT行业的薪酬变化方向，认为基层IT方面的人数和薪酬会降低，面向高技术高经验人群的工作岗位将会获得更好的薪酬前景。调查数据显示，虽然受到新冠疫情的影响，导致各行各业都产生了很大波动，但IT行业内大多数人的薪酬仍保持稳定。尽管现在中国经济仍存在很大不稳定和不确定性，行业动态也经历着迅速成长变化，但IT行业从业人员的前景仍然乐观光明。</w:t>
      </w:r>
    </w:p>
    <w:p>
      <w:pPr>
        <w:jc w:val="both"/>
        <w:rPr>
          <w:rFonts w:hint="default" w:ascii="宋体" w:hAnsi="宋体" w:eastAsia="宋体" w:cs="宋体"/>
          <w:sz w:val="18"/>
          <w:szCs w:val="18"/>
          <w:lang w:val="en-US" w:eastAsia="zh-CN"/>
        </w:rPr>
      </w:pPr>
      <w:r>
        <w:rPr>
          <w:rFonts w:hint="eastAsia" w:ascii="宋体" w:hAnsi="宋体" w:eastAsia="宋体" w:cs="宋体"/>
          <w:b/>
          <w:bCs/>
          <w:sz w:val="18"/>
          <w:szCs w:val="18"/>
          <w:lang w:val="en-US" w:eastAsia="zh-CN"/>
        </w:rPr>
        <w:t>关键词:</w:t>
      </w:r>
      <w:r>
        <w:rPr>
          <w:rFonts w:hint="eastAsia" w:ascii="宋体" w:hAnsi="宋体" w:eastAsia="宋体" w:cs="宋体"/>
          <w:sz w:val="18"/>
          <w:szCs w:val="18"/>
          <w:lang w:val="en-US" w:eastAsia="zh-CN"/>
        </w:rPr>
        <w:t xml:space="preserve">  IT；薪酬；城市；岗位</w:t>
      </w:r>
    </w:p>
    <w:p>
      <w:pPr>
        <w:jc w:val="both"/>
        <w:rPr>
          <w:rFonts w:hint="eastAsia" w:ascii="宋体" w:hAnsi="宋体" w:eastAsia="宋体" w:cs="宋体"/>
          <w:sz w:val="18"/>
          <w:szCs w:val="18"/>
          <w:lang w:val="en-US" w:eastAsia="zh-CN"/>
        </w:rPr>
      </w:pPr>
    </w:p>
    <w:p>
      <w:pPr>
        <w:jc w:val="both"/>
        <w:rPr>
          <w:rFonts w:hint="eastAsia" w:ascii="仿宋" w:hAnsi="仿宋" w:eastAsia="仿宋" w:cs="仿宋"/>
          <w:sz w:val="18"/>
          <w:szCs w:val="18"/>
          <w:lang w:val="en-US" w:eastAsia="zh-CN"/>
        </w:rPr>
      </w:pPr>
      <w:r>
        <w:rPr>
          <w:rFonts w:hint="eastAsia" w:ascii="黑体" w:hAnsi="黑体" w:eastAsia="黑体" w:cs="黑体"/>
          <w:sz w:val="21"/>
          <w:szCs w:val="21"/>
          <w:lang w:val="en-US" w:eastAsia="zh-CN"/>
        </w:rPr>
        <w:t>1 引言</w:t>
      </w:r>
    </w:p>
    <w:p>
      <w:pPr>
        <w:keepNext w:val="0"/>
        <w:keepLines w:val="0"/>
        <w:pageBreakBefore w:val="0"/>
        <w:widowControl w:val="0"/>
        <w:kinsoku/>
        <w:wordWrap/>
        <w:overflowPunct/>
        <w:topLinePunct w:val="0"/>
        <w:autoSpaceDE/>
        <w:autoSpaceDN/>
        <w:bidi w:val="0"/>
        <w:adjustRightInd/>
        <w:snapToGrid/>
        <w:ind w:firstLine="360" w:firstLineChars="200"/>
        <w:jc w:val="both"/>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自IT行业扩大发展以来，其高薪酬就一直受到人们的议论和关注，而随着IT行业的不断发展，人们对它的了解也越来越深入。在此基础上，是否进入IT行业，IT行业是否会下滑变成了备受关注的话题，不乏很多研究者表明，IT行业的薪酬会随着发展逐渐平稳，然后会断崖式降低，奉劝人们抓住高峰期，高峰期一过，便退出IT行业。但根据IT行业薪酬2018年至2019年的调查分析，IT行业仍存在巨大潜力，并且已经迈向新的领域，会有更多机会出现，未来IT行业的薪酬仍旧乐观。</w:t>
      </w:r>
    </w:p>
    <w:p>
      <w:pPr>
        <w:jc w:val="both"/>
        <w:rPr>
          <w:rFonts w:hint="eastAsia" w:ascii="宋体" w:hAnsi="宋体" w:eastAsia="宋体" w:cs="宋体"/>
          <w:sz w:val="18"/>
          <w:szCs w:val="18"/>
          <w:lang w:val="en-US" w:eastAsia="zh-CN"/>
        </w:rPr>
      </w:pP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 分析结果</w:t>
      </w:r>
    </w:p>
    <w:p>
      <w:pPr>
        <w:jc w:val="both"/>
        <w:rPr>
          <w:rFonts w:hint="default" w:ascii="黑体" w:hAnsi="黑体" w:eastAsia="黑体" w:cs="黑体"/>
          <w:sz w:val="18"/>
          <w:szCs w:val="18"/>
          <w:lang w:val="en-US" w:eastAsia="zh-CN"/>
        </w:rPr>
      </w:pPr>
      <w:r>
        <w:rPr>
          <w:rFonts w:hint="eastAsia" w:ascii="黑体" w:hAnsi="黑体" w:eastAsia="黑体" w:cs="黑体"/>
          <w:sz w:val="18"/>
          <w:szCs w:val="18"/>
          <w:lang w:val="en-US" w:eastAsia="zh-CN"/>
        </w:rPr>
        <w:t>2.1 调研准备</w:t>
      </w:r>
    </w:p>
    <w:p>
      <w:pPr>
        <w:numPr>
          <w:ilvl w:val="0"/>
          <w:numId w:val="0"/>
        </w:numPr>
        <w:ind w:firstLine="360" w:firstLineChars="20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本次调研划分了4种薪酬组合，分别为：薪酬1，由基本工资、补贴、奖金和福利组成；薪酬2，由年度固定薪酬、奖金和福利组成；薪酬3，由年度总现金和福利组成；薪酬4，由年度整体薪酬组成。</w:t>
      </w:r>
    </w:p>
    <w:p>
      <w:pPr>
        <w:numPr>
          <w:ilvl w:val="0"/>
          <w:numId w:val="0"/>
        </w:numPr>
        <w:ind w:firstLine="360" w:firstLineChars="200"/>
        <w:jc w:val="both"/>
        <w:rPr>
          <w:rFonts w:hint="eastAsia" w:ascii="宋体" w:hAnsi="宋体" w:eastAsia="宋体" w:cs="宋体"/>
          <w:sz w:val="24"/>
          <w:szCs w:val="24"/>
          <w:lang w:val="en-US" w:eastAsia="zh-CN"/>
        </w:rPr>
      </w:pPr>
      <w:r>
        <w:rPr>
          <w:rFonts w:hint="eastAsia" w:ascii="宋体" w:hAnsi="宋体" w:eastAsia="宋体" w:cs="宋体"/>
          <w:sz w:val="18"/>
          <w:szCs w:val="18"/>
          <w:lang w:val="en-US" w:eastAsia="zh-CN"/>
        </w:rPr>
        <w:t>针对不同的职位层级会有不同的薪酬变化趋势，调研依据职务重要性由高到低划分为：董事长、总经理级；总监、副总级；部门经理级；专业经理级；主管级；专员级；员工、助理级。这7个层级每一级还可以划分为3个小级，从小到大排列为1-21，等级越高，职务越重要，在相同条件下薪酬也理应越高。</w:t>
      </w:r>
    </w:p>
    <w:p>
      <w:pPr>
        <w:numPr>
          <w:ilvl w:val="0"/>
          <w:numId w:val="0"/>
        </w:numPr>
        <w:ind w:leftChars="0" w:firstLine="360" w:firstLineChars="200"/>
        <w:jc w:val="both"/>
        <w:rPr>
          <w:rFonts w:hint="eastAsia" w:ascii="宋体" w:hAnsi="宋体" w:eastAsia="宋体" w:cs="宋体"/>
          <w:sz w:val="24"/>
          <w:szCs w:val="24"/>
          <w:lang w:val="en-US" w:eastAsia="zh-CN"/>
        </w:rPr>
      </w:pPr>
      <w:r>
        <w:rPr>
          <w:rFonts w:hint="eastAsia" w:ascii="宋体" w:hAnsi="宋体" w:eastAsia="宋体" w:cs="宋体"/>
          <w:sz w:val="18"/>
          <w:szCs w:val="18"/>
          <w:lang w:val="en-US" w:eastAsia="zh-CN"/>
        </w:rPr>
        <w:t>对于一组数据的排序中（本次调研中一般情况为由低到高），通过调研认为如果有25%的数据低于一个数值，反映市场的较低端水平，该数值称为25分位值；如果有50%的数据低于一个数值，反映市场的中等水平，该数值称为50分位值（中位值）；如果有75%的数据低于一个数值，反映市场的较高端水平，该数值称为75分位值。</w:t>
      </w:r>
    </w:p>
    <w:p>
      <w:pPr>
        <w:numPr>
          <w:ilvl w:val="0"/>
          <w:numId w:val="0"/>
        </w:numPr>
        <w:ind w:leftChars="0" w:firstLine="360" w:firstLineChars="20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由于不同城市之间收入差距过大，调研依据城市经济指标和生活质量将所调研的城市划分为三级：一类城市，包括北京、上海、广州、深圳；二类城市，包括杭州、南京、天津、武汉、成都、厦门、苏州、重庆、福州、宁波、郑州等；三类城市，除一二类城市以外的省会城市、副省会城市和主要核心城市</w:t>
      </w:r>
      <w:r>
        <w:rPr>
          <w:rFonts w:hint="eastAsia" w:ascii="宋体" w:hAnsi="宋体" w:eastAsia="宋体" w:cs="宋体"/>
          <w:sz w:val="18"/>
          <w:szCs w:val="18"/>
          <w:vertAlign w:val="superscript"/>
          <w:lang w:val="en-US" w:eastAsia="zh-CN"/>
        </w:rPr>
        <w:t>[1]</w:t>
      </w:r>
      <w:r>
        <w:rPr>
          <w:rFonts w:hint="eastAsia" w:ascii="宋体" w:hAnsi="宋体" w:eastAsia="宋体" w:cs="宋体"/>
          <w:sz w:val="18"/>
          <w:szCs w:val="18"/>
          <w:lang w:val="en-US" w:eastAsia="zh-CN"/>
        </w:rPr>
        <w:t>。</w:t>
      </w:r>
    </w:p>
    <w:p>
      <w:pPr>
        <w:numPr>
          <w:ilvl w:val="0"/>
          <w:numId w:val="0"/>
        </w:numPr>
        <w:jc w:val="both"/>
        <w:rPr>
          <w:rFonts w:hint="eastAsia" w:ascii="黑体" w:hAnsi="黑体" w:eastAsia="黑体" w:cs="黑体"/>
          <w:sz w:val="18"/>
          <w:szCs w:val="18"/>
          <w:lang w:val="en-US" w:eastAsia="zh-CN"/>
        </w:rPr>
      </w:pPr>
    </w:p>
    <w:p>
      <w:pPr>
        <w:numPr>
          <w:ilvl w:val="0"/>
          <w:numId w:val="0"/>
        </w:numPr>
        <w:jc w:val="both"/>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2.2 调研结果</w:t>
      </w:r>
    </w:p>
    <w:p>
      <w:pPr>
        <w:numPr>
          <w:ilvl w:val="0"/>
          <w:numId w:val="0"/>
        </w:numPr>
        <w:ind w:firstLine="360" w:firstLineChars="20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调研结果展示出了IT行业的薪酬增长在稳步下滑，但薪酬依然居高不下，甚至在二、三线城市有崛起之势，而在很多一线城市，IT行业薪酬因工作职务登记的不同会相差过大，但差距不会加速扩大，基础IT行业将面临挑战。</w:t>
      </w:r>
    </w:p>
    <w:p>
      <w:pPr>
        <w:numPr>
          <w:ilvl w:val="0"/>
          <w:numId w:val="0"/>
        </w:numPr>
        <w:jc w:val="both"/>
        <w:rPr>
          <w:rFonts w:hint="eastAsia" w:ascii="宋体" w:hAnsi="宋体" w:eastAsia="宋体" w:cs="宋体"/>
          <w:sz w:val="18"/>
          <w:szCs w:val="18"/>
          <w:lang w:val="en-US" w:eastAsia="zh-CN"/>
        </w:rPr>
      </w:pPr>
    </w:p>
    <w:p>
      <w:pPr>
        <w:numPr>
          <w:ilvl w:val="0"/>
          <w:numId w:val="0"/>
        </w:numPr>
        <w:jc w:val="both"/>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3 分析方法</w:t>
      </w:r>
    </w:p>
    <w:p>
      <w:pPr>
        <w:numPr>
          <w:ilvl w:val="0"/>
          <w:numId w:val="0"/>
        </w:numPr>
        <w:jc w:val="both"/>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3.1 IT行业总体分析</w:t>
      </w:r>
    </w:p>
    <w:p>
      <w:pPr>
        <w:numPr>
          <w:ilvl w:val="0"/>
          <w:numId w:val="0"/>
        </w:numPr>
        <w:jc w:val="both"/>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3.1.1 IT行业人均工资</w:t>
      </w:r>
    </w:p>
    <w:p>
      <w:pPr>
        <w:numPr>
          <w:ilvl w:val="0"/>
          <w:numId w:val="0"/>
        </w:numPr>
        <w:ind w:firstLine="360" w:firstLineChars="200"/>
        <w:jc w:val="both"/>
      </w:pPr>
      <w:r>
        <w:rPr>
          <w:rFonts w:hint="eastAsia" w:ascii="宋体" w:hAnsi="宋体" w:eastAsia="宋体" w:cs="宋体"/>
          <w:sz w:val="18"/>
          <w:szCs w:val="18"/>
          <w:lang w:val="en-US" w:eastAsia="zh-CN"/>
        </w:rPr>
        <w:t>通过调研三类城市的IT行业全年薪酬（见表1），我们可以根据75分位值和25分位值估算三类城市的薪酬变动比，可以明显看出，一类城市和二类城市的薪酬变动比都高于100%，这意味着即时同在IT行业，收入差距十分巨大，并且职级较高的人员相对更多。三类城市虽然相对平和，但薪酬变动比也会接近100%，远高于50%，意味着IT行业整体而言收入差距会比较大。</w:t>
      </w:r>
    </w:p>
    <w:p>
      <w:pPr>
        <w:numPr>
          <w:ilvl w:val="0"/>
          <w:numId w:val="0"/>
        </w:numPr>
        <w:jc w:val="center"/>
        <w:rPr>
          <w:rFonts w:hint="eastAsia" w:ascii="宋体" w:hAnsi="宋体" w:eastAsia="宋体" w:cs="宋体"/>
          <w:sz w:val="15"/>
          <w:szCs w:val="15"/>
          <w:lang w:eastAsia="zh-CN"/>
        </w:rPr>
      </w:pPr>
    </w:p>
    <w:p>
      <w:pPr>
        <w:numPr>
          <w:ilvl w:val="0"/>
          <w:numId w:val="0"/>
        </w:num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表1 三类城市IT行业薪酬的分位值</w:t>
      </w:r>
    </w:p>
    <w:tbl>
      <w:tblPr>
        <w:tblStyle w:val="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auto" w:sz="4" w:space="0"/>
            </w:tcBorders>
          </w:tcPr>
          <w:p>
            <w:pPr>
              <w:numPr>
                <w:ilvl w:val="0"/>
                <w:numId w:val="0"/>
              </w:numPr>
              <w:jc w:val="center"/>
              <w:rPr>
                <w:rFonts w:hint="eastAsia" w:ascii="宋体" w:hAnsi="宋体" w:eastAsia="宋体" w:cs="宋体"/>
                <w:sz w:val="15"/>
                <w:szCs w:val="15"/>
                <w:vertAlign w:val="baseline"/>
                <w:lang w:val="en-US" w:eastAsia="zh-CN"/>
              </w:rPr>
            </w:pPr>
          </w:p>
        </w:tc>
        <w:tc>
          <w:tcPr>
            <w:tcW w:w="2130" w:type="dxa"/>
            <w:tcBorders>
              <w:bottom w:val="single" w:color="auto" w:sz="4" w:space="0"/>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25分位值</w:t>
            </w:r>
          </w:p>
        </w:tc>
        <w:tc>
          <w:tcPr>
            <w:tcW w:w="2131" w:type="dxa"/>
            <w:tcBorders>
              <w:bottom w:val="single" w:color="auto" w:sz="4" w:space="0"/>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50分位值</w:t>
            </w:r>
          </w:p>
        </w:tc>
        <w:tc>
          <w:tcPr>
            <w:tcW w:w="2131" w:type="dxa"/>
            <w:tcBorders>
              <w:bottom w:val="single" w:color="auto" w:sz="4" w:space="0"/>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75分位值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一类城市</w:t>
            </w:r>
          </w:p>
        </w:tc>
        <w:tc>
          <w:tcPr>
            <w:tcW w:w="2130" w:type="dxa"/>
            <w:tcBorders>
              <w:top w:val="single" w:color="auto" w:sz="4" w:space="0"/>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99885</w:t>
            </w:r>
          </w:p>
        </w:tc>
        <w:tc>
          <w:tcPr>
            <w:tcW w:w="2131" w:type="dxa"/>
            <w:tcBorders>
              <w:top w:val="single" w:color="auto" w:sz="4" w:space="0"/>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158235</w:t>
            </w:r>
          </w:p>
        </w:tc>
        <w:tc>
          <w:tcPr>
            <w:tcW w:w="2131" w:type="dxa"/>
            <w:tcBorders>
              <w:top w:val="single" w:color="auto" w:sz="4" w:space="0"/>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228863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二类城市</w:t>
            </w:r>
          </w:p>
        </w:tc>
        <w:tc>
          <w:tcPr>
            <w:tcW w:w="2130" w:type="dxa"/>
            <w:tcBorders>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85663</w:t>
            </w:r>
          </w:p>
        </w:tc>
        <w:tc>
          <w:tcPr>
            <w:tcW w:w="2131" w:type="dxa"/>
            <w:tcBorders>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112957</w:t>
            </w:r>
          </w:p>
        </w:tc>
        <w:tc>
          <w:tcPr>
            <w:tcW w:w="2131" w:type="dxa"/>
            <w:tcBorders>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168732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三类城市</w:t>
            </w:r>
          </w:p>
        </w:tc>
        <w:tc>
          <w:tcPr>
            <w:tcW w:w="2130" w:type="dxa"/>
            <w:tcBorders>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79852</w:t>
            </w:r>
          </w:p>
        </w:tc>
        <w:tc>
          <w:tcPr>
            <w:tcW w:w="2131" w:type="dxa"/>
            <w:tcBorders>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99841</w:t>
            </w:r>
          </w:p>
        </w:tc>
        <w:tc>
          <w:tcPr>
            <w:tcW w:w="2131" w:type="dxa"/>
            <w:tcBorders>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129884</w:t>
            </w:r>
          </w:p>
        </w:tc>
      </w:tr>
    </w:tbl>
    <w:p>
      <w:pPr>
        <w:numPr>
          <w:ilvl w:val="0"/>
          <w:numId w:val="0"/>
        </w:numPr>
        <w:jc w:val="both"/>
        <w:rPr>
          <w:rFonts w:hint="default"/>
          <w:lang w:val="en-US" w:eastAsia="zh-CN"/>
        </w:rPr>
      </w:pPr>
    </w:p>
    <w:p>
      <w:pPr>
        <w:numPr>
          <w:ilvl w:val="0"/>
          <w:numId w:val="0"/>
        </w:numPr>
        <w:jc w:val="both"/>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3.1.2 IT行业薪酬涨幅</w:t>
      </w:r>
    </w:p>
    <w:p>
      <w:pPr>
        <w:numPr>
          <w:ilvl w:val="0"/>
          <w:numId w:val="0"/>
        </w:numPr>
        <w:ind w:firstLine="360" w:firstLineChars="20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虽然整体趋势是IT行业薪酬略有下降，但在高分位值地段涨幅下降更为明显（见表2），意味着IT行业的薪酬涨幅还需在下降几年才会进入稳定期，未来几年涨幅仍会有明显降低。然而相比其他领域的薪酬情况，IT行业整体薪酬涨幅仍然居高不下，特别在薪酬基数大的情况下，仍旧会成为未来几年的热门职业领域。</w:t>
      </w:r>
    </w:p>
    <w:p>
      <w:pPr>
        <w:numPr>
          <w:ilvl w:val="0"/>
          <w:numId w:val="0"/>
        </w:numPr>
        <w:jc w:val="both"/>
        <w:rPr>
          <w:rFonts w:hint="eastAsia" w:ascii="宋体" w:hAnsi="宋体" w:eastAsia="宋体" w:cs="宋体"/>
          <w:sz w:val="15"/>
          <w:szCs w:val="15"/>
          <w:lang w:eastAsia="zh-CN"/>
        </w:rPr>
      </w:pPr>
    </w:p>
    <w:p>
      <w:pPr>
        <w:numPr>
          <w:ilvl w:val="0"/>
          <w:numId w:val="0"/>
        </w:numPr>
        <w:jc w:val="center"/>
        <w:rPr>
          <w:rFonts w:hint="eastAsia" w:ascii="宋体" w:hAnsi="宋体" w:eastAsia="宋体" w:cs="宋体"/>
          <w:sz w:val="15"/>
          <w:szCs w:val="15"/>
          <w:lang w:eastAsia="zh-CN"/>
        </w:rPr>
      </w:pPr>
      <w:r>
        <w:rPr>
          <w:rFonts w:hint="eastAsia" w:ascii="宋体" w:hAnsi="宋体" w:eastAsia="宋体" w:cs="宋体"/>
          <w:sz w:val="15"/>
          <w:szCs w:val="15"/>
          <w:lang w:val="en-US" w:eastAsia="zh-CN"/>
        </w:rPr>
        <w:t>表2 2018年和2019年IT行业薪酬涨幅分位值</w:t>
      </w:r>
    </w:p>
    <w:tbl>
      <w:tblPr>
        <w:tblStyle w:val="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auto" w:sz="4" w:space="0"/>
            </w:tcBorders>
          </w:tcPr>
          <w:p>
            <w:pPr>
              <w:numPr>
                <w:ilvl w:val="0"/>
                <w:numId w:val="0"/>
              </w:numPr>
              <w:jc w:val="center"/>
              <w:rPr>
                <w:rFonts w:hint="default" w:ascii="宋体" w:hAnsi="宋体" w:eastAsia="宋体" w:cs="宋体"/>
                <w:sz w:val="15"/>
                <w:szCs w:val="15"/>
                <w:vertAlign w:val="baseline"/>
                <w:lang w:val="en-US" w:eastAsia="zh-CN"/>
              </w:rPr>
            </w:pPr>
          </w:p>
        </w:tc>
        <w:tc>
          <w:tcPr>
            <w:tcW w:w="2130" w:type="dxa"/>
            <w:tcBorders>
              <w:bottom w:val="single" w:color="auto" w:sz="4" w:space="0"/>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25分位值</w:t>
            </w:r>
          </w:p>
        </w:tc>
        <w:tc>
          <w:tcPr>
            <w:tcW w:w="2131" w:type="dxa"/>
            <w:tcBorders>
              <w:bottom w:val="single" w:color="auto" w:sz="4" w:space="0"/>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50分位值</w:t>
            </w:r>
          </w:p>
        </w:tc>
        <w:tc>
          <w:tcPr>
            <w:tcW w:w="2131" w:type="dxa"/>
            <w:tcBorders>
              <w:bottom w:val="single" w:color="auto" w:sz="4" w:space="0"/>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75分位值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2018年</w:t>
            </w:r>
          </w:p>
        </w:tc>
        <w:tc>
          <w:tcPr>
            <w:tcW w:w="2130" w:type="dxa"/>
            <w:tcBorders>
              <w:top w:val="single" w:color="auto" w:sz="4" w:space="0"/>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6.8%</w:t>
            </w:r>
          </w:p>
        </w:tc>
        <w:tc>
          <w:tcPr>
            <w:tcW w:w="2131" w:type="dxa"/>
            <w:tcBorders>
              <w:top w:val="single" w:color="auto" w:sz="4" w:space="0"/>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7.8%</w:t>
            </w:r>
          </w:p>
        </w:tc>
        <w:tc>
          <w:tcPr>
            <w:tcW w:w="2131" w:type="dxa"/>
            <w:tcBorders>
              <w:top w:val="single" w:color="auto" w:sz="4" w:space="0"/>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2019年</w:t>
            </w:r>
          </w:p>
        </w:tc>
        <w:tc>
          <w:tcPr>
            <w:tcW w:w="2130" w:type="dxa"/>
            <w:tcBorders>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6.0%</w:t>
            </w:r>
          </w:p>
        </w:tc>
        <w:tc>
          <w:tcPr>
            <w:tcW w:w="2131" w:type="dxa"/>
            <w:tcBorders>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7.2%</w:t>
            </w:r>
          </w:p>
        </w:tc>
        <w:tc>
          <w:tcPr>
            <w:tcW w:w="2131" w:type="dxa"/>
            <w:tcBorders>
              <w:tl2br w:val="nil"/>
              <w:tr2bl w:val="nil"/>
            </w:tcBorders>
          </w:tcPr>
          <w:p>
            <w:pPr>
              <w:numPr>
                <w:ilvl w:val="0"/>
                <w:numId w:val="0"/>
              </w:numPr>
              <w:jc w:val="cente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9.8%</w:t>
            </w:r>
          </w:p>
        </w:tc>
      </w:tr>
    </w:tbl>
    <w:p>
      <w:pPr>
        <w:numPr>
          <w:ilvl w:val="0"/>
          <w:numId w:val="0"/>
        </w:numPr>
        <w:jc w:val="both"/>
        <w:rPr>
          <w:rFonts w:hint="default"/>
          <w:lang w:val="en-US" w:eastAsia="zh-CN"/>
        </w:rPr>
      </w:pPr>
    </w:p>
    <w:p>
      <w:pPr>
        <w:numPr>
          <w:ilvl w:val="0"/>
          <w:numId w:val="0"/>
        </w:numPr>
        <w:jc w:val="both"/>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3.2 IT行业对比薪酬分析</w:t>
      </w:r>
    </w:p>
    <w:p>
      <w:pPr>
        <w:numPr>
          <w:ilvl w:val="0"/>
          <w:numId w:val="0"/>
        </w:numPr>
        <w:jc w:val="both"/>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3.2.1 IT行业地区等级薪酬分析</w:t>
      </w:r>
    </w:p>
    <w:p>
      <w:pPr>
        <w:numPr>
          <w:ilvl w:val="0"/>
          <w:numId w:val="0"/>
        </w:numPr>
        <w:ind w:firstLine="360" w:firstLineChars="20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调研过程中为避免极端数据带来的影响，故选择薪酬等级1-18级进行分析不同地区、职位的年薪中值（见图1）。虽然很多人认为去大城市有更好的发展前景，薪酬也更高，特别是对于IT行业，在大城市往往才能得到更好的发展机会，但通过数据统计我们不难发现只有在职位层级很高时才会产生巨大的薪酬差距，而在大多数就职人员所处的职位层级（员工、专员、主管）中，通过对比会发现一类城市与三类城市的薪酬收入差距并不明显，也就是说即使在一般城市，IT行业的就业前景和薪酬待遇依旧不错。</w:t>
      </w:r>
    </w:p>
    <w:p>
      <w:pPr>
        <w:numPr>
          <w:ilvl w:val="0"/>
          <w:numId w:val="0"/>
        </w:numPr>
        <w:ind w:firstLine="360" w:firstLineChars="200"/>
        <w:jc w:val="both"/>
        <w:rPr>
          <w:rFonts w:hint="eastAsia" w:ascii="宋体" w:hAnsi="宋体" w:eastAsia="宋体" w:cs="宋体"/>
          <w:sz w:val="18"/>
          <w:szCs w:val="18"/>
          <w:lang w:val="en-US" w:eastAsia="zh-CN"/>
        </w:rPr>
      </w:pPr>
    </w:p>
    <w:p>
      <w:pPr>
        <w:numPr>
          <w:ilvl w:val="0"/>
          <w:numId w:val="0"/>
        </w:numPr>
        <w:jc w:val="center"/>
      </w:pPr>
      <w:r>
        <w:drawing>
          <wp:inline distT="0" distB="0" distL="114300" distR="114300">
            <wp:extent cx="4200525" cy="2080895"/>
            <wp:effectExtent l="4445" t="4445" r="16510" b="1778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0"/>
        </w:num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图1 三类城市不同等级薪酬中值</w:t>
      </w:r>
    </w:p>
    <w:p>
      <w:pPr>
        <w:numPr>
          <w:ilvl w:val="0"/>
          <w:numId w:val="0"/>
        </w:numPr>
        <w:jc w:val="center"/>
        <w:rPr>
          <w:rFonts w:hint="eastAsia" w:ascii="宋体" w:hAnsi="宋体" w:eastAsia="宋体" w:cs="宋体"/>
          <w:sz w:val="15"/>
          <w:szCs w:val="15"/>
          <w:lang w:val="en-US" w:eastAsia="zh-CN"/>
        </w:rPr>
      </w:pPr>
    </w:p>
    <w:p>
      <w:pPr>
        <w:numPr>
          <w:ilvl w:val="0"/>
          <w:numId w:val="0"/>
        </w:numPr>
        <w:jc w:val="both"/>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3.2.2 IT行业薪酬区间频度分析</w:t>
      </w:r>
    </w:p>
    <w:p>
      <w:pPr>
        <w:numPr>
          <w:ilvl w:val="0"/>
          <w:numId w:val="0"/>
        </w:numPr>
        <w:ind w:firstLine="360" w:firstLineChars="20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不同于之前三类城市的划分，这次对于三线城市的薪酬区间的统计更能反映出IT行业的薪酬分布情况（见图2），对于三线城市月薪在5000-12000区间的人数较多，而对于一线城市和二线城市，月薪在8000-20000区间的人数更多，也可以看出仅从区间来看，二线城市与一线城市的收入差距不大，而相比三线城市则要高不少。</w:t>
      </w:r>
    </w:p>
    <w:p>
      <w:pPr>
        <w:numPr>
          <w:ilvl w:val="0"/>
          <w:numId w:val="0"/>
        </w:numPr>
        <w:ind w:firstLine="420" w:firstLineChars="200"/>
        <w:jc w:val="left"/>
      </w:pPr>
      <w:bookmarkStart w:id="0" w:name="_GoBack"/>
      <w:bookmarkEnd w:id="0"/>
    </w:p>
    <w:p>
      <w:pPr>
        <w:numPr>
          <w:ilvl w:val="0"/>
          <w:numId w:val="0"/>
        </w:numPr>
        <w:ind w:firstLine="420" w:firstLineChars="200"/>
        <w:jc w:val="left"/>
      </w:pPr>
      <w:r>
        <w:drawing>
          <wp:inline distT="0" distB="0" distL="114300" distR="114300">
            <wp:extent cx="4928235" cy="2463165"/>
            <wp:effectExtent l="4445" t="4445" r="5080" b="1651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jc w:val="center"/>
        <w:rPr>
          <w:rFonts w:hint="eastAsia" w:ascii="宋体" w:hAnsi="宋体" w:eastAsia="宋体" w:cs="宋体"/>
          <w:sz w:val="15"/>
          <w:szCs w:val="15"/>
          <w:lang w:eastAsia="zh-CN"/>
        </w:rPr>
      </w:pPr>
      <w:r>
        <w:rPr>
          <w:rFonts w:hint="eastAsia" w:ascii="宋体" w:hAnsi="宋体" w:eastAsia="宋体" w:cs="宋体"/>
          <w:sz w:val="15"/>
          <w:szCs w:val="15"/>
          <w:lang w:val="en-US" w:eastAsia="zh-CN"/>
        </w:rPr>
        <w:t>图2 三线城市薪酬区间分布</w:t>
      </w:r>
    </w:p>
    <w:p>
      <w:pPr>
        <w:numPr>
          <w:ilvl w:val="0"/>
          <w:numId w:val="0"/>
        </w:numPr>
        <w:jc w:val="both"/>
        <w:rPr>
          <w:rFonts w:hint="eastAsia" w:ascii="黑体" w:hAnsi="黑体" w:eastAsia="黑体" w:cs="黑体"/>
          <w:sz w:val="21"/>
          <w:szCs w:val="21"/>
          <w:lang w:val="en-US" w:eastAsia="zh-CN"/>
        </w:rPr>
      </w:pPr>
    </w:p>
    <w:p>
      <w:pPr>
        <w:numPr>
          <w:ilvl w:val="0"/>
          <w:numId w:val="0"/>
        </w:numPr>
        <w:jc w:val="both"/>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4 结论</w:t>
      </w:r>
    </w:p>
    <w:p>
      <w:pPr>
        <w:numPr>
          <w:ilvl w:val="0"/>
          <w:numId w:val="0"/>
        </w:numPr>
        <w:ind w:firstLine="360" w:firstLineChars="20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除了分析调研数据外，通过查阅资料可知，在现阶段，影响中国IT行业薪酬趋势的有三个关键方面。</w:t>
      </w:r>
    </w:p>
    <w:p>
      <w:pPr>
        <w:numPr>
          <w:ilvl w:val="0"/>
          <w:numId w:val="0"/>
        </w:numPr>
        <w:ind w:firstLine="360" w:firstLineChars="20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首先是中国将大力推广云服务的使用，而中国在云技术和数据行业的发展，又将推动技术领域的招聘。因此，云服务业所带领的中高等规模企业将会大量引入IT行业人才，未来在一二类城市的薪酬增幅有望得到改善。</w:t>
      </w:r>
    </w:p>
    <w:p>
      <w:pPr>
        <w:numPr>
          <w:ilvl w:val="0"/>
          <w:numId w:val="0"/>
        </w:numPr>
        <w:ind w:firstLine="360" w:firstLineChars="20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由于人工智能 (AI) 的崛起，中国对软件工程师和开发人员的需求预计将会上升，而招聘经理要寻找的候选人需要已具备 AI 实操经验，以及管理高级计算机程序和算法的专长。现对于底层代码设计，高级计算机程序的开发仍处于上升态，整体薪酬涨幅还会有较大浮动。</w:t>
      </w:r>
    </w:p>
    <w:p>
      <w:pPr>
        <w:numPr>
          <w:ilvl w:val="0"/>
          <w:numId w:val="0"/>
        </w:numPr>
        <w:ind w:firstLine="360" w:firstLineChars="200"/>
        <w:jc w:val="both"/>
        <w:rPr>
          <w:rFonts w:hint="default" w:ascii="黑体" w:hAnsi="黑体" w:eastAsia="黑体" w:cs="黑体"/>
          <w:sz w:val="18"/>
          <w:szCs w:val="18"/>
          <w:lang w:val="en-US" w:eastAsia="zh-CN"/>
        </w:rPr>
      </w:pPr>
      <w:r>
        <w:rPr>
          <w:rFonts w:hint="eastAsia" w:ascii="宋体" w:hAnsi="宋体" w:eastAsia="宋体" w:cs="宋体"/>
          <w:sz w:val="18"/>
          <w:szCs w:val="18"/>
          <w:lang w:val="en-US" w:eastAsia="zh-CN"/>
        </w:rPr>
        <w:t>在这些特定岗位中，由于对数据科学家和 IT 安全专家的需求相对迫切，他们在薪资谈判中处于更有利的地位，因而可争取到高于平均水平的薪资。结合数据调研和对当今中国IT行业发展的取向，可以得出大致结论，整体IT行业薪酬涨幅持续下降，初级编码岗大幅消失，取而代之的则是云服务、人工智能等相对高端的科研领域。</w:t>
      </w:r>
    </w:p>
    <w:p>
      <w:pPr>
        <w:numPr>
          <w:ilvl w:val="0"/>
          <w:numId w:val="0"/>
        </w:numPr>
        <w:ind w:firstLine="360" w:firstLineChars="200"/>
        <w:jc w:val="both"/>
        <w:rPr>
          <w:rFonts w:hint="eastAsia" w:asciiTheme="minorHAnsi" w:eastAsiaTheme="minorEastAsia"/>
          <w:sz w:val="18"/>
          <w:szCs w:val="18"/>
          <w:lang w:val="en-US" w:eastAsia="zh-CN"/>
        </w:rPr>
      </w:pPr>
      <w:r>
        <w:rPr>
          <w:rFonts w:hint="eastAsia" w:asciiTheme="minorHAnsi" w:eastAsiaTheme="minorEastAsia"/>
          <w:sz w:val="18"/>
          <w:szCs w:val="18"/>
          <w:lang w:val="en-US" w:eastAsia="zh-CN"/>
        </w:rPr>
        <w:t>对于三类城市包括部分二线城市和三线城市在内，未来IT行业薪酬的变化趋势并不大，但对于一二类城市来说影响较大，具体表现为低薪酬岗位的消失和中等薪酬的增多，以及薪酬涨幅减小，但一二类城市的薪酬差距仍不会被拉开，虽然出示工作两年内薪酬较以往不会有很大提高，但当下更看重IT从业者的经验，工作三年以上的就业及薪酬前景依旧良好。</w:t>
      </w:r>
    </w:p>
    <w:p>
      <w:pPr>
        <w:numPr>
          <w:ilvl w:val="0"/>
          <w:numId w:val="0"/>
        </w:numPr>
        <w:ind w:firstLine="360" w:firstLineChars="200"/>
        <w:jc w:val="both"/>
        <w:rPr>
          <w:rFonts w:hint="eastAsia" w:asciiTheme="minorHAnsi" w:eastAsiaTheme="minorEastAsia"/>
          <w:sz w:val="18"/>
          <w:szCs w:val="18"/>
          <w:lang w:val="en-US" w:eastAsia="zh-CN"/>
        </w:rPr>
      </w:pPr>
    </w:p>
    <w:p>
      <w:pPr>
        <w:numPr>
          <w:ilvl w:val="0"/>
          <w:numId w:val="0"/>
        </w:numPr>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参考文献</w:t>
      </w:r>
    </w:p>
    <w:p>
      <w:pPr>
        <w:numPr>
          <w:ilvl w:val="0"/>
          <w:numId w:val="0"/>
        </w:numPr>
        <w:jc w:val="center"/>
        <w:rPr>
          <w:rFonts w:hint="eastAsia" w:ascii="宋体" w:hAnsi="宋体" w:eastAsia="宋体" w:cs="宋体"/>
          <w:b/>
          <w:bCs/>
          <w:sz w:val="18"/>
          <w:szCs w:val="18"/>
          <w:lang w:val="en-US" w:eastAsia="zh-CN"/>
        </w:rPr>
      </w:pPr>
    </w:p>
    <w:p>
      <w:pPr>
        <w:numPr>
          <w:ilvl w:val="0"/>
          <w:numId w:val="0"/>
        </w:numPr>
        <w:jc w:val="both"/>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 Douku Quanshu.[salary management] salary Research Report of Internet and it industry from 2018 to 2019 [J].Douding document,2019.</w:t>
      </w:r>
    </w:p>
    <w:p>
      <w:pPr>
        <w:numPr>
          <w:ilvl w:val="0"/>
          <w:numId w:val="0"/>
        </w:numPr>
        <w:jc w:val="both"/>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豆库全书.【薪酬管理】2018-2019年互联网及IT行业薪酬调研报告[J].豆丁文档,2019.</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2F45"/>
    <w:rsid w:val="002F60CC"/>
    <w:rsid w:val="01892C61"/>
    <w:rsid w:val="02616021"/>
    <w:rsid w:val="0278063F"/>
    <w:rsid w:val="02B73858"/>
    <w:rsid w:val="02C34FC8"/>
    <w:rsid w:val="032F3305"/>
    <w:rsid w:val="05357C22"/>
    <w:rsid w:val="05B84C30"/>
    <w:rsid w:val="06A35C42"/>
    <w:rsid w:val="076F76C1"/>
    <w:rsid w:val="07724339"/>
    <w:rsid w:val="090559EC"/>
    <w:rsid w:val="09D53942"/>
    <w:rsid w:val="0AF51B00"/>
    <w:rsid w:val="0BB21254"/>
    <w:rsid w:val="0BF6296B"/>
    <w:rsid w:val="0C230362"/>
    <w:rsid w:val="0E083475"/>
    <w:rsid w:val="0E0D363B"/>
    <w:rsid w:val="0E2C6BF7"/>
    <w:rsid w:val="0E492B7A"/>
    <w:rsid w:val="0E636846"/>
    <w:rsid w:val="0EAA6D39"/>
    <w:rsid w:val="0F83712B"/>
    <w:rsid w:val="0FB45CE4"/>
    <w:rsid w:val="10F9618B"/>
    <w:rsid w:val="111E05A7"/>
    <w:rsid w:val="11336F4E"/>
    <w:rsid w:val="11E77759"/>
    <w:rsid w:val="11F07937"/>
    <w:rsid w:val="129807D7"/>
    <w:rsid w:val="135B391C"/>
    <w:rsid w:val="140B50E2"/>
    <w:rsid w:val="14257B78"/>
    <w:rsid w:val="167445E9"/>
    <w:rsid w:val="17855E18"/>
    <w:rsid w:val="1BF90125"/>
    <w:rsid w:val="1C773949"/>
    <w:rsid w:val="1C9268A3"/>
    <w:rsid w:val="1DF01E3F"/>
    <w:rsid w:val="1F091E77"/>
    <w:rsid w:val="1F230C41"/>
    <w:rsid w:val="2132061D"/>
    <w:rsid w:val="221D099E"/>
    <w:rsid w:val="22832F81"/>
    <w:rsid w:val="2507673A"/>
    <w:rsid w:val="27190E94"/>
    <w:rsid w:val="273C6666"/>
    <w:rsid w:val="27426EC8"/>
    <w:rsid w:val="281F012C"/>
    <w:rsid w:val="285C360D"/>
    <w:rsid w:val="28894F49"/>
    <w:rsid w:val="297D0378"/>
    <w:rsid w:val="2A75735B"/>
    <w:rsid w:val="2A905B54"/>
    <w:rsid w:val="2A964085"/>
    <w:rsid w:val="2B71627A"/>
    <w:rsid w:val="2C302DEA"/>
    <w:rsid w:val="2CAC173F"/>
    <w:rsid w:val="2CD12B9D"/>
    <w:rsid w:val="2CDB26E6"/>
    <w:rsid w:val="2DC72709"/>
    <w:rsid w:val="2EF927BB"/>
    <w:rsid w:val="2F365099"/>
    <w:rsid w:val="2F495CAD"/>
    <w:rsid w:val="2F6C1632"/>
    <w:rsid w:val="2FDD54CF"/>
    <w:rsid w:val="2FE02481"/>
    <w:rsid w:val="300B6F93"/>
    <w:rsid w:val="30393B29"/>
    <w:rsid w:val="308B5F88"/>
    <w:rsid w:val="311A1641"/>
    <w:rsid w:val="31D94B82"/>
    <w:rsid w:val="31F8218A"/>
    <w:rsid w:val="32A62835"/>
    <w:rsid w:val="33381BF1"/>
    <w:rsid w:val="33931616"/>
    <w:rsid w:val="3515544A"/>
    <w:rsid w:val="35B344D6"/>
    <w:rsid w:val="36EC12C8"/>
    <w:rsid w:val="382560AD"/>
    <w:rsid w:val="39313E52"/>
    <w:rsid w:val="39E90570"/>
    <w:rsid w:val="3A0A09F1"/>
    <w:rsid w:val="3AEF4CA3"/>
    <w:rsid w:val="3B67124C"/>
    <w:rsid w:val="3B714C78"/>
    <w:rsid w:val="3BFB7C85"/>
    <w:rsid w:val="3CA1550C"/>
    <w:rsid w:val="3CD104C2"/>
    <w:rsid w:val="3D035B81"/>
    <w:rsid w:val="3D8E0247"/>
    <w:rsid w:val="3DFC402F"/>
    <w:rsid w:val="3E530057"/>
    <w:rsid w:val="3E9C78B7"/>
    <w:rsid w:val="40240E87"/>
    <w:rsid w:val="407A1561"/>
    <w:rsid w:val="4128040D"/>
    <w:rsid w:val="4174402D"/>
    <w:rsid w:val="420120D9"/>
    <w:rsid w:val="42432640"/>
    <w:rsid w:val="42BD0FAA"/>
    <w:rsid w:val="43185C55"/>
    <w:rsid w:val="436A50D6"/>
    <w:rsid w:val="43DB31A4"/>
    <w:rsid w:val="446F242A"/>
    <w:rsid w:val="455417E0"/>
    <w:rsid w:val="46083B43"/>
    <w:rsid w:val="472B4DF9"/>
    <w:rsid w:val="47B3408B"/>
    <w:rsid w:val="48F80ED2"/>
    <w:rsid w:val="4BE0164A"/>
    <w:rsid w:val="4CA834ED"/>
    <w:rsid w:val="4D971132"/>
    <w:rsid w:val="4DF61054"/>
    <w:rsid w:val="504229E3"/>
    <w:rsid w:val="513B66E9"/>
    <w:rsid w:val="51956B9B"/>
    <w:rsid w:val="51CB5230"/>
    <w:rsid w:val="52581C04"/>
    <w:rsid w:val="545C5D26"/>
    <w:rsid w:val="54C801D0"/>
    <w:rsid w:val="557063E1"/>
    <w:rsid w:val="5A294E69"/>
    <w:rsid w:val="5A3A3C6C"/>
    <w:rsid w:val="5A4903E7"/>
    <w:rsid w:val="5A8D5018"/>
    <w:rsid w:val="5AB133C7"/>
    <w:rsid w:val="5D53195B"/>
    <w:rsid w:val="5DEB4A73"/>
    <w:rsid w:val="5E5F5C7A"/>
    <w:rsid w:val="5E61409E"/>
    <w:rsid w:val="5EEF1F4D"/>
    <w:rsid w:val="61BD748A"/>
    <w:rsid w:val="6294144A"/>
    <w:rsid w:val="63D46C78"/>
    <w:rsid w:val="64192D00"/>
    <w:rsid w:val="641E105F"/>
    <w:rsid w:val="64264EDD"/>
    <w:rsid w:val="642D4092"/>
    <w:rsid w:val="6646096A"/>
    <w:rsid w:val="66A74C37"/>
    <w:rsid w:val="670D1A57"/>
    <w:rsid w:val="674731E9"/>
    <w:rsid w:val="675B2612"/>
    <w:rsid w:val="67A326FB"/>
    <w:rsid w:val="6886685F"/>
    <w:rsid w:val="68D17FD7"/>
    <w:rsid w:val="68E72E2E"/>
    <w:rsid w:val="6AB51405"/>
    <w:rsid w:val="6B7A571A"/>
    <w:rsid w:val="6BF9635E"/>
    <w:rsid w:val="6C2B0F88"/>
    <w:rsid w:val="6CAD034F"/>
    <w:rsid w:val="6D5B19C5"/>
    <w:rsid w:val="6FAC77D6"/>
    <w:rsid w:val="6FB11906"/>
    <w:rsid w:val="6FFF0371"/>
    <w:rsid w:val="712747F1"/>
    <w:rsid w:val="718E0DC6"/>
    <w:rsid w:val="71D50999"/>
    <w:rsid w:val="72615E5A"/>
    <w:rsid w:val="727E0FF9"/>
    <w:rsid w:val="73543B27"/>
    <w:rsid w:val="738B3A4C"/>
    <w:rsid w:val="73CC76DA"/>
    <w:rsid w:val="73F40F6C"/>
    <w:rsid w:val="74EA6BBC"/>
    <w:rsid w:val="752E1E18"/>
    <w:rsid w:val="7586031C"/>
    <w:rsid w:val="75ED19F7"/>
    <w:rsid w:val="764B5067"/>
    <w:rsid w:val="76B16B57"/>
    <w:rsid w:val="76E55F7C"/>
    <w:rsid w:val="76F82669"/>
    <w:rsid w:val="7829138F"/>
    <w:rsid w:val="782D5BC0"/>
    <w:rsid w:val="78B551F8"/>
    <w:rsid w:val="79360249"/>
    <w:rsid w:val="79A57054"/>
    <w:rsid w:val="7A982B75"/>
    <w:rsid w:val="7AB30409"/>
    <w:rsid w:val="7B29797F"/>
    <w:rsid w:val="7C21652E"/>
    <w:rsid w:val="7D7C5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Depart.Correspond"/>
    <w:basedOn w:val="1"/>
    <w:qFormat/>
    <w:uiPriority w:val="0"/>
    <w:pPr>
      <w:adjustRightInd/>
      <w:snapToGrid/>
      <w:spacing w:after="0"/>
      <w:ind w:left="66" w:hanging="66" w:hangingChars="66"/>
      <w:jc w:val="both"/>
    </w:pPr>
    <w:rPr>
      <w:rFonts w:ascii="Times New Roman" w:hAnsi="Times New Roman" w:eastAsia="宋体" w:cs="Times New Roman"/>
      <w:iCs/>
      <w:sz w:val="16"/>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oleObject" Target="file:///D:\&#22823;&#23398;\&#23398;&#20064;&#36164;&#26009;\&#22823;&#19977;\IT\1.xlsx" TargetMode="External"/></Relationships>
</file>

<file path=word/charts/_rels/chart2.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file:///D:\&#22823;&#23398;\&#23398;&#20064;&#36164;&#26009;\&#22823;&#19977;\I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[1.xlsx]Sheet1!$B$31</c:f>
              <c:strCache>
                <c:ptCount val="1"/>
                <c:pt idx="0">
                  <c:v>等级</c:v>
                </c:pt>
              </c:strCache>
            </c:strRef>
          </c:tx>
          <c:spPr>
            <a:ln w="28575" cap="rnd">
              <a:solidFill>
                <a:srgbClr val="5B9BD5"/>
              </a:solidFill>
              <a:round/>
            </a:ln>
            <a:effectLst/>
          </c:spPr>
          <c:marker>
            <c:symbol val="none"/>
          </c:marker>
          <c:dLbls>
            <c:delete val="1"/>
          </c:dLbls>
          <c:val>
            <c:numRef>
              <c:f>[1.xlsx]Sheet1!$B$32:$B$49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val>
          <c:smooth val="0"/>
        </c:ser>
        <c:ser>
          <c:idx val="1"/>
          <c:order val="1"/>
          <c:tx>
            <c:strRef>
              <c:f>[1.xlsx]Sheet1!$C$31</c:f>
              <c:strCache>
                <c:ptCount val="1"/>
                <c:pt idx="0">
                  <c:v>一类城市</c:v>
                </c:pt>
              </c:strCache>
            </c:strRef>
          </c:tx>
          <c:spPr>
            <a:ln w="28575" cap="rnd">
              <a:solidFill>
                <a:srgbClr val="ED7D31"/>
              </a:solidFill>
              <a:round/>
            </a:ln>
            <a:effectLst/>
          </c:spPr>
          <c:marker>
            <c:symbol val="none"/>
          </c:marker>
          <c:dLbls>
            <c:delete val="1"/>
          </c:dLbls>
          <c:val>
            <c:numRef>
              <c:f>[1.xlsx]Sheet1!$C$32:$C$49</c:f>
              <c:numCache>
                <c:formatCode>General</c:formatCode>
                <c:ptCount val="18"/>
                <c:pt idx="0">
                  <c:v>37910</c:v>
                </c:pt>
                <c:pt idx="1">
                  <c:v>46391</c:v>
                </c:pt>
                <c:pt idx="2">
                  <c:v>56770</c:v>
                </c:pt>
                <c:pt idx="3">
                  <c:v>69471</c:v>
                </c:pt>
                <c:pt idx="4">
                  <c:v>85013</c:v>
                </c:pt>
                <c:pt idx="5">
                  <c:v>104033</c:v>
                </c:pt>
                <c:pt idx="6">
                  <c:v>127308</c:v>
                </c:pt>
                <c:pt idx="7">
                  <c:v>155790</c:v>
                </c:pt>
                <c:pt idx="8">
                  <c:v>190644</c:v>
                </c:pt>
                <c:pt idx="9">
                  <c:v>233296</c:v>
                </c:pt>
                <c:pt idx="10">
                  <c:v>285491</c:v>
                </c:pt>
                <c:pt idx="11">
                  <c:v>349362</c:v>
                </c:pt>
                <c:pt idx="12">
                  <c:v>427524</c:v>
                </c:pt>
                <c:pt idx="13">
                  <c:v>523172</c:v>
                </c:pt>
                <c:pt idx="14">
                  <c:v>640219</c:v>
                </c:pt>
                <c:pt idx="15">
                  <c:v>783452</c:v>
                </c:pt>
                <c:pt idx="16">
                  <c:v>958730</c:v>
                </c:pt>
                <c:pt idx="17">
                  <c:v>1173223</c:v>
                </c:pt>
              </c:numCache>
            </c:numRef>
          </c:val>
          <c:smooth val="0"/>
        </c:ser>
        <c:ser>
          <c:idx val="2"/>
          <c:order val="2"/>
          <c:tx>
            <c:strRef>
              <c:f>[1.xlsx]Sheet1!$D$31</c:f>
              <c:strCache>
                <c:ptCount val="1"/>
                <c:pt idx="0">
                  <c:v>二类城市</c:v>
                </c:pt>
              </c:strCache>
            </c:strRef>
          </c:tx>
          <c:spPr>
            <a:ln w="28575" cap="rnd">
              <a:solidFill>
                <a:srgbClr val="A5A5A5"/>
              </a:solidFill>
              <a:round/>
            </a:ln>
            <a:effectLst/>
          </c:spPr>
          <c:marker>
            <c:symbol val="none"/>
          </c:marker>
          <c:dLbls>
            <c:delete val="1"/>
          </c:dLbls>
          <c:val>
            <c:numRef>
              <c:f>[1.xlsx]Sheet1!$D$32:$D$49</c:f>
              <c:numCache>
                <c:formatCode>General</c:formatCode>
                <c:ptCount val="18"/>
                <c:pt idx="0">
                  <c:v>33828</c:v>
                </c:pt>
                <c:pt idx="1">
                  <c:v>41091</c:v>
                </c:pt>
                <c:pt idx="2">
                  <c:v>49914</c:v>
                </c:pt>
                <c:pt idx="3">
                  <c:v>60630</c:v>
                </c:pt>
                <c:pt idx="4">
                  <c:v>73648</c:v>
                </c:pt>
                <c:pt idx="5">
                  <c:v>89460</c:v>
                </c:pt>
                <c:pt idx="6">
                  <c:v>108668</c:v>
                </c:pt>
                <c:pt idx="7">
                  <c:v>131999</c:v>
                </c:pt>
                <c:pt idx="8">
                  <c:v>160340</c:v>
                </c:pt>
                <c:pt idx="9">
                  <c:v>194766</c:v>
                </c:pt>
                <c:pt idx="10">
                  <c:v>236583</c:v>
                </c:pt>
                <c:pt idx="11">
                  <c:v>287378</c:v>
                </c:pt>
                <c:pt idx="12">
                  <c:v>349079</c:v>
                </c:pt>
                <c:pt idx="13">
                  <c:v>424027</c:v>
                </c:pt>
                <c:pt idx="14">
                  <c:v>515067</c:v>
                </c:pt>
                <c:pt idx="15">
                  <c:v>625654</c:v>
                </c:pt>
                <c:pt idx="16">
                  <c:v>759984</c:v>
                </c:pt>
                <c:pt idx="17">
                  <c:v>923155</c:v>
                </c:pt>
              </c:numCache>
            </c:numRef>
          </c:val>
          <c:smooth val="0"/>
        </c:ser>
        <c:ser>
          <c:idx val="3"/>
          <c:order val="3"/>
          <c:tx>
            <c:strRef>
              <c:f>[1.xlsx]Sheet1!$E$31</c:f>
              <c:strCache>
                <c:ptCount val="1"/>
                <c:pt idx="0">
                  <c:v>三类城市</c:v>
                </c:pt>
              </c:strCache>
            </c:strRef>
          </c:tx>
          <c:spPr>
            <a:ln w="28575" cap="rnd">
              <a:solidFill>
                <a:srgbClr val="FFC000"/>
              </a:solidFill>
              <a:round/>
            </a:ln>
            <a:effectLst/>
          </c:spPr>
          <c:marker>
            <c:symbol val="none"/>
          </c:marker>
          <c:dLbls>
            <c:delete val="1"/>
          </c:dLbls>
          <c:val>
            <c:numRef>
              <c:f>[1.xlsx]Sheet1!$E$32:$E$49</c:f>
              <c:numCache>
                <c:formatCode>General</c:formatCode>
                <c:ptCount val="18"/>
                <c:pt idx="0">
                  <c:v>29156</c:v>
                </c:pt>
                <c:pt idx="1">
                  <c:v>34736</c:v>
                </c:pt>
                <c:pt idx="2">
                  <c:v>41379</c:v>
                </c:pt>
                <c:pt idx="3">
                  <c:v>49293</c:v>
                </c:pt>
                <c:pt idx="4">
                  <c:v>58720</c:v>
                </c:pt>
                <c:pt idx="5">
                  <c:v>69950</c:v>
                </c:pt>
                <c:pt idx="6">
                  <c:v>83327</c:v>
                </c:pt>
                <c:pt idx="7">
                  <c:v>99263</c:v>
                </c:pt>
                <c:pt idx="8">
                  <c:v>118247</c:v>
                </c:pt>
                <c:pt idx="9">
                  <c:v>140861</c:v>
                </c:pt>
                <c:pt idx="10">
                  <c:v>167800</c:v>
                </c:pt>
                <c:pt idx="11">
                  <c:v>199892</c:v>
                </c:pt>
                <c:pt idx="12">
                  <c:v>238120</c:v>
                </c:pt>
                <c:pt idx="13">
                  <c:v>283660</c:v>
                </c:pt>
                <c:pt idx="14">
                  <c:v>337908</c:v>
                </c:pt>
                <c:pt idx="15">
                  <c:v>402532</c:v>
                </c:pt>
                <c:pt idx="16">
                  <c:v>479515</c:v>
                </c:pt>
                <c:pt idx="17">
                  <c:v>571220</c:v>
                </c:pt>
              </c:numCache>
            </c:numRef>
          </c:val>
          <c:smooth val="0"/>
        </c:ser>
        <c:dLbls>
          <c:showLegendKey val="0"/>
          <c:showVal val="0"/>
          <c:showCatName val="0"/>
          <c:showSerName val="0"/>
          <c:showPercent val="0"/>
          <c:showBubbleSize val="0"/>
        </c:dLbls>
        <c:marker val="0"/>
        <c:smooth val="0"/>
        <c:axId val="413377811"/>
        <c:axId val="506157200"/>
      </c:lineChart>
      <c:catAx>
        <c:axId val="413377811"/>
        <c:scaling>
          <c:orientation val="minMax"/>
        </c:scaling>
        <c:delete val="0"/>
        <c:axPos val="b"/>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506157200"/>
        <c:crosses val="autoZero"/>
        <c:auto val="1"/>
        <c:lblAlgn val="ctr"/>
        <c:lblOffset val="100"/>
        <c:noMultiLvlLbl val="0"/>
      </c:catAx>
      <c:valAx>
        <c:axId val="506157200"/>
        <c:scaling>
          <c:orientation val="minMax"/>
        </c:scaling>
        <c:delete val="0"/>
        <c:axPos val="l"/>
        <c:majorGridlines>
          <c:spPr>
            <a:ln w="9525" cap="flat" cmpd="sng" algn="ctr">
              <a:solidFill>
                <a:sysClr val="windowText" lastClr="000000">
                  <a:lumMod val="15000"/>
                  <a:lumOff val="85000"/>
                </a:sys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41337781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[1.xlsx]Sheet1!$J$32</c:f>
              <c:strCache>
                <c:ptCount val="1"/>
                <c:pt idx="0">
                  <c:v>一线城市</c:v>
                </c:pt>
              </c:strCache>
            </c:strRef>
          </c:tx>
          <c:spPr>
            <a:solidFill>
              <a:srgbClr val="5B9BD5"/>
            </a:solidFill>
            <a:ln>
              <a:noFill/>
            </a:ln>
            <a:effectLst/>
          </c:spPr>
          <c:invertIfNegative val="0"/>
          <c:dLbls>
            <c:delete val="1"/>
          </c:dLbls>
          <c:cat>
            <c:strRef>
              <c:f>[1.xlsx]Sheet1!$K$31:$Q$31</c:f>
              <c:strCache>
                <c:ptCount val="7"/>
                <c:pt idx="0">
                  <c:v>3000元以下</c:v>
                </c:pt>
                <c:pt idx="1">
                  <c:v>3000-5000元</c:v>
                </c:pt>
                <c:pt idx="2">
                  <c:v>5000-8000元</c:v>
                </c:pt>
                <c:pt idx="3">
                  <c:v>8000-12000元</c:v>
                </c:pt>
                <c:pt idx="4">
                  <c:v>12000-20000元</c:v>
                </c:pt>
                <c:pt idx="5">
                  <c:v>20000-50000元</c:v>
                </c:pt>
                <c:pt idx="6">
                  <c:v>50000元以上</c:v>
                </c:pt>
              </c:strCache>
            </c:strRef>
          </c:cat>
          <c:val>
            <c:numRef>
              <c:f>[1.xlsx]Sheet1!$K$32:$Q$32</c:f>
              <c:numCache>
                <c:formatCode>0.00%</c:formatCode>
                <c:ptCount val="7"/>
                <c:pt idx="0">
                  <c:v>0.011</c:v>
                </c:pt>
                <c:pt idx="1">
                  <c:v>0.092</c:v>
                </c:pt>
                <c:pt idx="2">
                  <c:v>0.145</c:v>
                </c:pt>
                <c:pt idx="3">
                  <c:v>0.276</c:v>
                </c:pt>
                <c:pt idx="4">
                  <c:v>0.374</c:v>
                </c:pt>
                <c:pt idx="5">
                  <c:v>0.087</c:v>
                </c:pt>
                <c:pt idx="6">
                  <c:v>0.015</c:v>
                </c:pt>
              </c:numCache>
            </c:numRef>
          </c:val>
        </c:ser>
        <c:ser>
          <c:idx val="1"/>
          <c:order val="1"/>
          <c:tx>
            <c:strRef>
              <c:f>[1.xlsx]Sheet1!$J$33</c:f>
              <c:strCache>
                <c:ptCount val="1"/>
                <c:pt idx="0">
                  <c:v>二线城市</c:v>
                </c:pt>
              </c:strCache>
            </c:strRef>
          </c:tx>
          <c:spPr>
            <a:solidFill>
              <a:srgbClr val="ED7D31"/>
            </a:solidFill>
            <a:ln>
              <a:noFill/>
            </a:ln>
            <a:effectLst/>
          </c:spPr>
          <c:invertIfNegative val="0"/>
          <c:dLbls>
            <c:delete val="1"/>
          </c:dLbls>
          <c:cat>
            <c:strRef>
              <c:f>[1.xlsx]Sheet1!$K$31:$Q$31</c:f>
              <c:strCache>
                <c:ptCount val="7"/>
                <c:pt idx="0">
                  <c:v>3000元以下</c:v>
                </c:pt>
                <c:pt idx="1">
                  <c:v>3000-5000元</c:v>
                </c:pt>
                <c:pt idx="2">
                  <c:v>5000-8000元</c:v>
                </c:pt>
                <c:pt idx="3">
                  <c:v>8000-12000元</c:v>
                </c:pt>
                <c:pt idx="4">
                  <c:v>12000-20000元</c:v>
                </c:pt>
                <c:pt idx="5">
                  <c:v>20000-50000元</c:v>
                </c:pt>
                <c:pt idx="6">
                  <c:v>50000元以上</c:v>
                </c:pt>
              </c:strCache>
            </c:strRef>
          </c:cat>
          <c:val>
            <c:numRef>
              <c:f>[1.xlsx]Sheet1!$K$33:$Q$33</c:f>
              <c:numCache>
                <c:formatCode>0.00%</c:formatCode>
                <c:ptCount val="7"/>
                <c:pt idx="0">
                  <c:v>0.023</c:v>
                </c:pt>
                <c:pt idx="1">
                  <c:v>0.125</c:v>
                </c:pt>
                <c:pt idx="2">
                  <c:v>0.176</c:v>
                </c:pt>
                <c:pt idx="3">
                  <c:v>0.317</c:v>
                </c:pt>
                <c:pt idx="4">
                  <c:v>0.287</c:v>
                </c:pt>
                <c:pt idx="5">
                  <c:v>0.062</c:v>
                </c:pt>
                <c:pt idx="6">
                  <c:v>0.01</c:v>
                </c:pt>
              </c:numCache>
            </c:numRef>
          </c:val>
        </c:ser>
        <c:ser>
          <c:idx val="2"/>
          <c:order val="2"/>
          <c:tx>
            <c:strRef>
              <c:f>[1.xlsx]Sheet1!$J$34</c:f>
              <c:strCache>
                <c:ptCount val="1"/>
                <c:pt idx="0">
                  <c:v>三线城市</c:v>
                </c:pt>
              </c:strCache>
            </c:strRef>
          </c:tx>
          <c:spPr>
            <a:solidFill>
              <a:srgbClr val="A5A5A5"/>
            </a:solidFill>
            <a:ln>
              <a:noFill/>
            </a:ln>
            <a:effectLst/>
          </c:spPr>
          <c:invertIfNegative val="0"/>
          <c:dLbls>
            <c:delete val="1"/>
          </c:dLbls>
          <c:cat>
            <c:strRef>
              <c:f>[1.xlsx]Sheet1!$K$31:$Q$31</c:f>
              <c:strCache>
                <c:ptCount val="7"/>
                <c:pt idx="0">
                  <c:v>3000元以下</c:v>
                </c:pt>
                <c:pt idx="1">
                  <c:v>3000-5000元</c:v>
                </c:pt>
                <c:pt idx="2">
                  <c:v>5000-8000元</c:v>
                </c:pt>
                <c:pt idx="3">
                  <c:v>8000-12000元</c:v>
                </c:pt>
                <c:pt idx="4">
                  <c:v>12000-20000元</c:v>
                </c:pt>
                <c:pt idx="5">
                  <c:v>20000-50000元</c:v>
                </c:pt>
                <c:pt idx="6">
                  <c:v>50000元以上</c:v>
                </c:pt>
              </c:strCache>
            </c:strRef>
          </c:cat>
          <c:val>
            <c:numRef>
              <c:f>[1.xlsx]Sheet1!$K$34:$Q$34</c:f>
              <c:numCache>
                <c:formatCode>0.00%</c:formatCode>
                <c:ptCount val="7"/>
                <c:pt idx="0">
                  <c:v>0.035</c:v>
                </c:pt>
                <c:pt idx="1">
                  <c:v>0.173</c:v>
                </c:pt>
                <c:pt idx="2">
                  <c:v>0.242</c:v>
                </c:pt>
                <c:pt idx="3">
                  <c:v>0.357</c:v>
                </c:pt>
                <c:pt idx="4">
                  <c:v>0.152</c:v>
                </c:pt>
                <c:pt idx="5">
                  <c:v>0.035</c:v>
                </c:pt>
                <c:pt idx="6">
                  <c:v>0.006</c:v>
                </c:pt>
              </c:numCache>
            </c:numRef>
          </c:val>
        </c:ser>
        <c:dLbls>
          <c:showLegendKey val="0"/>
          <c:showVal val="0"/>
          <c:showCatName val="0"/>
          <c:showSerName val="0"/>
          <c:showPercent val="0"/>
          <c:showBubbleSize val="0"/>
        </c:dLbls>
        <c:gapWidth val="219"/>
        <c:overlap val="-27"/>
        <c:axId val="959524673"/>
        <c:axId val="471567543"/>
      </c:barChart>
      <c:catAx>
        <c:axId val="959524673"/>
        <c:scaling>
          <c:orientation val="minMax"/>
        </c:scaling>
        <c:delete val="0"/>
        <c:axPos val="b"/>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471567543"/>
        <c:crosses val="autoZero"/>
        <c:auto val="1"/>
        <c:lblAlgn val="ctr"/>
        <c:lblOffset val="100"/>
        <c:noMultiLvlLbl val="0"/>
      </c:catAx>
      <c:valAx>
        <c:axId val="471567543"/>
        <c:scaling>
          <c:orientation val="minMax"/>
        </c:scaling>
        <c:delete val="0"/>
        <c:axPos val="l"/>
        <c:majorGridlines>
          <c:spPr>
            <a:ln w="9525" cap="flat" cmpd="sng" algn="ctr">
              <a:solidFill>
                <a:sysClr val="windowText" lastClr="000000">
                  <a:lumMod val="15000"/>
                  <a:lumOff val="85000"/>
                </a:sys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95952467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spPr>
      <a:solidFill>
        <a:schemeClr val="phClr"/>
      </a:solidFill>
    </cs:spPr>
  </cs:dataPoint>
  <cs:dataPoint3D>
    <cs:lnRef idx="0"/>
    <cs:fillRef idx="1">
      <cs:styleClr val="auto"/>
    </cs:fillRef>
    <cs:effectRef idx="0"/>
    <cs:fontRef idx="minor">
      <a:sysClr val="windowText" lastClr="000000"/>
    </cs:fontRef>
    <cs:spPr>
      <a:solidFill>
        <a:schemeClr val="phClr"/>
      </a:solidFill>
    </cs:spPr>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2021-03-22T23:30:00Z</dcterms:created>
  <dc:creator>lenovo</dc:creator>
  <cp:lastModifiedBy>木辛</cp:lastModifiedBy>
  <dcterms:modified xsi:type="dcterms:W3CDTF">2021-04-07T02:11:22Z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55B4E9ECC3FF46F290C72DD8211B6DCF</vt:lpwstr>
  </property>
</Properties>
</file>