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黑体" w:hAnsi="黑体" w:eastAsia="黑体" w:cs="黑体"/>
          <w:sz w:val="32"/>
          <w:szCs w:val="32"/>
        </w:rPr>
      </w:pPr>
      <w:r>
        <w:rPr>
          <w:rFonts w:hint="eastAsia" w:ascii="黑体" w:hAnsi="黑体" w:eastAsia="黑体" w:cs="黑体"/>
          <w:sz w:val="32"/>
          <w:szCs w:val="32"/>
        </w:rPr>
        <w:t>有关IT行业薪酬变化的数据分析</w:t>
      </w:r>
    </w:p>
    <w:p>
      <w:pPr>
        <w:jc w:val="both"/>
        <w:rPr>
          <w:rFonts w:hint="eastAsia" w:ascii="宋体" w:hAnsi="宋体" w:eastAsia="宋体" w:cs="宋体"/>
          <w:b/>
          <w:bCs/>
          <w:sz w:val="21"/>
          <w:szCs w:val="21"/>
          <w:lang w:val="en-US" w:eastAsia="zh-CN"/>
        </w:rPr>
      </w:pPr>
    </w:p>
    <w:p>
      <w:p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王祥羽</w:t>
      </w:r>
    </w:p>
    <w:p>
      <w:pPr>
        <w:jc w:val="both"/>
        <w:rPr>
          <w:rFonts w:hint="eastAsia" w:ascii="仿宋" w:hAnsi="仿宋" w:eastAsia="仿宋" w:cs="仿宋"/>
          <w:i w:val="0"/>
          <w:caps w:val="0"/>
          <w:color w:val="333333"/>
          <w:spacing w:val="0"/>
          <w:sz w:val="18"/>
          <w:szCs w:val="18"/>
          <w:u w:val="none"/>
          <w:shd w:val="clear" w:fill="FFFFFF"/>
        </w:rPr>
      </w:pPr>
      <w:r>
        <w:rPr>
          <w:rFonts w:hint="eastAsia" w:ascii="仿宋" w:hAnsi="仿宋" w:eastAsia="仿宋" w:cs="仿宋"/>
          <w:b/>
          <w:bCs/>
          <w:sz w:val="18"/>
          <w:szCs w:val="18"/>
          <w:lang w:val="en-US" w:eastAsia="zh-CN"/>
        </w:rPr>
        <w:t>大连理工大学软件学院 辽宁省大连市</w:t>
      </w:r>
      <w:r>
        <w:rPr>
          <w:rFonts w:hint="eastAsia" w:ascii="仿宋" w:hAnsi="仿宋" w:eastAsia="仿宋" w:cs="仿宋"/>
          <w:i w:val="0"/>
          <w:caps w:val="0"/>
          <w:color w:val="333333"/>
          <w:spacing w:val="0"/>
          <w:sz w:val="18"/>
          <w:szCs w:val="18"/>
          <w:u w:val="none"/>
          <w:shd w:val="clear" w:fill="FFFFFF"/>
        </w:rPr>
        <w:t>116620</w:t>
      </w:r>
    </w:p>
    <w:p>
      <w:pPr>
        <w:jc w:val="both"/>
        <w:rPr>
          <w:rFonts w:hint="eastAsia" w:ascii="仿宋" w:hAnsi="仿宋" w:eastAsia="仿宋" w:cs="仿宋"/>
          <w:i w:val="0"/>
          <w:caps w:val="0"/>
          <w:color w:val="333333"/>
          <w:spacing w:val="0"/>
          <w:sz w:val="18"/>
          <w:szCs w:val="18"/>
          <w:u w:val="none"/>
          <w:shd w:val="clear" w:fill="FFFFFF"/>
        </w:rPr>
      </w:pPr>
    </w:p>
    <w:p>
      <w:pPr>
        <w:jc w:val="both"/>
        <w:rPr>
          <w:rFonts w:hint="default" w:ascii="仿宋" w:hAnsi="仿宋" w:eastAsia="仿宋" w:cs="仿宋"/>
          <w:b w:val="0"/>
          <w:bCs w:val="0"/>
          <w:i w:val="0"/>
          <w:caps w:val="0"/>
          <w:color w:val="333333"/>
          <w:spacing w:val="0"/>
          <w:sz w:val="18"/>
          <w:szCs w:val="18"/>
          <w:u w:val="none"/>
          <w:shd w:val="clear" w:fill="FFFFFF"/>
          <w:lang w:val="en-US" w:eastAsia="zh-CN"/>
        </w:rPr>
      </w:pPr>
      <w:r>
        <w:rPr>
          <w:rFonts w:hint="eastAsia" w:ascii="仿宋" w:hAnsi="仿宋" w:eastAsia="仿宋" w:cs="仿宋"/>
          <w:b/>
          <w:bCs/>
          <w:i w:val="0"/>
          <w:caps w:val="0"/>
          <w:color w:val="333333"/>
          <w:spacing w:val="0"/>
          <w:sz w:val="18"/>
          <w:szCs w:val="18"/>
          <w:u w:val="none"/>
          <w:shd w:val="clear" w:fill="FFFFFF"/>
          <w:lang w:val="en-US" w:eastAsia="zh-CN"/>
        </w:rPr>
        <w:t xml:space="preserve">摘 要 </w:t>
      </w:r>
      <w:r>
        <w:rPr>
          <w:rFonts w:hint="eastAsia" w:ascii="仿宋" w:hAnsi="仿宋" w:eastAsia="仿宋" w:cs="仿宋"/>
          <w:b w:val="0"/>
          <w:bCs w:val="0"/>
          <w:i w:val="0"/>
          <w:caps w:val="0"/>
          <w:color w:val="333333"/>
          <w:spacing w:val="0"/>
          <w:sz w:val="18"/>
          <w:szCs w:val="18"/>
          <w:u w:val="none"/>
          <w:shd w:val="clear" w:fill="FFFFFF"/>
          <w:lang w:val="en-US" w:eastAsia="zh-CN"/>
        </w:rPr>
        <w:t>近年来IT行业发展迅猛，各种新技术的开发应用对市场提出了极大地人才需求，在应届毕业生方面，虽然2020年数量超过了700万，但在IT行业只有理论而缺乏实践的应届毕业生并不能进入设计人才奇缺的企业中，他们更愿意接纳有工作经验有能力的人，再减去自主创业和继续深造的人，每年能真正被企业吸纳的更少了。这种矛盾导致即便高校不断扩招，IT行业对人才需求的缺口还是越来越大，而企业选择对于人才的吸引分为人才资本投入和企业知名度投入两种，因此IT企业为了保留和吸引更多的企业核心人才，对于薪酬和福利显得毫不吝啬，薪酬从来都是与能力挂钩的，与这种高薪酬和福利相匹配的是高绩效，相对而言一般员工的薪酬增长率并不是很大，总的来看薪酬整体呈增长趋势但增长逐步放缓。</w:t>
      </w:r>
    </w:p>
    <w:p>
      <w:pPr>
        <w:jc w:val="both"/>
        <w:rPr>
          <w:rFonts w:hint="default" w:ascii="宋体" w:hAnsi="宋体" w:eastAsia="宋体"/>
          <w:b w:val="0"/>
          <w:bCs/>
          <w:sz w:val="18"/>
          <w:szCs w:val="18"/>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b/>
          <w:sz w:val="18"/>
          <w:szCs w:val="18"/>
        </w:rPr>
        <w:t>关键词：</w:t>
      </w:r>
      <w:r>
        <w:rPr>
          <w:rFonts w:hint="eastAsia" w:ascii="宋体" w:hAnsi="宋体" w:eastAsia="宋体"/>
          <w:b w:val="0"/>
          <w:bCs/>
          <w:sz w:val="18"/>
          <w:szCs w:val="18"/>
          <w:lang w:val="en-US" w:eastAsia="zh-CN"/>
        </w:rPr>
        <w:t>人才需求 绩效 增长放缓</w:t>
      </w:r>
    </w:p>
    <w:p>
      <w:pPr>
        <w:numPr>
          <w:ilvl w:val="0"/>
          <w:numId w:val="1"/>
        </w:numPr>
        <w:jc w:val="both"/>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引言</w:t>
      </w:r>
    </w:p>
    <w:p>
      <w:pPr>
        <w:numPr>
          <w:ilvl w:val="0"/>
          <w:numId w:val="0"/>
        </w:numPr>
        <w:ind w:firstLine="420" w:firstLineChars="0"/>
        <w:jc w:val="both"/>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在经历了2015年到2018年四年的低迷状态后，2019年IT行业的薪酬出现了回暖迹象，由于电信领域高增长势头不减、无线增值业务的异军突起、互联网整体上升的拉动，使得IT行业的薪酬止跌回暖。但是薪酬的提高并不意味着形势大好，各种新技术的开发应用以及互联网的迅猛发展，使得IT行业的工作压力大幅度增加，工作压力的增加大而薪酬增加的幅度小、职业风险和职位风险使得许多的IT人员心态复杂；专业技术人员受职业困倦感和枯竭感缠绕，高级职业经理人辗转在IT与非IT之间难以抉择；裁员的压力使得低层IT人员心态惶恐；宏观经济形势的不良使得IT人员的薪酬之路仍然崎岖。</w:t>
      </w:r>
    </w:p>
    <w:p>
      <w:pPr>
        <w:numPr>
          <w:ilvl w:val="0"/>
          <w:numId w:val="0"/>
        </w:numPr>
        <w:ind w:firstLine="420" w:firstLineChars="0"/>
        <w:jc w:val="both"/>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虽然形势依旧严峻，但我国在不断的飞速发展高科技领域方面的技术，追赶发达国家，所以国家必定会在政策上对这个行业有着多方位的扶持，加上整个高速发展的互联网庞大从业人群对IT行业的拉动，这些都会导致IT行业整体的薪酬水平不断上涨（见图1）。</w:t>
      </w:r>
    </w:p>
    <w:p>
      <w:pPr>
        <w:numPr>
          <w:ilvl w:val="0"/>
          <w:numId w:val="0"/>
        </w:numPr>
        <w:ind w:firstLine="420" w:firstLineChars="0"/>
        <w:jc w:val="both"/>
        <w:rPr>
          <w:rFonts w:hint="eastAsia" w:ascii="宋体" w:hAnsi="宋体" w:eastAsia="宋体" w:cs="宋体"/>
          <w:b w:val="0"/>
          <w:bCs/>
          <w:sz w:val="18"/>
          <w:szCs w:val="18"/>
          <w:lang w:val="en-US" w:eastAsia="zh-CN"/>
        </w:rPr>
      </w:pPr>
      <w:r>
        <w:rPr>
          <w:rFonts w:hint="eastAsia" w:ascii="宋体" w:hAnsi="宋体" w:eastAsia="宋体"/>
          <w:sz w:val="18"/>
          <w:szCs w:val="18"/>
        </w:rPr>
        <w:t>从调查数据来看，</w:t>
      </w:r>
      <w:r>
        <w:rPr>
          <w:rFonts w:ascii="宋体" w:hAnsi="宋体" w:eastAsia="宋体"/>
          <w:sz w:val="18"/>
          <w:szCs w:val="18"/>
        </w:rPr>
        <w:t>IT职业经理人薪酬逐年上涨，而且上涨的幅度都在10%到30%之间，但是这种上涨薪酬与付出是一致的。企业在雇用职业经理人的时候，都会根据他的期望薪酬签订很严格的绩效考核协议，如果各项指标没有达到，那么你就走人。</w:t>
      </w:r>
      <w:r>
        <w:rPr>
          <w:rFonts w:hint="eastAsia" w:ascii="宋体" w:hAnsi="宋体" w:eastAsia="宋体"/>
          <w:sz w:val="18"/>
          <w:szCs w:val="18"/>
          <w:lang w:val="en-US" w:eastAsia="zh-CN"/>
        </w:rPr>
        <w:t>薪酬从来都是和能力挂钩的，</w:t>
      </w:r>
      <w:r>
        <w:rPr>
          <w:rFonts w:ascii="宋体" w:hAnsi="宋体" w:eastAsia="宋体"/>
          <w:sz w:val="18"/>
          <w:szCs w:val="18"/>
        </w:rPr>
        <w:t>张廷文说:“作为职业经理人，决策层对他的要求和给出的薪酬是成正比的，如果我给你100万，但是所要求的业绩预期可能你自己都无法承受，你自然就去找其他的出路了。”</w:t>
      </w:r>
      <w:r>
        <w:rPr>
          <w:rFonts w:hint="eastAsia" w:ascii="宋体" w:hAnsi="宋体" w:eastAsia="宋体"/>
          <w:sz w:val="18"/>
          <w:szCs w:val="18"/>
          <w:lang w:eastAsia="zh-CN"/>
        </w:rPr>
        <w:t>（</w:t>
      </w:r>
      <w:r>
        <w:rPr>
          <w:rFonts w:hint="eastAsia" w:ascii="宋体" w:hAnsi="宋体" w:eastAsia="宋体"/>
          <w:sz w:val="18"/>
          <w:szCs w:val="18"/>
          <w:lang w:val="en-US" w:eastAsia="zh-CN"/>
        </w:rPr>
        <w:t>见图2</w:t>
      </w:r>
      <w:r>
        <w:rPr>
          <w:rFonts w:hint="eastAsia" w:ascii="宋体" w:hAnsi="宋体" w:eastAsia="宋体"/>
          <w:sz w:val="18"/>
          <w:szCs w:val="18"/>
          <w:lang w:eastAsia="zh-CN"/>
        </w:rPr>
        <w:t>）</w:t>
      </w:r>
    </w:p>
    <w:p>
      <w:pPr>
        <w:numPr>
          <w:ilvl w:val="0"/>
          <w:numId w:val="0"/>
        </w:numPr>
        <w:jc w:val="both"/>
        <w:rPr>
          <w:rFonts w:hint="default" w:ascii="宋体" w:hAnsi="宋体" w:eastAsia="宋体" w:cs="宋体"/>
          <w:b w:val="0"/>
          <w:bCs/>
          <w:sz w:val="18"/>
          <w:szCs w:val="18"/>
          <w:lang w:val="en-US" w:eastAsia="zh-CN"/>
        </w:rPr>
      </w:pPr>
      <w:r>
        <w:rPr>
          <w:rFonts w:hint="default" w:ascii="宋体" w:hAnsi="宋体" w:eastAsia="宋体" w:cs="宋体"/>
          <w:b w:val="0"/>
          <w:bCs/>
          <w:sz w:val="18"/>
          <w:szCs w:val="18"/>
          <w:lang w:val="en-US" w:eastAsia="zh-CN"/>
        </w:rPr>
        <w:drawing>
          <wp:inline distT="0" distB="0" distL="114300" distR="114300">
            <wp:extent cx="2499360" cy="1874520"/>
            <wp:effectExtent l="4445" t="4445" r="10795" b="698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0"/>
        </w:numPr>
        <w:jc w:val="both"/>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图1 2018~2019IT行业薪酬涨幅分析</w:t>
      </w:r>
    </w:p>
    <w:p>
      <w:pPr>
        <w:numPr>
          <w:ilvl w:val="0"/>
          <w:numId w:val="0"/>
        </w:numPr>
        <w:jc w:val="both"/>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drawing>
          <wp:inline distT="0" distB="0" distL="114300" distR="114300">
            <wp:extent cx="2499360" cy="1874520"/>
            <wp:effectExtent l="4445" t="4445" r="10795" b="698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jc w:val="both"/>
        <w:rPr>
          <w:rFonts w:hint="default"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图2 2018年行业短期激励项目</w:t>
      </w:r>
    </w:p>
    <w:p>
      <w:pPr>
        <w:numPr>
          <w:ilvl w:val="0"/>
          <w:numId w:val="1"/>
        </w:numPr>
        <w:jc w:val="both"/>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分析结果</w:t>
      </w:r>
    </w:p>
    <w:p>
      <w:pPr>
        <w:numPr>
          <w:ilvl w:val="0"/>
          <w:numId w:val="0"/>
        </w:numPr>
        <w:ind w:firstLine="420" w:firstLineChars="0"/>
        <w:jc w:val="both"/>
        <w:rPr>
          <w:rFonts w:hint="default"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从数据上面能看出来，在电信领域高速增长、无线增值业务的异军突起和互联网整体上升的拉动作用下，整个IT行业的薪资水平是不断上升的，但由于整个行业的不景气，IT行业从业人员的趋于饱和，使得这种增长的幅度在逐步减小。不过新技术的开发应用与发展让整个IT行业存在着庞大人才缺口，IT行业不缺人手但是缺少人才。</w:t>
      </w:r>
    </w:p>
    <w:p>
      <w:pPr>
        <w:numPr>
          <w:ilvl w:val="0"/>
          <w:numId w:val="0"/>
        </w:numPr>
        <w:ind w:firstLine="420" w:firstLineChars="0"/>
        <w:jc w:val="both"/>
        <w:rPr>
          <w:rFonts w:hint="default"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现如今中国发展迅猛，IT行业中的热门行业也在这种发展势头中越来越炙手可热，迅猛的发展开发出了新的应用和市场，而这又使得原本就缺少人手的IT行业对人才的渴求更为强烈，因此IT企业如何招揽更多人才与保留更多企业核心人才成为许多HR的关注方向（见图3）。人才意味着不仅仅只是掌握单一方面的传统技术，而是在多个方面都能有所作为，IT行业最难的从来不是完成一个项目而是对其有所创新，创新型人才已经算得上是IT行业的高等人才了。</w:t>
      </w:r>
    </w:p>
    <w:p>
      <w:pPr>
        <w:numPr>
          <w:ilvl w:val="0"/>
          <w:numId w:val="0"/>
        </w:numPr>
        <w:ind w:firstLine="420" w:firstLineChars="0"/>
        <w:jc w:val="left"/>
      </w:pPr>
      <w:r>
        <w:rPr>
          <w:rFonts w:hint="eastAsia" w:ascii="宋体" w:hAnsi="宋体" w:eastAsia="宋体"/>
          <w:sz w:val="18"/>
          <w:szCs w:val="18"/>
        </w:rPr>
        <w:t>同时随着IT行业的不断发展，类似于云计算，人工智能方向的迅速发展，这些新的就业方向在工资薪酬上有着更高的预期。拿</w:t>
      </w:r>
      <w:r>
        <w:rPr>
          <w:rFonts w:ascii="宋体" w:hAnsi="宋体" w:eastAsia="宋体"/>
          <w:sz w:val="18"/>
          <w:szCs w:val="18"/>
        </w:rPr>
        <w:t>2017年IT行业发展的趋势来说，物联网、AR/VR、自动化、大数据、云计算、人工智能在今年迅猛发展，让众人意识到，他们即将开启下一个时代</w:t>
      </w:r>
      <w:r>
        <w:rPr>
          <w:rFonts w:hint="eastAsia" w:ascii="宋体" w:hAnsi="宋体" w:eastAsia="宋体"/>
          <w:sz w:val="18"/>
          <w:szCs w:val="18"/>
          <w:lang w:eastAsia="zh-CN"/>
        </w:rPr>
        <w:t>，</w:t>
      </w:r>
      <w:r>
        <w:rPr>
          <w:rFonts w:hint="eastAsia" w:ascii="宋体" w:hAnsi="宋体" w:eastAsia="宋体"/>
          <w:sz w:val="18"/>
          <w:szCs w:val="18"/>
        </w:rPr>
        <w:t>行业走在发展的前列，行业中人员的薪酬，当然不会低。</w:t>
      </w:r>
      <w:r>
        <w:rPr>
          <w:rFonts w:hint="eastAsia" w:ascii="宋体" w:hAnsi="宋体" w:eastAsia="宋体"/>
          <w:sz w:val="18"/>
          <w:szCs w:val="18"/>
          <w:lang w:val="en-US" w:eastAsia="zh-CN"/>
        </w:rPr>
        <w:t>根据最近几年的行业年度总现金分析数据（见图4），能看到大数据、游戏以及物联网方面占比相当之高，而这几个方面的IT人士的薪资水平也不会低。</w:t>
      </w:r>
      <w:r>
        <w:drawing>
          <wp:inline distT="0" distB="0" distL="114300" distR="114300">
            <wp:extent cx="2498090" cy="1529715"/>
            <wp:effectExtent l="0" t="0" r="16510"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2498090" cy="1529715"/>
                    </a:xfrm>
                    <a:prstGeom prst="rect">
                      <a:avLst/>
                    </a:prstGeom>
                    <a:noFill/>
                    <a:ln>
                      <a:noFill/>
                    </a:ln>
                  </pic:spPr>
                </pic:pic>
              </a:graphicData>
            </a:graphic>
          </wp:inline>
        </w:drawing>
      </w:r>
    </w:p>
    <w:p>
      <w:pPr>
        <w:numPr>
          <w:ilvl w:val="0"/>
          <w:numId w:val="0"/>
        </w:numPr>
        <w:jc w:val="both"/>
        <w:rPr>
          <w:rFonts w:hint="eastAsia"/>
          <w:sz w:val="18"/>
          <w:szCs w:val="18"/>
          <w:lang w:val="en-US" w:eastAsia="zh-CN"/>
        </w:rPr>
      </w:pPr>
      <w:r>
        <w:rPr>
          <w:rFonts w:hint="eastAsia"/>
          <w:sz w:val="18"/>
          <w:szCs w:val="18"/>
          <w:lang w:val="en-US" w:eastAsia="zh-CN"/>
        </w:rPr>
        <w:t>图3 2018~2019年研发工程师岗位薪酬及需求量分析（年度总现金 单位：元）</w:t>
      </w:r>
    </w:p>
    <w:p>
      <w:pPr>
        <w:numPr>
          <w:ilvl w:val="0"/>
          <w:numId w:val="0"/>
        </w:numPr>
        <w:jc w:val="both"/>
        <w:rPr>
          <w:rFonts w:hint="default"/>
          <w:sz w:val="18"/>
          <w:szCs w:val="18"/>
          <w:lang w:val="en-US" w:eastAsia="zh-CN"/>
        </w:rPr>
      </w:pPr>
      <w:r>
        <w:rPr>
          <w:rFonts w:hint="default"/>
          <w:sz w:val="18"/>
          <w:szCs w:val="18"/>
          <w:lang w:val="en-US" w:eastAsia="zh-CN"/>
        </w:rPr>
        <w:drawing>
          <wp:inline distT="0" distB="0" distL="114300" distR="114300">
            <wp:extent cx="2499360" cy="2607945"/>
            <wp:effectExtent l="4445" t="4445" r="10795" b="1651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jc w:val="both"/>
        <w:rPr>
          <w:rFonts w:hint="default" w:ascii="黑体" w:hAnsi="黑体" w:eastAsia="黑体" w:cs="黑体"/>
          <w:b w:val="0"/>
          <w:bCs/>
          <w:sz w:val="21"/>
          <w:szCs w:val="21"/>
          <w:lang w:val="en-US" w:eastAsia="zh-CN"/>
        </w:rPr>
      </w:pPr>
      <w:r>
        <w:rPr>
          <w:rFonts w:hint="eastAsia"/>
          <w:sz w:val="18"/>
          <w:szCs w:val="18"/>
          <w:lang w:val="en-US" w:eastAsia="zh-CN"/>
        </w:rPr>
        <w:t>图4 “互联网+”行业平均年度总现金分析</w:t>
      </w:r>
    </w:p>
    <w:p>
      <w:pPr>
        <w:numPr>
          <w:ilvl w:val="0"/>
          <w:numId w:val="1"/>
        </w:numPr>
        <w:jc w:val="both"/>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分析方法</w:t>
      </w:r>
    </w:p>
    <w:p>
      <w:pPr>
        <w:numPr>
          <w:numId w:val="0"/>
        </w:numPr>
        <w:ind w:firstLine="420" w:firstLineChars="0"/>
        <w:jc w:val="both"/>
        <w:rPr>
          <w:rFonts w:hint="default"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通过查询近些年来对IT行业薪酬的报告分析，并将其通过建立图表进行比较，将近几年间IT行业薪酬的增长率计算出来，能够较为为直观的看出其变化。通过搜寻论文了解别人的观点加上论坛中别人的分析，加上对周围人的调查，对IT行业不同职业的人员划分并加以比较也可以得出较为明确的结论。</w:t>
      </w:r>
    </w:p>
    <w:p>
      <w:pPr>
        <w:numPr>
          <w:ilvl w:val="0"/>
          <w:numId w:val="1"/>
        </w:numPr>
        <w:jc w:val="left"/>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结论</w:t>
      </w:r>
    </w:p>
    <w:p>
      <w:pPr>
        <w:numPr>
          <w:numId w:val="0"/>
        </w:numPr>
        <w:ind w:firstLine="420" w:firstLineChars="0"/>
        <w:jc w:val="left"/>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在技术飞速发展的现在，IT行业的整体薪资水平还是呈现增长趋势，但增长势头在各方面的影响下逐步放缓。但是一些新的热门IT行业仍旧强势，比如大数据、云计算、人工智能、5G等，在国家的扶持和人们的期待中，这些终将给人们生活带来巨大改变的科技不光发展迅速更是吸引人才，而这些行业的从业人员薪资相比于其他的普通IT人士也要高一些。</w:t>
      </w:r>
    </w:p>
    <w:p>
      <w:pPr>
        <w:numPr>
          <w:numId w:val="0"/>
        </w:numPr>
        <w:ind w:firstLine="420" w:firstLineChars="0"/>
        <w:jc w:val="left"/>
        <w:rPr>
          <w:rFonts w:hint="default"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IT行业对从业人员的考验是全方面的，仅仅只是擅长一个方面传统技术的人在现在已经不吃香了，</w:t>
      </w:r>
      <w:r>
        <w:rPr>
          <w:rFonts w:ascii="宋体" w:hAnsi="宋体" w:eastAsia="宋体"/>
          <w:sz w:val="18"/>
          <w:szCs w:val="18"/>
        </w:rPr>
        <w:t>多元的技术能力并且与创新技术结合才能达标</w:t>
      </w:r>
      <w:r>
        <w:rPr>
          <w:rFonts w:hint="eastAsia" w:ascii="宋体" w:hAnsi="宋体" w:eastAsia="宋体"/>
          <w:sz w:val="18"/>
          <w:szCs w:val="18"/>
          <w:lang w:eastAsia="zh-CN"/>
        </w:rPr>
        <w:t>。</w:t>
      </w:r>
      <w:r>
        <w:rPr>
          <w:rFonts w:hint="eastAsia" w:ascii="宋体" w:hAnsi="宋体" w:eastAsia="宋体"/>
          <w:sz w:val="18"/>
          <w:szCs w:val="18"/>
          <w:lang w:val="en-US" w:eastAsia="zh-CN"/>
        </w:rPr>
        <w:t>与此同时一线城市与二三线城市的薪资水平当然也不一样，IT行业集中发达的北上广等地区，IT行业的薪资增长水平是要高于其他地区的。</w:t>
      </w:r>
    </w:p>
    <w:p>
      <w:pPr>
        <w:numPr>
          <w:numId w:val="0"/>
        </w:numPr>
        <w:jc w:val="center"/>
        <w:rPr>
          <w:rFonts w:hint="eastAsia" w:ascii="黑体" w:hAnsi="黑体" w:eastAsia="黑体" w:cs="黑体"/>
          <w:b w:val="0"/>
          <w:bCs/>
          <w:sz w:val="21"/>
          <w:szCs w:val="21"/>
          <w:lang w:val="en-US" w:eastAsia="zh-CN"/>
        </w:rPr>
      </w:pPr>
    </w:p>
    <w:p>
      <w:pPr>
        <w:numPr>
          <w:numId w:val="0"/>
        </w:numPr>
        <w:jc w:val="center"/>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参考文献</w:t>
      </w:r>
    </w:p>
    <w:p>
      <w:pPr>
        <w:numPr>
          <w:ilvl w:val="0"/>
          <w:numId w:val="2"/>
        </w:numPr>
        <w:jc w:val="left"/>
        <w:rPr>
          <w:rFonts w:hint="eastAsia" w:ascii="黑体" w:hAnsi="黑体" w:eastAsia="黑体" w:cs="黑体"/>
          <w:b w:val="0"/>
          <w:bCs/>
          <w:sz w:val="18"/>
          <w:szCs w:val="18"/>
          <w:lang w:val="en-US" w:eastAsia="zh-CN"/>
        </w:rPr>
      </w:pPr>
      <w:r>
        <w:rPr>
          <w:rFonts w:hint="eastAsia" w:ascii="黑体" w:hAnsi="黑体" w:eastAsia="黑体" w:cs="黑体"/>
          <w:b w:val="0"/>
          <w:bCs/>
          <w:sz w:val="18"/>
          <w:szCs w:val="18"/>
          <w:lang w:val="en-US" w:eastAsia="zh-CN"/>
        </w:rPr>
        <w:t>《2018-2019年度薪酬数据系列白皮书》</w:t>
      </w:r>
    </w:p>
    <w:p>
      <w:pPr>
        <w:numPr>
          <w:ilvl w:val="0"/>
          <w:numId w:val="2"/>
        </w:numPr>
        <w:jc w:val="left"/>
        <w:rPr>
          <w:rFonts w:hint="default" w:ascii="黑体" w:hAnsi="黑体" w:eastAsia="黑体" w:cs="黑体"/>
          <w:b w:val="0"/>
          <w:bCs/>
          <w:sz w:val="18"/>
          <w:szCs w:val="18"/>
          <w:lang w:val="en-US" w:eastAsia="zh-CN"/>
        </w:rPr>
      </w:pPr>
      <w:r>
        <w:rPr>
          <w:rFonts w:hint="eastAsia" w:ascii="黑体" w:hAnsi="黑体" w:eastAsia="黑体" w:cs="黑体"/>
          <w:b w:val="0"/>
          <w:bCs/>
          <w:sz w:val="18"/>
          <w:szCs w:val="18"/>
          <w:lang w:val="en-US" w:eastAsia="zh-CN"/>
        </w:rPr>
        <w:t>《IT行业现状与薪酬分析》</w:t>
      </w:r>
    </w:p>
    <w:p>
      <w:pPr>
        <w:numPr>
          <w:ilvl w:val="0"/>
          <w:numId w:val="2"/>
        </w:numPr>
        <w:jc w:val="left"/>
        <w:rPr>
          <w:rFonts w:hint="default" w:ascii="黑体" w:hAnsi="黑体" w:eastAsia="黑体" w:cs="黑体"/>
          <w:b w:val="0"/>
          <w:bCs/>
          <w:sz w:val="18"/>
          <w:szCs w:val="18"/>
          <w:lang w:val="en-US" w:eastAsia="zh-CN"/>
        </w:rPr>
      </w:pPr>
      <w:r>
        <w:rPr>
          <w:rFonts w:ascii="黑体" w:hAnsi="黑体" w:eastAsia="黑体"/>
          <w:sz w:val="18"/>
          <w:szCs w:val="18"/>
        </w:rPr>
        <w:t>陈琳. 中国IT行业人才需求简析[J]. 江苏科技信息:学术研究, 2011(12).</w:t>
      </w:r>
      <w:bookmarkStart w:id="0" w:name="_GoBack"/>
      <w:bookmarkEnd w:id="0"/>
    </w:p>
    <w:p>
      <w:pPr>
        <w:numPr>
          <w:numId w:val="0"/>
        </w:numPr>
        <w:ind w:firstLine="420" w:firstLineChars="0"/>
        <w:jc w:val="left"/>
        <w:rPr>
          <w:rFonts w:hint="eastAsia" w:ascii="黑体" w:hAnsi="黑体" w:eastAsia="黑体" w:cs="黑体"/>
          <w:b w:val="0"/>
          <w:bCs/>
          <w:sz w:val="21"/>
          <w:szCs w:val="21"/>
          <w:lang w:val="en-US" w:eastAsia="zh-CN"/>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1282E"/>
    <w:multiLevelType w:val="singleLevel"/>
    <w:tmpl w:val="5F61282E"/>
    <w:lvl w:ilvl="0" w:tentative="0">
      <w:start w:val="1"/>
      <w:numFmt w:val="decimal"/>
      <w:lvlText w:val="%1."/>
      <w:lvlJc w:val="left"/>
      <w:pPr>
        <w:tabs>
          <w:tab w:val="left" w:pos="312"/>
        </w:tabs>
      </w:pPr>
    </w:lvl>
  </w:abstractNum>
  <w:abstractNum w:abstractNumId="1">
    <w:nsid w:val="606DF4E3"/>
    <w:multiLevelType w:val="singleLevel"/>
    <w:tmpl w:val="606DF4E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B4583D"/>
    <w:rsid w:val="64DF4DC1"/>
    <w:rsid w:val="6CF43C0C"/>
    <w:rsid w:val="72B1583A"/>
    <w:rsid w:val="732D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3.xml"/><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IT</a:t>
            </a:r>
            <a:r>
              <a:t>行业薪酬涨幅分析</a:t>
            </a: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2018年实际</c:v>
                </c:pt>
              </c:strCache>
            </c:strRef>
          </c:tx>
          <c:spPr>
            <a:solidFill>
              <a:schemeClr val="accent1"/>
            </a:solidFill>
            <a:ln>
              <a:noFill/>
            </a:ln>
            <a:effectLst/>
          </c:spPr>
          <c:invertIfNegative val="0"/>
          <c:dLbls>
            <c:delete val="1"/>
          </c:dLbls>
          <c:cat>
            <c:strRef>
              <c:f>Sheet1!$A$2:$A$4</c:f>
              <c:strCache>
                <c:ptCount val="3"/>
                <c:pt idx="0">
                  <c:v>低端水平</c:v>
                </c:pt>
                <c:pt idx="1">
                  <c:v>中端水平</c:v>
                </c:pt>
                <c:pt idx="2">
                  <c:v>高端水平</c:v>
                </c:pt>
              </c:strCache>
            </c:strRef>
          </c:cat>
          <c:val>
            <c:numRef>
              <c:f>Sheet1!$B$2:$B$4</c:f>
              <c:numCache>
                <c:formatCode>0.00%</c:formatCode>
                <c:ptCount val="3"/>
                <c:pt idx="0">
                  <c:v>0.068</c:v>
                </c:pt>
                <c:pt idx="1">
                  <c:v>0.078</c:v>
                </c:pt>
                <c:pt idx="2">
                  <c:v>0.125</c:v>
                </c:pt>
              </c:numCache>
            </c:numRef>
          </c:val>
        </c:ser>
        <c:ser>
          <c:idx val="1"/>
          <c:order val="1"/>
          <c:tx>
            <c:strRef>
              <c:f>Sheet1!$C$1</c:f>
              <c:strCache>
                <c:ptCount val="1"/>
                <c:pt idx="0">
                  <c:v>2019年预计</c:v>
                </c:pt>
              </c:strCache>
            </c:strRef>
          </c:tx>
          <c:spPr>
            <a:solidFill>
              <a:schemeClr val="accent2"/>
            </a:solidFill>
            <a:ln>
              <a:noFill/>
            </a:ln>
            <a:effectLst/>
          </c:spPr>
          <c:invertIfNegative val="0"/>
          <c:dLbls>
            <c:delete val="1"/>
          </c:dLbls>
          <c:cat>
            <c:strRef>
              <c:f>Sheet1!$A$2:$A$4</c:f>
              <c:strCache>
                <c:ptCount val="3"/>
                <c:pt idx="0">
                  <c:v>低端水平</c:v>
                </c:pt>
                <c:pt idx="1">
                  <c:v>中端水平</c:v>
                </c:pt>
                <c:pt idx="2">
                  <c:v>高端水平</c:v>
                </c:pt>
              </c:strCache>
            </c:strRef>
          </c:cat>
          <c:val>
            <c:numRef>
              <c:f>Sheet1!$C$2:$C$4</c:f>
              <c:numCache>
                <c:formatCode>0.00%</c:formatCode>
                <c:ptCount val="3"/>
                <c:pt idx="0">
                  <c:v>0.06</c:v>
                </c:pt>
                <c:pt idx="1">
                  <c:v>0.072</c:v>
                </c:pt>
                <c:pt idx="2">
                  <c:v>0.098</c:v>
                </c:pt>
              </c:numCache>
            </c:numRef>
          </c:val>
        </c:ser>
        <c:dLbls>
          <c:showLegendKey val="0"/>
          <c:showVal val="0"/>
          <c:showCatName val="0"/>
          <c:showSerName val="0"/>
          <c:showPercent val="0"/>
          <c:showBubbleSize val="0"/>
        </c:dLbls>
        <c:gapWidth val="219"/>
        <c:overlap val="-27"/>
        <c:axId val="353866958"/>
        <c:axId val="890213426"/>
      </c:barChart>
      <c:catAx>
        <c:axId val="35386695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0213426"/>
        <c:crosses val="autoZero"/>
        <c:auto val="1"/>
        <c:lblAlgn val="ctr"/>
        <c:lblOffset val="100"/>
        <c:noMultiLvlLbl val="0"/>
      </c:catAx>
      <c:valAx>
        <c:axId val="89021342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386695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2018</a:t>
            </a:r>
            <a:r>
              <a:rPr altLang="en-US"/>
              <a:t>年行业短期激励项目</a:t>
            </a:r>
            <a:endParaRPr lang="en-US" altLang="zh-CN"/>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delete val="1"/>
          </c:dLbls>
          <c:cat>
            <c:strRef>
              <c:f>Sheet1!$A$2:$A$10</c:f>
              <c:strCache>
                <c:ptCount val="9"/>
                <c:pt idx="0">
                  <c:v>绩效奖金</c:v>
                </c:pt>
                <c:pt idx="1">
                  <c:v>年终奖金</c:v>
                </c:pt>
                <c:pt idx="2">
                  <c:v>项目奖金</c:v>
                </c:pt>
                <c:pt idx="3">
                  <c:v>核心人才特殊激励</c:v>
                </c:pt>
                <c:pt idx="4">
                  <c:v>创新奖金</c:v>
                </c:pt>
                <c:pt idx="5">
                  <c:v>利润分享奖金</c:v>
                </c:pt>
                <c:pt idx="6">
                  <c:v>高管特别奖</c:v>
                </c:pt>
                <c:pt idx="7">
                  <c:v>专利奖金</c:v>
                </c:pt>
                <c:pt idx="8">
                  <c:v>目标完成奖励</c:v>
                </c:pt>
              </c:strCache>
            </c:strRef>
          </c:cat>
          <c:val>
            <c:numRef>
              <c:f>Sheet1!$B$2:$B$10</c:f>
              <c:numCache>
                <c:formatCode>0.00%</c:formatCode>
                <c:ptCount val="9"/>
                <c:pt idx="0">
                  <c:v>0.925</c:v>
                </c:pt>
                <c:pt idx="1">
                  <c:v>0.874</c:v>
                </c:pt>
                <c:pt idx="2">
                  <c:v>0.856</c:v>
                </c:pt>
                <c:pt idx="3">
                  <c:v>0.624</c:v>
                </c:pt>
                <c:pt idx="4">
                  <c:v>0.577</c:v>
                </c:pt>
                <c:pt idx="5">
                  <c:v>0.368</c:v>
                </c:pt>
                <c:pt idx="6">
                  <c:v>0.322</c:v>
                </c:pt>
                <c:pt idx="7">
                  <c:v>0.287</c:v>
                </c:pt>
                <c:pt idx="8">
                  <c:v>0.242</c:v>
                </c:pt>
              </c:numCache>
            </c:numRef>
          </c:val>
        </c:ser>
        <c:dLbls>
          <c:showLegendKey val="0"/>
          <c:showVal val="0"/>
          <c:showCatName val="0"/>
          <c:showSerName val="0"/>
          <c:showPercent val="0"/>
          <c:showBubbleSize val="0"/>
        </c:dLbls>
        <c:gapWidth val="219"/>
        <c:overlap val="-27"/>
        <c:axId val="289088440"/>
        <c:axId val="512849400"/>
      </c:barChart>
      <c:catAx>
        <c:axId val="2890884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2849400"/>
        <c:crosses val="autoZero"/>
        <c:auto val="1"/>
        <c:lblAlgn val="ctr"/>
        <c:lblOffset val="100"/>
        <c:noMultiLvlLbl val="0"/>
      </c:catAx>
      <c:valAx>
        <c:axId val="512849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908844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900"/>
              <a:t>“</a:t>
            </a:r>
            <a:r>
              <a:rPr altLang="en-US" sz="900"/>
              <a:t>互联网</a:t>
            </a:r>
            <a:r>
              <a:rPr lang="en-US" altLang="zh-CN" sz="900"/>
              <a:t>+”</a:t>
            </a:r>
            <a:r>
              <a:rPr altLang="en-US" sz="900"/>
              <a:t>行业平均年度总现金分析</a:t>
            </a:r>
            <a:endParaRPr lang="en-US" altLang="zh-CN" sz="900"/>
          </a:p>
        </c:rich>
      </c:tx>
      <c:layout/>
      <c:overlay val="0"/>
      <c:spPr>
        <a:noFill/>
        <a:ln>
          <a:noFill/>
        </a:ln>
        <a:effectLst/>
      </c:spPr>
    </c:title>
    <c:autoTitleDeleted val="0"/>
    <c:plotArea>
      <c:layout/>
      <c:barChart>
        <c:barDir val="bar"/>
        <c:grouping val="clustered"/>
        <c:varyColors val="0"/>
        <c:ser>
          <c:idx val="0"/>
          <c:order val="0"/>
          <c:tx>
            <c:strRef>
              <c:f>Sheet1!$B$1</c:f>
              <c:strCache>
                <c:ptCount val="1"/>
                <c:pt idx="0">
                  <c:v>系列 1</c:v>
                </c:pt>
              </c:strCache>
            </c:strRef>
          </c:tx>
          <c:spPr>
            <a:solidFill>
              <a:schemeClr val="accent1"/>
            </a:solidFill>
            <a:ln>
              <a:noFill/>
            </a:ln>
            <a:effectLst/>
          </c:spPr>
          <c:invertIfNegative val="0"/>
          <c:dLbls>
            <c:delete val="1"/>
          </c:dLbls>
          <c:cat>
            <c:strRef>
              <c:f>Sheet1!$A$2:$A$20</c:f>
              <c:strCache>
                <c:ptCount val="19"/>
                <c:pt idx="0">
                  <c:v>其他类</c:v>
                </c:pt>
                <c:pt idx="1">
                  <c:v>生活服务</c:v>
                </c:pt>
                <c:pt idx="2">
                  <c:v>招聘</c:v>
                </c:pt>
                <c:pt idx="3">
                  <c:v>文化娱乐</c:v>
                </c:pt>
                <c:pt idx="4">
                  <c:v>旅游</c:v>
                </c:pt>
                <c:pt idx="5">
                  <c:v>社交网络</c:v>
                </c:pt>
                <c:pt idx="6">
                  <c:v>企业服务</c:v>
                </c:pt>
                <c:pt idx="7">
                  <c:v>电子商务</c:v>
                </c:pt>
                <c:pt idx="8">
                  <c:v>教育</c:v>
                </c:pt>
                <c:pt idx="9">
                  <c:v>金融</c:v>
                </c:pt>
                <c:pt idx="10">
                  <c:v>广告营销</c:v>
                </c:pt>
                <c:pt idx="11">
                  <c:v>医疗健康</c:v>
                </c:pt>
                <c:pt idx="12">
                  <c:v>移动互联网</c:v>
                </c:pt>
                <c:pt idx="13">
                  <c:v>信息安全</c:v>
                </c:pt>
                <c:pt idx="14">
                  <c:v>数据服务</c:v>
                </c:pt>
                <c:pt idx="15">
                  <c:v>智能硬件</c:v>
                </c:pt>
                <c:pt idx="16">
                  <c:v>物联网</c:v>
                </c:pt>
                <c:pt idx="17">
                  <c:v>游戏</c:v>
                </c:pt>
                <c:pt idx="18">
                  <c:v>大数据</c:v>
                </c:pt>
              </c:strCache>
            </c:strRef>
          </c:cat>
          <c:val>
            <c:numRef>
              <c:f>Sheet1!$B$2:$B$20</c:f>
              <c:numCache>
                <c:formatCode>General</c:formatCode>
                <c:ptCount val="19"/>
                <c:pt idx="0">
                  <c:v>110000</c:v>
                </c:pt>
                <c:pt idx="1">
                  <c:v>115000</c:v>
                </c:pt>
                <c:pt idx="2">
                  <c:v>111500</c:v>
                </c:pt>
                <c:pt idx="3">
                  <c:v>120000</c:v>
                </c:pt>
                <c:pt idx="4">
                  <c:v>125000</c:v>
                </c:pt>
                <c:pt idx="5">
                  <c:v>125500</c:v>
                </c:pt>
                <c:pt idx="6">
                  <c:v>127000</c:v>
                </c:pt>
                <c:pt idx="7">
                  <c:v>135000</c:v>
                </c:pt>
                <c:pt idx="8">
                  <c:v>135500</c:v>
                </c:pt>
                <c:pt idx="9">
                  <c:v>137000</c:v>
                </c:pt>
                <c:pt idx="10">
                  <c:v>140000</c:v>
                </c:pt>
                <c:pt idx="11">
                  <c:v>141000</c:v>
                </c:pt>
                <c:pt idx="12">
                  <c:v>145000</c:v>
                </c:pt>
                <c:pt idx="13">
                  <c:v>145100</c:v>
                </c:pt>
                <c:pt idx="14">
                  <c:v>145500</c:v>
                </c:pt>
                <c:pt idx="15">
                  <c:v>147000</c:v>
                </c:pt>
                <c:pt idx="16">
                  <c:v>151000</c:v>
                </c:pt>
                <c:pt idx="17">
                  <c:v>165000</c:v>
                </c:pt>
                <c:pt idx="18">
                  <c:v>245000</c:v>
                </c:pt>
              </c:numCache>
            </c:numRef>
          </c:val>
        </c:ser>
        <c:dLbls>
          <c:showLegendKey val="0"/>
          <c:showVal val="0"/>
          <c:showCatName val="0"/>
          <c:showSerName val="0"/>
          <c:showPercent val="0"/>
          <c:showBubbleSize val="0"/>
        </c:dLbls>
        <c:gapWidth val="182"/>
        <c:overlap val="0"/>
        <c:axId val="837750540"/>
        <c:axId val="148553132"/>
      </c:barChart>
      <c:catAx>
        <c:axId val="837750540"/>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8553132"/>
        <c:crosses val="autoZero"/>
        <c:auto val="1"/>
        <c:lblAlgn val="ctr"/>
        <c:lblOffset val="100"/>
        <c:noMultiLvlLbl val="0"/>
      </c:catAx>
      <c:valAx>
        <c:axId val="1485531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775054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2021-04-04T05:12:00Z</dcterms:created>
  <dc:creator>Administrator</dc:creator>
  <cp:lastModifiedBy>Administrator</cp:lastModifiedBy>
  <dcterms:modified xsi:type="dcterms:W3CDTF">2021-04-07T11:10:38Z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