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华文中宋" w:hAnsi="华文中宋" w:eastAsia="黑体" w:cs="黑体"/>
          <w:sz w:val="32"/>
          <w:szCs w:val="32"/>
          <w:lang w:val="en-US" w:eastAsia="zh-CN"/>
        </w:rPr>
      </w:pPr>
      <w:r>
        <w:rPr>
          <w:rFonts w:hint="eastAsia" w:ascii="华文中宋" w:hAnsi="华文中宋" w:eastAsia="黑体" w:cs="黑体"/>
          <w:sz w:val="32"/>
          <w:szCs w:val="32"/>
          <w:lang w:val="en-US" w:eastAsia="zh-CN"/>
        </w:rPr>
        <w:t>信息产业劳动者薪资分析报告</w:t>
      </w:r>
    </w:p>
    <w:p>
      <w:pPr>
        <w:numPr>
          <w:numId w:val="0"/>
        </w:numPr>
        <w:rPr>
          <w:rFonts w:hint="eastAsia" w:ascii="华文中宋" w:hAnsi="华文中宋" w:eastAsia="黑体" w:cs="黑体"/>
          <w:sz w:val="32"/>
          <w:szCs w:val="32"/>
          <w:lang w:val="en-US" w:eastAsia="zh-CN"/>
        </w:rPr>
      </w:pPr>
    </w:p>
    <w:p>
      <w:pPr>
        <w:numPr>
          <w:numId w:val="0"/>
        </w:numPr>
        <w:rPr>
          <w:rFonts w:hint="default" w:ascii="华文中宋" w:hAnsi="华文中宋" w:eastAsia="宋体" w:cs="黑体"/>
          <w:sz w:val="32"/>
          <w:szCs w:val="32"/>
          <w:lang w:val="en-US" w:eastAsia="zh-CN"/>
        </w:rPr>
      </w:pPr>
      <w:r>
        <w:rPr>
          <w:rFonts w:hint="eastAsia" w:ascii="宋体" w:hAnsi="宋体" w:eastAsia="宋体"/>
          <w:b/>
          <w:sz w:val="21"/>
          <w:szCs w:val="21"/>
        </w:rPr>
        <w:t>作者</w:t>
      </w:r>
      <w:r>
        <w:rPr>
          <w:rFonts w:hint="eastAsia" w:ascii="宋体" w:hAnsi="宋体" w:eastAsia="宋体"/>
          <w:b/>
          <w:sz w:val="21"/>
          <w:szCs w:val="21"/>
          <w:lang w:val="en-US" w:eastAsia="zh-CN"/>
        </w:rPr>
        <w:t xml:space="preserve"> 王鸿鑫</w:t>
      </w:r>
      <w:bookmarkStart w:id="0" w:name="_GoBack"/>
      <w:bookmarkEnd w:id="0"/>
    </w:p>
    <w:p>
      <w:pPr>
        <w:numPr>
          <w:numId w:val="0"/>
        </w:numPr>
        <w:rPr>
          <w:rFonts w:hint="eastAsia" w:ascii="黑体" w:hAnsi="黑体" w:eastAsia="黑体" w:cs="黑体"/>
          <w:sz w:val="21"/>
          <w:szCs w:val="21"/>
          <w:lang w:val="en-US" w:eastAsia="zh-CN"/>
        </w:rPr>
      </w:pPr>
    </w:p>
    <w:p>
      <w:pPr>
        <w:numPr>
          <w:numId w:val="0"/>
        </w:numPr>
        <w:rPr>
          <w:rFonts w:hint="eastAsia" w:ascii="黑体" w:hAnsi="黑体" w:eastAsia="黑体" w:cs="黑体"/>
          <w:sz w:val="21"/>
          <w:szCs w:val="21"/>
          <w:lang w:val="en-US" w:eastAsia="zh-CN"/>
        </w:rPr>
      </w:pPr>
    </w:p>
    <w:p>
      <w:pPr>
        <w:numPr>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摘要</w:t>
      </w:r>
    </w:p>
    <w:p>
      <w:pPr>
        <w:numPr>
          <w:numId w:val="0"/>
        </w:numPr>
        <w:ind w:firstLine="360" w:firstLineChars="200"/>
        <w:rPr>
          <w:rFonts w:hint="default" w:ascii="黑体" w:hAnsi="黑体" w:eastAsia="黑体" w:cs="黑体"/>
          <w:sz w:val="21"/>
          <w:szCs w:val="21"/>
          <w:lang w:val="en-US" w:eastAsia="zh-CN"/>
        </w:rPr>
      </w:pPr>
      <w:r>
        <w:rPr>
          <w:rFonts w:hint="eastAsia" w:ascii="宋体" w:hAnsi="宋体" w:eastAsia="宋体" w:cs="宋体"/>
          <w:sz w:val="18"/>
          <w:szCs w:val="18"/>
          <w:lang w:val="en-US" w:eastAsia="zh-CN"/>
        </w:rPr>
        <w:t>在过去的十年时间里，信息产业在中国的产业布局与国民经济中占据了越来越重要的地位，计算机科学、软将工程、通信等相关专业也随之变得愈发的火爆，有越来越多的年轻人希望在大学毕业后从事与信息产业相关的工作。随之而来的是，信息产业从业人员的收入情况也越来越受到人们的关注。</w:t>
      </w:r>
    </w:p>
    <w:p>
      <w:pPr>
        <w:numPr>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这项工作分析了中国信息产业从业者的薪资变化，首先描述了信息产业工作者的平均收入自2010年至2020年的具体有多少及其数目变化趋势。并且，通过与信息产业工作者收入与其他重要行业（比如交通运输业、能源工业、房地产业）的工作者收入以及当年全国人均收入等进行横向对比，来探究信息产业从业人员的收入水平在过去的3年里处于何种水平。同时，这项工作会将信息产业的总体营收情况变化与从业人员的薪酬总额进行对比，来探寻目前的信息产业工作者的收入水平及其变化趋势是否合理。最后，通过对信息产业中各主要类型的岗位薪酬进行对比，分析目前信息产业的热门发展方向与人才供需情况。</w:t>
      </w:r>
    </w:p>
    <w:p>
      <w:pPr>
        <w:numPr>
          <w:numId w:val="0"/>
        </w:numPr>
        <w:rPr>
          <w:rFonts w:hint="eastAsia" w:ascii="宋体" w:hAnsi="宋体" w:eastAsia="宋体" w:cs="宋体"/>
          <w:sz w:val="18"/>
          <w:szCs w:val="18"/>
          <w:lang w:val="en-US" w:eastAsia="zh-CN"/>
        </w:rPr>
      </w:pPr>
    </w:p>
    <w:p>
      <w:pPr>
        <w:numPr>
          <w:numId w:val="0"/>
        </w:numPr>
        <w:rPr>
          <w:rFonts w:hint="eastAsia" w:ascii="宋体" w:hAnsi="宋体" w:eastAsia="宋体" w:cs="宋体"/>
          <w:sz w:val="18"/>
          <w:szCs w:val="18"/>
          <w:lang w:val="en-US" w:eastAsia="zh-CN"/>
        </w:rPr>
      </w:pPr>
    </w:p>
    <w:p>
      <w:pPr>
        <w:numPr>
          <w:ilvl w:val="0"/>
          <w:numId w:val="1"/>
        </w:num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引言</w:t>
      </w:r>
    </w:p>
    <w:p>
      <w:pPr>
        <w:numPr>
          <w:numId w:val="0"/>
        </w:numPr>
        <w:ind w:leftChars="0"/>
        <w:rPr>
          <w:rFonts w:hint="eastAsia" w:ascii="黑体" w:hAnsi="黑体" w:eastAsia="黑体" w:cs="黑体"/>
          <w:sz w:val="21"/>
          <w:szCs w:val="21"/>
          <w:lang w:val="en-US" w:eastAsia="zh-CN"/>
        </w:rPr>
      </w:pPr>
    </w:p>
    <w:p>
      <w:pPr>
        <w:numPr>
          <w:numId w:val="0"/>
        </w:numPr>
        <w:ind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要想研究信息产业工作者的薪资情况，需要先对信息产业进行一个定义。按照中国工信部的说法，可以将信息产业归为电子信息、通信、软件技术与服务着三个领域。文章中的信息产业收入数据将包括以上三个行业。这项工作将通过信息产业工作人员收入按时间的纵向对比，信息产业与其他产业的横向对比，产业内部的各岗位间的薪资对比来得出最后的结论。</w:t>
      </w:r>
    </w:p>
    <w:p>
      <w:pPr>
        <w:numPr>
          <w:numId w:val="0"/>
        </w:numPr>
        <w:rPr>
          <w:rFonts w:hint="eastAsia" w:ascii="宋体" w:hAnsi="宋体" w:eastAsia="宋体" w:cs="宋体"/>
          <w:sz w:val="18"/>
          <w:szCs w:val="18"/>
          <w:lang w:val="en-US" w:eastAsia="zh-CN"/>
        </w:rPr>
      </w:pPr>
    </w:p>
    <w:p>
      <w:pPr>
        <w:numPr>
          <w:ilvl w:val="0"/>
          <w:numId w:val="1"/>
        </w:num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信息产业劳动者报酬调查</w:t>
      </w:r>
    </w:p>
    <w:p>
      <w:pPr>
        <w:numPr>
          <w:numId w:val="0"/>
        </w:numPr>
        <w:ind w:leftChars="0"/>
        <w:rPr>
          <w:rFonts w:hint="default" w:ascii="黑体" w:hAnsi="黑体" w:eastAsia="黑体" w:cs="黑体"/>
          <w:sz w:val="21"/>
          <w:szCs w:val="21"/>
          <w:lang w:val="en-US" w:eastAsia="zh-CN"/>
        </w:rPr>
      </w:pPr>
    </w:p>
    <w:p>
      <w:pPr>
        <w:numPr>
          <w:ilvl w:val="1"/>
          <w:numId w:val="1"/>
        </w:numPr>
        <w:ind w:leftChars="0"/>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信息产业工作者人均收入变化</w:t>
      </w:r>
    </w:p>
    <w:p>
      <w:pPr>
        <w:numPr>
          <w:numId w:val="0"/>
        </w:numPr>
        <w:ind w:left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w:t>
      </w:r>
    </w:p>
    <w:p>
      <w:pPr>
        <w:numPr>
          <w:numId w:val="0"/>
        </w:numPr>
        <w:ind w:leftChars="0"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根据国家统计局发布的数据（图1）显示，在2010年，中国信息产业工作人员平均年收入仅为</w:t>
      </w:r>
      <w:r>
        <w:rPr>
          <w:rFonts w:hint="eastAsia" w:ascii="宋体" w:hAnsi="宋体" w:eastAsia="宋体"/>
          <w:sz w:val="18"/>
          <w:szCs w:val="18"/>
          <w:lang w:val="en-US" w:eastAsia="zh-CN"/>
        </w:rPr>
        <w:t>64436元，但是到了2019年，这个数据增长到了161352元，翻了一倍不止。并且在此期间，中国信息产业工作人员人均年收入年年增长，展示出了中国信息产业的蓬勃发展与市场潜力。从同比去年人均收入增长数据（图2）来看，在2010-2019年期间，中国信息产业从业者收入水平的提升非常迅速，在2010-2015年期间，同比去年增幅全都超过10%，最高的一年是2012年，涨幅达到了13.52%。虽然在2015年后，人均收入增幅没能继续保持之前的势头，但是也都在8%以上，这同样是一个非常可观的数字，要知道这几年的国民GDP同比增幅远没有达到这一水平。虽然说人均收入不等同与薪资，还包括理财收入等其他收入方式，但薪资收入依旧是人均收入中占大比重的部分，所以这还是能反映出为何信息产业在近些年受到年轻一代青睐的原因。</w:t>
      </w:r>
    </w:p>
    <w:p>
      <w:pPr>
        <w:numPr>
          <w:numId w:val="0"/>
        </w:numPr>
        <w:ind w:leftChars="0" w:firstLine="360" w:firstLineChars="200"/>
        <w:rPr>
          <w:rFonts w:hint="eastAsia" w:ascii="宋体" w:hAnsi="宋体" w:eastAsia="宋体" w:cs="宋体"/>
          <w:sz w:val="18"/>
          <w:szCs w:val="18"/>
          <w:lang w:val="en-US" w:eastAsia="zh-CN"/>
        </w:rPr>
      </w:pPr>
    </w:p>
    <w:p>
      <w:pPr>
        <w:numPr>
          <w:numId w:val="0"/>
        </w:numPr>
        <w:ind w:leftChars="0" w:firstLine="360" w:firstLineChars="200"/>
        <w:rPr>
          <w:rFonts w:hint="eastAsia" w:ascii="宋体" w:hAnsi="宋体" w:eastAsia="宋体" w:cs="宋体"/>
          <w:sz w:val="18"/>
          <w:szCs w:val="18"/>
          <w:lang w:val="en-US" w:eastAsia="zh-CN"/>
        </w:rPr>
      </w:pPr>
    </w:p>
    <w:p>
      <w:pPr>
        <w:numPr>
          <w:numId w:val="0"/>
        </w:numPr>
        <w:ind w:leftChars="0" w:firstLine="400" w:firstLineChars="200"/>
        <w:rPr>
          <w:rFonts w:hint="default" w:ascii="黑体" w:hAnsi="黑体" w:eastAsia="黑体" w:cs="黑体"/>
          <w:sz w:val="18"/>
          <w:szCs w:val="18"/>
          <w:lang w:val="en-US" w:eastAsia="zh-CN"/>
        </w:rPr>
      </w:pPr>
      <w:r>
        <w:drawing>
          <wp:inline distT="0" distB="0" distL="114300" distR="114300">
            <wp:extent cx="4145915" cy="2132965"/>
            <wp:effectExtent l="4445" t="5080" r="10160"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numId w:val="0"/>
        </w:numPr>
        <w:ind w:leftChars="0"/>
        <w:rPr>
          <w:rFonts w:hint="default" w:ascii="黑体" w:hAnsi="黑体" w:eastAsia="黑体" w:cs="黑体"/>
          <w:sz w:val="21"/>
          <w:szCs w:val="21"/>
          <w:lang w:val="en-US" w:eastAsia="zh-CN"/>
        </w:rPr>
      </w:pPr>
    </w:p>
    <w:p>
      <w:pPr>
        <w:numPr>
          <w:numId w:val="0"/>
        </w:num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               图1</w:t>
      </w:r>
      <w:r>
        <w:rPr>
          <w:rStyle w:val="4"/>
          <w:rFonts w:hint="eastAsia" w:ascii="宋体" w:hAnsi="宋体" w:eastAsia="宋体" w:cs="宋体"/>
          <w:sz w:val="18"/>
          <w:szCs w:val="18"/>
          <w:lang w:val="en-US" w:eastAsia="zh-CN"/>
        </w:rPr>
        <w:endnoteReference w:id="0"/>
      </w:r>
    </w:p>
    <w:p>
      <w:pPr>
        <w:numPr>
          <w:numId w:val="0"/>
        </w:numPr>
      </w:pPr>
      <w:r>
        <w:drawing>
          <wp:inline distT="0" distB="0" distL="114300" distR="114300">
            <wp:extent cx="3634105" cy="1966595"/>
            <wp:effectExtent l="4445" t="4445" r="19050" b="1016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numId w:val="0"/>
        </w:numPr>
        <w:rPr>
          <w:rFonts w:hint="default" w:eastAsiaTheme="minorEastAsia"/>
          <w:lang w:val="en-US" w:eastAsia="zh-CN"/>
        </w:rPr>
      </w:pPr>
      <w:r>
        <w:rPr>
          <w:rFonts w:hint="eastAsia"/>
          <w:lang w:val="en-US" w:eastAsia="zh-CN"/>
        </w:rPr>
        <w:t xml:space="preserve">   图2</w:t>
      </w:r>
    </w:p>
    <w:p>
      <w:pPr>
        <w:numPr>
          <w:numId w:val="0"/>
        </w:numPr>
      </w:pPr>
    </w:p>
    <w:p>
      <w:pPr>
        <w:numPr>
          <w:ilvl w:val="1"/>
          <w:numId w:val="1"/>
        </w:numPr>
        <w:ind w:left="0" w:leftChars="0" w:firstLine="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2019年信息产业与其他产业从业者收入对比</w:t>
      </w:r>
    </w:p>
    <w:p>
      <w:pPr>
        <w:numPr>
          <w:numId w:val="0"/>
        </w:numPr>
        <w:ind w:leftChars="0"/>
        <w:rPr>
          <w:rFonts w:hint="default" w:ascii="黑体" w:hAnsi="黑体" w:eastAsia="黑体" w:cs="黑体"/>
          <w:sz w:val="18"/>
          <w:szCs w:val="18"/>
          <w:lang w:val="en-US" w:eastAsia="zh-CN"/>
        </w:rPr>
      </w:pPr>
    </w:p>
    <w:p>
      <w:pPr>
        <w:numPr>
          <w:numId w:val="0"/>
        </w:numPr>
        <w:ind w:leftChars="0"/>
        <w:rPr>
          <w:rFonts w:hint="default" w:ascii="宋体" w:hAnsi="宋体" w:eastAsia="宋体" w:cs="宋体"/>
          <w:sz w:val="18"/>
          <w:szCs w:val="18"/>
          <w:lang w:val="en-US" w:eastAsia="zh-CN"/>
        </w:rPr>
      </w:pPr>
      <w:r>
        <w:rPr>
          <w:rFonts w:hint="eastAsia" w:ascii="黑体" w:hAnsi="黑体" w:eastAsia="黑体" w:cs="黑体"/>
          <w:sz w:val="18"/>
          <w:szCs w:val="18"/>
          <w:lang w:val="en-US" w:eastAsia="zh-CN"/>
        </w:rPr>
        <w:t xml:space="preserve">  </w:t>
      </w:r>
      <w:r>
        <w:rPr>
          <w:rFonts w:hint="eastAsia" w:ascii="宋体" w:hAnsi="宋体" w:eastAsia="宋体" w:cs="宋体"/>
          <w:sz w:val="18"/>
          <w:szCs w:val="18"/>
          <w:lang w:val="en-US" w:eastAsia="zh-CN"/>
        </w:rPr>
        <w:t>在了解了信息产业从业人员收入在2010-2019年间的纵向对比情况之后，接着给出2019年信息产业工作者收入情况与其他主要产业的对比，来确定信息产业从业者的收入水平在全国来讲处于怎么样的水平。图3显示的是2019年城镇非私营单位按行业分人均收入情况，根据该图数据显示，信息产业工作者的人均年工资略高于80000元，仅次于文化、体育、娱乐产业与科学研究与技术服务产业，位列第三。可以说，信息产业从业人员的收入在全国各个产业来说是排在前列的。</w:t>
      </w:r>
    </w:p>
    <w:p>
      <w:pPr>
        <w:numPr>
          <w:numId w:val="0"/>
        </w:numPr>
        <w:ind w:leftChars="0"/>
        <w:rPr>
          <w:rFonts w:hint="eastAsia" w:ascii="宋体" w:hAnsi="宋体" w:eastAsia="宋体" w:cs="宋体"/>
          <w:sz w:val="18"/>
          <w:szCs w:val="18"/>
          <w:lang w:val="en-US" w:eastAsia="zh-CN"/>
        </w:rPr>
      </w:pPr>
    </w:p>
    <w:p>
      <w:pPr>
        <w:numPr>
          <w:numId w:val="0"/>
        </w:numPr>
        <w:ind w:leftChars="0"/>
        <w:rPr>
          <w:rFonts w:hint="default"/>
          <w:lang w:val="en-US" w:eastAsia="zh-CN"/>
        </w:rPr>
      </w:pPr>
      <w:r>
        <w:drawing>
          <wp:inline distT="0" distB="0" distL="114300" distR="114300">
            <wp:extent cx="4216400" cy="2287905"/>
            <wp:effectExtent l="4445" t="4445" r="15875" b="889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numId w:val="0"/>
        </w:numPr>
        <w:ind w:firstLine="2340" w:firstLineChars="13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w:t>
      </w:r>
    </w:p>
    <w:p>
      <w:pPr>
        <w:numPr>
          <w:ilvl w:val="1"/>
          <w:numId w:val="1"/>
        </w:numPr>
        <w:ind w:left="0" w:leftChars="0" w:firstLine="0" w:firstLineChars="0"/>
        <w:rPr>
          <w:rFonts w:hint="eastAsia" w:ascii="黑体" w:hAnsi="黑体" w:eastAsia="黑体" w:cs="黑体"/>
          <w:sz w:val="18"/>
          <w:szCs w:val="18"/>
          <w:lang w:val="en-US" w:eastAsia="zh-CN"/>
        </w:rPr>
      </w:pPr>
      <w:r>
        <w:rPr>
          <w:rFonts w:hint="eastAsia" w:ascii="宋体" w:hAnsi="宋体" w:eastAsia="宋体" w:cs="宋体"/>
          <w:sz w:val="18"/>
          <w:szCs w:val="18"/>
          <w:lang w:val="en-US" w:eastAsia="zh-CN"/>
        </w:rPr>
        <w:t>2018-2020</w:t>
      </w:r>
      <w:r>
        <w:rPr>
          <w:rFonts w:hint="eastAsia" w:ascii="黑体" w:hAnsi="黑体" w:eastAsia="黑体" w:cs="黑体"/>
          <w:sz w:val="18"/>
          <w:szCs w:val="18"/>
          <w:lang w:val="en-US" w:eastAsia="zh-CN"/>
        </w:rPr>
        <w:t>年信息产业工资与营收对比</w:t>
      </w:r>
    </w:p>
    <w:p>
      <w:pPr>
        <w:numPr>
          <w:numId w:val="0"/>
        </w:numPr>
        <w:ind w:left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w:t>
      </w:r>
    </w:p>
    <w:p>
      <w:pPr>
        <w:numPr>
          <w:numId w:val="0"/>
        </w:numPr>
        <w:ind w:leftChars="0"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近年来，软件产业是信息产业中的重要一环，具有众多从业人员与市场价值。根据《</w:t>
      </w:r>
      <w:r>
        <w:rPr>
          <w:rFonts w:hint="eastAsia" w:ascii="宋体" w:hAnsi="宋体" w:eastAsia="宋体" w:cs="宋体"/>
          <w:i w:val="0"/>
          <w:caps w:val="0"/>
          <w:color w:val="070707"/>
          <w:spacing w:val="0"/>
          <w:sz w:val="18"/>
          <w:szCs w:val="18"/>
          <w:bdr w:val="none" w:color="auto" w:sz="0" w:space="0"/>
        </w:rPr>
        <w:t>2020年软件和信息技术服务业统计公报</w:t>
      </w:r>
      <w:r>
        <w:rPr>
          <w:rFonts w:hint="eastAsia" w:ascii="宋体" w:hAnsi="宋体" w:eastAsia="宋体" w:cs="宋体"/>
          <w:sz w:val="18"/>
          <w:szCs w:val="18"/>
          <w:lang w:val="en-US" w:eastAsia="zh-CN"/>
        </w:rPr>
        <w:t>》</w:t>
      </w:r>
      <w:r>
        <w:rPr>
          <w:rStyle w:val="4"/>
          <w:rFonts w:hint="eastAsia" w:ascii="宋体" w:hAnsi="宋体" w:eastAsia="宋体" w:cs="宋体"/>
          <w:sz w:val="18"/>
          <w:szCs w:val="18"/>
          <w:lang w:val="en-US" w:eastAsia="zh-CN"/>
        </w:rPr>
        <w:endnoteReference w:id="1"/>
      </w:r>
      <w:r>
        <w:rPr>
          <w:rFonts w:hint="eastAsia" w:ascii="宋体" w:hAnsi="宋体" w:eastAsia="宋体" w:cs="宋体"/>
          <w:sz w:val="18"/>
          <w:szCs w:val="18"/>
          <w:lang w:val="en-US" w:eastAsia="zh-CN"/>
        </w:rPr>
        <w:t>里的数据显示中国2020年软件与信息技术服务业相关的公司超过4万家，从业人员数量达到704.7万余人。为了探究目前中国信息产业从业人员的薪酬是否合理，本文将以软件与信息技术服务业为例，对比其工资总额与信息产业的营收总额、人均创收。根据表1中的数据显示，从2018年到2020年，行业的净利润并不比工资总额高多少，虽然工资总额占比逐年减少，但是工资总额依然占据极大的比重。所以，这样的工资是贴合劳动者为企业所作出的贡献的。</w:t>
      </w:r>
    </w:p>
    <w:p>
      <w:pPr>
        <w:numPr>
          <w:numId w:val="0"/>
        </w:numPr>
        <w:ind w:leftChars="0" w:firstLine="360" w:firstLineChars="200"/>
        <w:rPr>
          <w:rFonts w:hint="eastAsia" w:ascii="宋体" w:hAnsi="宋体" w:eastAsia="宋体" w:cs="宋体"/>
          <w:sz w:val="18"/>
          <w:szCs w:val="18"/>
          <w:lang w:val="en-US" w:eastAsia="zh-CN"/>
        </w:rPr>
      </w:pPr>
    </w:p>
    <w:p>
      <w:pPr>
        <w:numPr>
          <w:numId w:val="0"/>
        </w:numPr>
        <w:ind w:leftChars="0" w:firstLine="360" w:firstLineChars="200"/>
        <w:rPr>
          <w:rFonts w:hint="eastAsia" w:ascii="宋体" w:hAnsi="宋体" w:eastAsia="宋体" w:cs="宋体"/>
          <w:sz w:val="18"/>
          <w:szCs w:val="18"/>
          <w:lang w:val="en-US" w:eastAsia="zh-CN"/>
        </w:rPr>
      </w:pPr>
    </w:p>
    <w:p>
      <w:pPr>
        <w:numPr>
          <w:numId w:val="0"/>
        </w:numPr>
        <w:ind w:leftChars="0" w:firstLine="360" w:firstLineChars="200"/>
        <w:rPr>
          <w:rFonts w:hint="eastAsia" w:ascii="宋体" w:hAnsi="宋体" w:eastAsia="宋体" w:cs="宋体"/>
          <w:sz w:val="18"/>
          <w:szCs w:val="18"/>
          <w:lang w:val="en-US" w:eastAsia="zh-CN"/>
        </w:rPr>
      </w:pPr>
    </w:p>
    <w:p>
      <w:pPr>
        <w:numPr>
          <w:numId w:val="0"/>
        </w:numPr>
        <w:ind w:leftChars="0" w:firstLine="400" w:firstLineChars="200"/>
      </w:pPr>
      <w:r>
        <w:drawing>
          <wp:inline distT="0" distB="0" distL="114300" distR="114300">
            <wp:extent cx="2887980" cy="56388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2887980" cy="563880"/>
                    </a:xfrm>
                    <a:prstGeom prst="rect">
                      <a:avLst/>
                    </a:prstGeom>
                    <a:noFill/>
                    <a:ln>
                      <a:noFill/>
                    </a:ln>
                  </pic:spPr>
                </pic:pic>
              </a:graphicData>
            </a:graphic>
          </wp:inline>
        </w:drawing>
      </w:r>
    </w:p>
    <w:p>
      <w:pPr>
        <w:numPr>
          <w:numId w:val="0"/>
        </w:numPr>
        <w:ind w:leftChars="0" w:firstLine="400" w:firstLineChars="200"/>
        <w:rPr>
          <w:rFonts w:hint="default" w:eastAsiaTheme="minorEastAsia"/>
          <w:lang w:val="en-US" w:eastAsia="zh-CN"/>
        </w:rPr>
      </w:pPr>
      <w:r>
        <w:rPr>
          <w:rFonts w:hint="eastAsia"/>
          <w:lang w:val="en-US" w:eastAsia="zh-CN"/>
        </w:rPr>
        <w:t>表1</w:t>
      </w:r>
    </w:p>
    <w:p>
      <w:pPr>
        <w:numPr>
          <w:numId w:val="0"/>
        </w:numPr>
        <w:ind w:leftChars="0" w:firstLine="360" w:firstLineChars="200"/>
        <w:rPr>
          <w:rFonts w:hint="default" w:ascii="宋体" w:hAnsi="宋体" w:eastAsia="宋体" w:cs="宋体"/>
          <w:sz w:val="18"/>
          <w:szCs w:val="18"/>
          <w:lang w:val="en-US" w:eastAsia="zh-CN"/>
        </w:rPr>
      </w:pPr>
    </w:p>
    <w:p>
      <w:pPr>
        <w:numPr>
          <w:numId w:val="0"/>
        </w:numPr>
        <w:ind w:leftChars="0" w:firstLine="360" w:firstLineChars="200"/>
        <w:rPr>
          <w:rFonts w:hint="default" w:ascii="宋体" w:hAnsi="宋体" w:eastAsia="宋体" w:cs="宋体"/>
          <w:sz w:val="18"/>
          <w:szCs w:val="18"/>
          <w:lang w:val="en-US" w:eastAsia="zh-CN"/>
        </w:rPr>
      </w:pPr>
    </w:p>
    <w:p>
      <w:pPr>
        <w:numPr>
          <w:numId w:val="0"/>
        </w:numPr>
        <w:ind w:leftChars="0" w:firstLine="360" w:firstLineChars="200"/>
        <w:rPr>
          <w:rFonts w:hint="default" w:ascii="宋体" w:hAnsi="宋体" w:eastAsia="宋体" w:cs="宋体"/>
          <w:sz w:val="18"/>
          <w:szCs w:val="18"/>
          <w:lang w:val="en-US" w:eastAsia="zh-CN"/>
        </w:rPr>
      </w:pPr>
    </w:p>
    <w:p>
      <w:pPr>
        <w:numPr>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3.4信息产业中巨头公司工资对比</w:t>
      </w:r>
    </w:p>
    <w:p>
      <w:pPr>
        <w:numPr>
          <w:numId w:val="0"/>
        </w:numPr>
        <w:rPr>
          <w:rFonts w:hint="eastAsia" w:ascii="黑体" w:hAnsi="黑体" w:eastAsia="黑体" w:cs="黑体"/>
          <w:sz w:val="18"/>
          <w:szCs w:val="18"/>
          <w:lang w:val="en-US" w:eastAsia="zh-CN"/>
        </w:rPr>
      </w:pPr>
    </w:p>
    <w:p>
      <w:pPr>
        <w:numPr>
          <w:numId w:val="0"/>
        </w:numPr>
        <w:rPr>
          <w:rFonts w:hint="eastAsia" w:ascii="Helvetica" w:hAnsi="Helvetica" w:eastAsia="宋体" w:cs="Helvetica"/>
          <w:i w:val="0"/>
          <w:caps w:val="0"/>
          <w:color w:val="262626"/>
          <w:spacing w:val="0"/>
          <w:sz w:val="19"/>
          <w:szCs w:val="19"/>
          <w:shd w:val="clear" w:fill="FFFFFF"/>
          <w:lang w:eastAsia="zh-CN"/>
        </w:rPr>
      </w:pPr>
      <w:r>
        <w:rPr>
          <w:rFonts w:hint="eastAsia" w:ascii="黑体" w:hAnsi="黑体" w:eastAsia="黑体" w:cs="黑体"/>
          <w:sz w:val="18"/>
          <w:szCs w:val="18"/>
          <w:lang w:val="en-US" w:eastAsia="zh-CN"/>
        </w:rPr>
        <w:t xml:space="preserve">  </w:t>
      </w:r>
      <w:r>
        <w:rPr>
          <w:rFonts w:hint="eastAsia" w:ascii="宋体" w:hAnsi="宋体" w:eastAsia="宋体" w:cs="宋体"/>
          <w:sz w:val="18"/>
          <w:szCs w:val="18"/>
          <w:lang w:val="en-US" w:eastAsia="zh-CN"/>
        </w:rPr>
        <w:t>全行业的人均薪资情况并不能很好的反映出这一行业中的高收入群体的工资，所以这一部分将会对信息产业中的一些巨头公司（包括Twitter，Facebook等）的技术类员工工资进行对比，给出该产业高收入群体的收入情况，在这部分中，对比将采用中位数工资来进行。自首先来看初级工程师的年收入（图4），</w:t>
      </w:r>
      <w:r>
        <w:rPr>
          <w:rFonts w:hint="eastAsia" w:ascii="Helvetica" w:hAnsi="Helvetica" w:eastAsia="Helvetica" w:cs="Helvetica"/>
          <w:i w:val="0"/>
          <w:caps w:val="0"/>
          <w:color w:val="262626"/>
          <w:spacing w:val="0"/>
          <w:sz w:val="19"/>
          <w:szCs w:val="19"/>
          <w:shd w:val="clear" w:fill="FFFFFF"/>
        </w:rPr>
        <w:t>在初级工程师排名中，Lyft 公司以23万美元的中位数工资霸榜。位居其后的依次是 ROBLOX、Stripe ，Airbnb。该排行榜中占据前四位的五家公司，程序员的中位数薪资都超过了20万美元。Twitter的中位数薪资排名第</w:t>
      </w:r>
      <w:r>
        <w:rPr>
          <w:rFonts w:hint="eastAsia" w:ascii="Helvetica" w:hAnsi="Helvetica" w:eastAsia="宋体" w:cs="Helvetica"/>
          <w:i w:val="0"/>
          <w:caps w:val="0"/>
          <w:color w:val="262626"/>
          <w:spacing w:val="0"/>
          <w:sz w:val="19"/>
          <w:szCs w:val="19"/>
          <w:shd w:val="clear" w:fill="FFFFFF"/>
          <w:lang w:val="en-US" w:eastAsia="zh-CN"/>
        </w:rPr>
        <w:t>八</w:t>
      </w:r>
      <w:r>
        <w:rPr>
          <w:rFonts w:hint="eastAsia" w:ascii="Helvetica" w:hAnsi="Helvetica" w:eastAsia="Helvetica" w:cs="Helvetica"/>
          <w:i w:val="0"/>
          <w:caps w:val="0"/>
          <w:color w:val="262626"/>
          <w:spacing w:val="0"/>
          <w:sz w:val="19"/>
          <w:szCs w:val="19"/>
          <w:shd w:val="clear" w:fill="FFFFFF"/>
        </w:rPr>
        <w:t>，为19.5万美元</w:t>
      </w:r>
      <w:r>
        <w:rPr>
          <w:rFonts w:hint="eastAsia" w:ascii="Helvetica" w:hAnsi="Helvetica" w:eastAsia="宋体" w:cs="Helvetica"/>
          <w:i w:val="0"/>
          <w:caps w:val="0"/>
          <w:color w:val="262626"/>
          <w:spacing w:val="0"/>
          <w:sz w:val="19"/>
          <w:szCs w:val="19"/>
          <w:shd w:val="clear" w:fill="FFFFFF"/>
          <w:lang w:eastAsia="zh-CN"/>
        </w:rPr>
        <w:t>。</w:t>
      </w:r>
      <w:r>
        <w:rPr>
          <w:rFonts w:hint="eastAsia" w:ascii="Helvetica" w:hAnsi="Helvetica" w:eastAsia="Helvetica" w:cs="Helvetica"/>
          <w:i w:val="0"/>
          <w:caps w:val="0"/>
          <w:color w:val="262626"/>
          <w:spacing w:val="0"/>
          <w:sz w:val="19"/>
          <w:szCs w:val="19"/>
          <w:shd w:val="clear" w:fill="FFFFFF"/>
        </w:rPr>
        <w:t>在中级工程师中，airbnb以中位数工资29.5万美元排名第一。字节跳动以中位数26 万美元排名第</w:t>
      </w:r>
      <w:r>
        <w:rPr>
          <w:rFonts w:hint="eastAsia" w:ascii="Helvetica" w:hAnsi="Helvetica" w:eastAsia="宋体" w:cs="Helvetica"/>
          <w:i w:val="0"/>
          <w:caps w:val="0"/>
          <w:color w:val="262626"/>
          <w:spacing w:val="0"/>
          <w:sz w:val="19"/>
          <w:szCs w:val="19"/>
          <w:shd w:val="clear" w:fill="FFFFFF"/>
          <w:lang w:val="en-US" w:eastAsia="zh-CN"/>
        </w:rPr>
        <w:t>九</w:t>
      </w:r>
      <w:r>
        <w:rPr>
          <w:rFonts w:hint="eastAsia" w:ascii="Helvetica" w:hAnsi="Helvetica" w:eastAsia="Helvetica" w:cs="Helvetica"/>
          <w:i w:val="0"/>
          <w:caps w:val="0"/>
          <w:color w:val="262626"/>
          <w:spacing w:val="0"/>
          <w:sz w:val="19"/>
          <w:szCs w:val="19"/>
          <w:shd w:val="clear" w:fill="FFFFFF"/>
        </w:rPr>
        <w:t>，是唯一一个中国上榜的互联网公司，也就是说，按照字节跳动的职级，在 2-1 级别的工程师中，有一半以上的工程师能够拿到约170 万人民币的工资。在高级工程师中，字节跳动排名第七，中位数工资在40万美元左右</w:t>
      </w:r>
      <w:r>
        <w:rPr>
          <w:rFonts w:hint="eastAsia" w:ascii="Helvetica" w:hAnsi="Helvetica" w:eastAsia="宋体" w:cs="Helvetica"/>
          <w:i w:val="0"/>
          <w:caps w:val="0"/>
          <w:color w:val="262626"/>
          <w:spacing w:val="0"/>
          <w:sz w:val="19"/>
          <w:szCs w:val="19"/>
          <w:shd w:val="clear" w:fill="FFFFFF"/>
          <w:lang w:eastAsia="zh-CN"/>
        </w:rPr>
        <w:t>。</w:t>
      </w:r>
    </w:p>
    <w:p>
      <w:pPr>
        <w:numPr>
          <w:numId w:val="0"/>
        </w:numPr>
      </w:pPr>
      <w:r>
        <w:drawing>
          <wp:inline distT="0" distB="0" distL="114300" distR="114300">
            <wp:extent cx="3401695" cy="1706880"/>
            <wp:effectExtent l="0" t="0" r="1206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401695" cy="1706880"/>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 xml:space="preserve">     图4初级工程师薪资中位数</w:t>
      </w:r>
    </w:p>
    <w:p>
      <w:pPr>
        <w:numPr>
          <w:numId w:val="0"/>
        </w:numPr>
      </w:pPr>
      <w:r>
        <w:drawing>
          <wp:inline distT="0" distB="0" distL="114300" distR="114300">
            <wp:extent cx="3533140" cy="1723390"/>
            <wp:effectExtent l="0" t="0" r="2540" b="139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3533140" cy="1723390"/>
                    </a:xfrm>
                    <a:prstGeom prst="rect">
                      <a:avLst/>
                    </a:prstGeom>
                    <a:noFill/>
                    <a:ln>
                      <a:noFill/>
                    </a:ln>
                  </pic:spPr>
                </pic:pic>
              </a:graphicData>
            </a:graphic>
          </wp:inline>
        </w:drawing>
      </w:r>
    </w:p>
    <w:p>
      <w:pPr>
        <w:numPr>
          <w:numId w:val="0"/>
        </w:numPr>
        <w:ind w:firstLine="600" w:firstLineChars="300"/>
        <w:rPr>
          <w:rFonts w:hint="eastAsia"/>
          <w:lang w:val="en-US" w:eastAsia="zh-CN"/>
        </w:rPr>
      </w:pPr>
      <w:r>
        <w:rPr>
          <w:rFonts w:hint="eastAsia"/>
          <w:lang w:val="en-US" w:eastAsia="zh-CN"/>
        </w:rPr>
        <w:t>图5中级工程师薪资中位数</w:t>
      </w:r>
    </w:p>
    <w:p>
      <w:pPr>
        <w:numPr>
          <w:numId w:val="0"/>
        </w:numPr>
        <w:ind w:firstLine="600" w:firstLineChars="300"/>
        <w:rPr>
          <w:rFonts w:hint="eastAsia"/>
          <w:lang w:val="en-US" w:eastAsia="zh-CN"/>
        </w:rPr>
      </w:pPr>
    </w:p>
    <w:p>
      <w:pPr>
        <w:numPr>
          <w:numId w:val="0"/>
        </w:numPr>
        <w:ind w:firstLine="600" w:firstLineChars="300"/>
      </w:pPr>
      <w:r>
        <w:drawing>
          <wp:inline distT="0" distB="0" distL="114300" distR="114300">
            <wp:extent cx="3191510" cy="1921510"/>
            <wp:effectExtent l="0" t="0" r="8890" b="139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3191510" cy="1921510"/>
                    </a:xfrm>
                    <a:prstGeom prst="rect">
                      <a:avLst/>
                    </a:prstGeom>
                    <a:noFill/>
                    <a:ln>
                      <a:noFill/>
                    </a:ln>
                  </pic:spPr>
                </pic:pic>
              </a:graphicData>
            </a:graphic>
          </wp:inline>
        </w:drawing>
      </w:r>
    </w:p>
    <w:p>
      <w:pPr>
        <w:numPr>
          <w:numId w:val="0"/>
        </w:numPr>
        <w:ind w:firstLine="600" w:firstLineChars="300"/>
        <w:rPr>
          <w:rFonts w:hint="eastAsia"/>
          <w:lang w:val="en-US" w:eastAsia="zh-CN"/>
        </w:rPr>
      </w:pPr>
      <w:r>
        <w:rPr>
          <w:rFonts w:hint="eastAsia"/>
          <w:lang w:val="en-US" w:eastAsia="zh-CN"/>
        </w:rPr>
        <w:t xml:space="preserve"> 图6高级工程师薪资中位数</w:t>
      </w: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ind w:firstLine="600" w:firstLineChars="300"/>
        <w:rPr>
          <w:rFonts w:hint="eastAsia"/>
          <w:lang w:val="en-US" w:eastAsia="zh-CN"/>
        </w:rPr>
      </w:pPr>
    </w:p>
    <w:p>
      <w:pPr>
        <w:numPr>
          <w:numId w:val="0"/>
        </w:numPr>
        <w:rPr>
          <w:rFonts w:hint="eastAsia" w:ascii="黑体" w:hAnsi="黑体" w:eastAsia="黑体" w:cs="黑体"/>
          <w:sz w:val="21"/>
          <w:szCs w:val="21"/>
          <w:lang w:val="en-US" w:eastAsia="zh-CN"/>
        </w:rPr>
      </w:pPr>
      <w:r>
        <w:rPr>
          <w:rFonts w:hint="eastAsia" w:ascii="黑体" w:hAnsi="黑体" w:eastAsia="黑体" w:cs="黑体"/>
          <w:lang w:val="en-US" w:eastAsia="zh-CN"/>
        </w:rPr>
        <w:t xml:space="preserve">4. </w:t>
      </w:r>
      <w:r>
        <w:rPr>
          <w:rFonts w:hint="eastAsia" w:ascii="黑体" w:hAnsi="黑体" w:eastAsia="黑体" w:cs="黑体"/>
          <w:sz w:val="21"/>
          <w:szCs w:val="21"/>
          <w:lang w:val="en-US" w:eastAsia="zh-CN"/>
        </w:rPr>
        <w:t>结论</w:t>
      </w:r>
    </w:p>
    <w:p>
      <w:pPr>
        <w:numPr>
          <w:numId w:val="0"/>
        </w:numPr>
        <w:rPr>
          <w:rFonts w:hint="eastAsia" w:ascii="黑体" w:hAnsi="黑体" w:eastAsia="黑体" w:cs="黑体"/>
          <w:sz w:val="21"/>
          <w:szCs w:val="21"/>
          <w:lang w:val="en-US" w:eastAsia="zh-CN"/>
        </w:rPr>
      </w:pPr>
    </w:p>
    <w:p>
      <w:pPr>
        <w:numPr>
          <w:numId w:val="0"/>
        </w:numPr>
        <w:rPr>
          <w:rFonts w:hint="eastAsia" w:ascii="宋体" w:hAnsi="宋体" w:eastAsia="宋体" w:cs="宋体"/>
          <w:sz w:val="18"/>
          <w:szCs w:val="18"/>
          <w:lang w:val="en-US" w:eastAsia="zh-CN"/>
        </w:rPr>
      </w:pPr>
      <w:r>
        <w:rPr>
          <w:rFonts w:hint="eastAsia" w:ascii="黑体" w:hAnsi="黑体" w:eastAsia="黑体" w:cs="黑体"/>
          <w:sz w:val="21"/>
          <w:szCs w:val="21"/>
          <w:lang w:val="en-US" w:eastAsia="zh-CN"/>
        </w:rPr>
        <w:t xml:space="preserve">  </w:t>
      </w:r>
      <w:r>
        <w:rPr>
          <w:rFonts w:hint="eastAsia" w:ascii="宋体" w:hAnsi="宋体" w:eastAsia="宋体" w:cs="宋体"/>
          <w:sz w:val="18"/>
          <w:szCs w:val="18"/>
          <w:lang w:val="en-US" w:eastAsia="zh-CN"/>
        </w:rPr>
        <w:t>通过以上的分析可以得出，中国的信息产业在近十年来发展状况良好，这也使得中国信息产业从业人员的工资收入水平在所有产业中名列前茅。同时，信息产业从业者的薪资收入还在不断的上升，且同比增长较快。这也充分显示了在中国，信息产业的发展还有着非常不错的市场潜力与前景。于此同时，在高收入群体对比中，不难发现，信息产业中的高收入群体有着远高于平均线的收入水平，这也解释了为何信息产业相关专业在中国大学的受欢迎程度非常高。但是中国公司上榜数比较有限，仅字节跳动一家。这也提示着中国的信息产业还可以有更好的发展。</w:t>
      </w:r>
    </w:p>
    <w:p>
      <w:pPr>
        <w:numPr>
          <w:numId w:val="0"/>
        </w:numPr>
        <w:rPr>
          <w:rFonts w:hint="eastAsia" w:ascii="宋体" w:hAnsi="宋体" w:eastAsia="宋体" w:cs="宋体"/>
          <w:sz w:val="18"/>
          <w:szCs w:val="18"/>
          <w:lang w:val="en-US" w:eastAsia="zh-CN"/>
        </w:rPr>
      </w:pPr>
    </w:p>
    <w:p>
      <w:pPr>
        <w:numPr>
          <w:numId w:val="0"/>
        </w:numP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参考文献</w:t>
      </w:r>
    </w:p>
    <w:p>
      <w:pPr>
        <w:numPr>
          <w:numId w:val="0"/>
        </w:numPr>
        <w:rPr>
          <w:rFonts w:hint="eastAsia" w:ascii="黑体" w:hAnsi="黑体" w:eastAsia="黑体" w:cs="黑体"/>
          <w:sz w:val="20"/>
          <w:szCs w:val="20"/>
          <w:lang w:val="en-US" w:eastAsia="zh-CN"/>
        </w:rPr>
      </w:pPr>
    </w:p>
    <w:sectPr>
      <w:endnotePr>
        <w:numFmt w:val="decimal"/>
      </w:endnote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rFonts w:hint="default" w:eastAsiaTheme="minorEastAsia"/>
          <w:lang w:val="en-US" w:eastAsia="zh-CN"/>
        </w:rPr>
      </w:pPr>
      <w:r>
        <w:rPr>
          <w:rFonts w:hint="eastAsia"/>
          <w:lang w:val="en-US" w:eastAsia="zh-CN"/>
        </w:rPr>
        <w:t>[</w:t>
      </w:r>
      <w:r>
        <w:rPr>
          <w:rStyle w:val="4"/>
        </w:rPr>
        <w:endnoteRef/>
      </w:r>
      <w:r>
        <w:rPr>
          <w:rFonts w:hint="eastAsia"/>
          <w:lang w:val="en-US" w:eastAsia="zh-CN"/>
        </w:rPr>
        <w:t>]</w:t>
      </w:r>
      <w:r>
        <w:t xml:space="preserve"> </w:t>
      </w:r>
      <w:r>
        <w:rPr>
          <w:rFonts w:hint="eastAsia"/>
          <w:lang w:val="en-US" w:eastAsia="zh-CN"/>
        </w:rPr>
        <w:t>中国国家统计局官网https://data.stats.gov.cn/</w:t>
      </w:r>
    </w:p>
  </w:endnote>
  <w:endnote w:id="1">
    <w:p>
      <w:pPr>
        <w:pStyle w:val="2"/>
        <w:snapToGrid w:val="0"/>
        <w:rPr>
          <w:rFonts w:hint="default" w:eastAsiaTheme="minorEastAsia"/>
          <w:lang w:val="en-US" w:eastAsia="zh-CN"/>
        </w:rPr>
      </w:pPr>
      <w:r>
        <w:rPr>
          <w:rFonts w:hint="eastAsia"/>
          <w:lang w:val="en-US" w:eastAsia="zh-CN"/>
        </w:rPr>
        <w:t>[</w:t>
      </w:r>
      <w:r>
        <w:rPr>
          <w:rStyle w:val="4"/>
        </w:rPr>
        <w:endnoteRef/>
      </w:r>
      <w:r>
        <w:rPr>
          <w:rFonts w:hint="eastAsia"/>
          <w:lang w:val="en-US" w:eastAsia="zh-CN"/>
        </w:rPr>
        <w:t>]</w:t>
      </w:r>
      <w:r>
        <w:t xml:space="preserve"> </w:t>
      </w:r>
      <w:r>
        <w:rPr>
          <w:rFonts w:hint="eastAsia"/>
          <w:lang w:val="en-US" w:eastAsia="zh-CN"/>
        </w:rPr>
        <w:t>中国工信部：</w:t>
      </w:r>
      <w:r>
        <w:rPr>
          <w:rFonts w:hint="eastAsia" w:ascii="宋体" w:hAnsi="宋体" w:eastAsia="宋体" w:cs="宋体"/>
          <w:i w:val="0"/>
          <w:caps w:val="0"/>
          <w:color w:val="070707"/>
          <w:spacing w:val="0"/>
          <w:sz w:val="18"/>
          <w:szCs w:val="18"/>
        </w:rPr>
        <w:t>2020年软件和信息技术服务业统计公报</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4ECCA"/>
    <w:multiLevelType w:val="multilevel"/>
    <w:tmpl w:val="43E4ECC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511F5"/>
    <w:rsid w:val="6EA8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character" w:styleId="4">
    <w:name w:val="endnote reference"/>
    <w:basedOn w:val="3"/>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sus\Downloads\2019&#24180;&#21508;&#22320;&#21306;&#20998;&#34892;&#19994;&#22478;&#38215;&#38750;&#31169;&#33829;&#21333;&#20301;&#20854;&#20182;&#23601;&#19994;&#20154;&#21592;&#21644;&#24179;&#22343;&#24037;&#36164;.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sus\Downloads\2019&#24180;&#21508;&#22320;&#21306;&#20998;&#34892;&#19994;&#22478;&#38215;&#38750;&#31169;&#33829;&#21333;&#20301;&#20854;&#20182;&#23601;&#19994;&#20154;&#21592;&#21644;&#24179;&#22343;&#24037;&#36164;.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sus\Downloads\2019&#24180;&#21508;&#22320;&#21306;&#20998;&#34892;&#19994;&#22478;&#38215;&#38750;&#31169;&#33829;&#21333;&#20301;&#20854;&#20182;&#23601;&#19994;&#20154;&#21592;&#21644;&#24179;&#22343;&#24037;&#3616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2010-2019</a:t>
            </a:r>
            <a:r>
              <a:rPr lang="zh-CN" altLang="en-US"/>
              <a:t>信息产业人均年收入</a:t>
            </a:r>
            <a:endParaRPr lang="zh-CN" altLang="en-US"/>
          </a:p>
        </c:rich>
      </c:tx>
      <c:layout/>
      <c:overlay val="0"/>
      <c:spPr>
        <a:noFill/>
        <a:ln>
          <a:noFill/>
        </a:ln>
        <a:effectLst/>
      </c:spPr>
    </c:title>
    <c:autoTitleDeleted val="0"/>
    <c:plotArea>
      <c:layout>
        <c:manualLayout>
          <c:layoutTarget val="inner"/>
          <c:xMode val="edge"/>
          <c:yMode val="edge"/>
          <c:x val="0.116055555555556"/>
          <c:y val="0.177083333333333"/>
          <c:w val="0.856722222222222"/>
          <c:h val="0.710972222222222"/>
        </c:manualLayout>
      </c:layout>
      <c:barChart>
        <c:barDir val="col"/>
        <c:grouping val="clustered"/>
        <c:varyColors val="0"/>
        <c:ser>
          <c:idx val="0"/>
          <c:order val="0"/>
          <c:spPr>
            <a:solidFill>
              <a:schemeClr val="accent1"/>
            </a:solidFill>
            <a:ln>
              <a:noFill/>
            </a:ln>
            <a:effectLst/>
          </c:spPr>
          <c:invertIfNegative val="0"/>
          <c:dLbls>
            <c:delete val="1"/>
          </c:dLbls>
          <c:cat>
            <c:strRef>
              <c:f>[2019年各地区分行业城镇非私营单位其他就业人员和平均工资.xls]Sheet2!$A$1:$J$1</c:f>
              <c:strCache>
                <c:ptCount val="10"/>
                <c:pt idx="0">
                  <c:v>2010年</c:v>
                </c:pt>
                <c:pt idx="1">
                  <c:v>2011年</c:v>
                </c:pt>
                <c:pt idx="2">
                  <c:v>2012年</c:v>
                </c:pt>
                <c:pt idx="3">
                  <c:v>2013年</c:v>
                </c:pt>
                <c:pt idx="4">
                  <c:v>2014年</c:v>
                </c:pt>
                <c:pt idx="5">
                  <c:v>2015年</c:v>
                </c:pt>
                <c:pt idx="6">
                  <c:v>2016年</c:v>
                </c:pt>
                <c:pt idx="7">
                  <c:v>2017年</c:v>
                </c:pt>
                <c:pt idx="8">
                  <c:v>2018年</c:v>
                </c:pt>
                <c:pt idx="9">
                  <c:v>2019年</c:v>
                </c:pt>
              </c:strCache>
            </c:strRef>
          </c:cat>
          <c:val>
            <c:numRef>
              <c:f>[2019年各地区分行业城镇非私营单位其他就业人员和平均工资.xls]Sheet2!$A$2:$J$2</c:f>
              <c:numCache>
                <c:formatCode>General</c:formatCode>
                <c:ptCount val="10"/>
                <c:pt idx="0">
                  <c:v>64436</c:v>
                </c:pt>
                <c:pt idx="1">
                  <c:v>70918</c:v>
                </c:pt>
                <c:pt idx="2">
                  <c:v>80510</c:v>
                </c:pt>
                <c:pt idx="3">
                  <c:v>90915</c:v>
                </c:pt>
                <c:pt idx="4">
                  <c:v>100845</c:v>
                </c:pt>
                <c:pt idx="5">
                  <c:v>112042</c:v>
                </c:pt>
                <c:pt idx="6">
                  <c:v>122478</c:v>
                </c:pt>
                <c:pt idx="7">
                  <c:v>133150</c:v>
                </c:pt>
                <c:pt idx="8">
                  <c:v>147678</c:v>
                </c:pt>
                <c:pt idx="9">
                  <c:v>161352</c:v>
                </c:pt>
              </c:numCache>
            </c:numRef>
          </c:val>
        </c:ser>
        <c:dLbls>
          <c:showLegendKey val="0"/>
          <c:showVal val="0"/>
          <c:showCatName val="0"/>
          <c:showSerName val="0"/>
          <c:showPercent val="0"/>
          <c:showBubbleSize val="0"/>
        </c:dLbls>
        <c:gapWidth val="219"/>
        <c:overlap val="-27"/>
        <c:axId val="316698382"/>
        <c:axId val="476188104"/>
      </c:barChart>
      <c:catAx>
        <c:axId val="3166983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6188104"/>
        <c:crosses val="autoZero"/>
        <c:auto val="1"/>
        <c:lblAlgn val="ctr"/>
        <c:lblOffset val="100"/>
        <c:noMultiLvlLbl val="0"/>
      </c:catAx>
      <c:valAx>
        <c:axId val="476188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669838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2010-2019</a:t>
            </a:r>
            <a:r>
              <a:rPr lang="zh-CN" altLang="en-US"/>
              <a:t>信息业工作者人均收入同比增长</a:t>
            </a:r>
            <a:endParaRPr lang="zh-CN" altLang="en-US"/>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cat>
            <c:strRef>
              <c:f>[2019年各地区分行业城镇非私营单位其他就业人员和平均工资.xls]Sheet2!$A$1:$J$1</c:f>
              <c:strCache>
                <c:ptCount val="10"/>
                <c:pt idx="0">
                  <c:v>2010年</c:v>
                </c:pt>
                <c:pt idx="1">
                  <c:v>2011年</c:v>
                </c:pt>
                <c:pt idx="2">
                  <c:v>2012年</c:v>
                </c:pt>
                <c:pt idx="3">
                  <c:v>2013年</c:v>
                </c:pt>
                <c:pt idx="4">
                  <c:v>2014年</c:v>
                </c:pt>
                <c:pt idx="5">
                  <c:v>2015年</c:v>
                </c:pt>
                <c:pt idx="6">
                  <c:v>2016年</c:v>
                </c:pt>
                <c:pt idx="7">
                  <c:v>2017年</c:v>
                </c:pt>
                <c:pt idx="8">
                  <c:v>2018年</c:v>
                </c:pt>
                <c:pt idx="9">
                  <c:v>2019年</c:v>
                </c:pt>
              </c:strCache>
            </c:strRef>
          </c:cat>
          <c:val>
            <c:numRef>
              <c:f>[2019年各地区分行业城镇非私营单位其他就业人员和平均工资.xls]Sheet2!$A$2:$J$2</c:f>
            </c:numRef>
          </c:val>
          <c:smooth val="0"/>
        </c:ser>
        <c:ser>
          <c:idx val="1"/>
          <c:order val="1"/>
          <c:spPr>
            <a:ln w="28575" cap="rnd">
              <a:solidFill>
                <a:schemeClr val="accent2"/>
              </a:solidFill>
              <a:round/>
            </a:ln>
            <a:effectLst/>
          </c:spPr>
          <c:marker>
            <c:symbol val="none"/>
          </c:marker>
          <c:dLbls>
            <c:delete val="1"/>
          </c:dLbls>
          <c:cat>
            <c:strRef>
              <c:f>[2019年各地区分行业城镇非私营单位其他就业人员和平均工资.xls]Sheet2!$A$1:$J$1</c:f>
              <c:strCache>
                <c:ptCount val="10"/>
                <c:pt idx="0">
                  <c:v>2010年</c:v>
                </c:pt>
                <c:pt idx="1">
                  <c:v>2011年</c:v>
                </c:pt>
                <c:pt idx="2">
                  <c:v>2012年</c:v>
                </c:pt>
                <c:pt idx="3">
                  <c:v>2013年</c:v>
                </c:pt>
                <c:pt idx="4">
                  <c:v>2014年</c:v>
                </c:pt>
                <c:pt idx="5">
                  <c:v>2015年</c:v>
                </c:pt>
                <c:pt idx="6">
                  <c:v>2016年</c:v>
                </c:pt>
                <c:pt idx="7">
                  <c:v>2017年</c:v>
                </c:pt>
                <c:pt idx="8">
                  <c:v>2018年</c:v>
                </c:pt>
                <c:pt idx="9">
                  <c:v>2019年</c:v>
                </c:pt>
              </c:strCache>
            </c:strRef>
          </c:cat>
          <c:val>
            <c:numRef>
              <c:f>[2019年各地区分行业城镇非私营单位其他就业人员和平均工资.xls]Sheet2!$A$3:$J$3</c:f>
              <c:numCache>
                <c:formatCode>0.00%</c:formatCode>
                <c:ptCount val="10"/>
                <c:pt idx="0">
                  <c:v>0.108</c:v>
                </c:pt>
                <c:pt idx="1">
                  <c:v>0.1005</c:v>
                </c:pt>
                <c:pt idx="2">
                  <c:v>0.1352</c:v>
                </c:pt>
                <c:pt idx="3">
                  <c:v>0.1292</c:v>
                </c:pt>
                <c:pt idx="4">
                  <c:v>0.1092</c:v>
                </c:pt>
                <c:pt idx="5">
                  <c:v>0.111</c:v>
                </c:pt>
                <c:pt idx="6" c:formatCode="General">
                  <c:v>0.0931436425626104</c:v>
                </c:pt>
                <c:pt idx="7" c:formatCode="General">
                  <c:v>0.0871340159048972</c:v>
                </c:pt>
                <c:pt idx="8" c:formatCode="General">
                  <c:v>0.109110026286143</c:v>
                </c:pt>
                <c:pt idx="9" c:formatCode="General">
                  <c:v>0.092593344980295</c:v>
                </c:pt>
              </c:numCache>
            </c:numRef>
          </c:val>
          <c:smooth val="0"/>
        </c:ser>
        <c:dLbls>
          <c:showLegendKey val="0"/>
          <c:showVal val="0"/>
          <c:showCatName val="0"/>
          <c:showSerName val="0"/>
          <c:showPercent val="0"/>
          <c:showBubbleSize val="0"/>
        </c:dLbls>
        <c:marker val="0"/>
        <c:smooth val="0"/>
        <c:axId val="568546655"/>
        <c:axId val="652980370"/>
      </c:lineChart>
      <c:catAx>
        <c:axId val="568546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2980370"/>
        <c:crosses val="autoZero"/>
        <c:auto val="1"/>
        <c:lblAlgn val="ctr"/>
        <c:lblOffset val="100"/>
        <c:noMultiLvlLbl val="0"/>
      </c:catAx>
      <c:valAx>
        <c:axId val="65298037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68546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2019</a:t>
            </a:r>
            <a:r>
              <a:rPr lang="zh-CN" altLang="en-US"/>
              <a:t>非私营单位按行业分人均收入</a:t>
            </a:r>
            <a:endParaRPr lang="zh-CN" altLang="en-US"/>
          </a:p>
        </c:rich>
      </c:tx>
      <c:layout/>
      <c:overlay val="0"/>
      <c:spPr>
        <a:noFill/>
        <a:ln>
          <a:noFill/>
        </a:ln>
        <a:effectLst/>
      </c:spPr>
    </c:title>
    <c:autoTitleDeleted val="0"/>
    <c:plotArea>
      <c:layout/>
      <c:barChart>
        <c:barDir val="col"/>
        <c:grouping val="clustered"/>
        <c:varyColors val="0"/>
        <c:ser>
          <c:idx val="0"/>
          <c:order val="0"/>
          <c:tx>
            <c:strRef>
              <c:f>'[2019年各地区分行业城镇非私营单位其他就业人员和平均工资.xls]2019年各地区分行业城镇非私营单位其他就业人员和平均工资'!$A$7</c:f>
              <c:strCache>
                <c:ptCount val="1"/>
                <c:pt idx="0">
                  <c:v>全国</c:v>
                </c:pt>
              </c:strCache>
            </c:strRef>
          </c:tx>
          <c:spPr>
            <a:solidFill>
              <a:schemeClr val="accent1"/>
            </a:solidFill>
            <a:ln>
              <a:noFill/>
            </a:ln>
            <a:effectLst/>
          </c:spPr>
          <c:invertIfNegative val="0"/>
          <c:dLbls>
            <c:delete val="1"/>
          </c:dLbls>
          <c:cat>
            <c:strRef>
              <c:f>'[2019年各地区分行业城镇非私营单位其他就业人员和平均工资.xls]2019年各地区分行业城镇非私营单位其他就业人员和平均工资'!$B$5:$N$6</c:f>
              <c:strCache>
                <c:ptCount val="13"/>
                <c:pt idx="0">
                  <c:v>人均工资</c:v>
                </c:pt>
                <c:pt idx="1">
                  <c:v>农林渔业</c:v>
                </c:pt>
                <c:pt idx="2">
                  <c:v>采矿业</c:v>
                </c:pt>
                <c:pt idx="3">
                  <c:v>制造业</c:v>
                </c:pt>
                <c:pt idx="4">
                  <c:v>建筑业</c:v>
                </c:pt>
                <c:pt idx="5">
                  <c:v>交通运输、邮政业</c:v>
                </c:pt>
                <c:pt idx="6">
                  <c:v>信息产业</c:v>
                </c:pt>
                <c:pt idx="7">
                  <c:v>金融业</c:v>
                </c:pt>
                <c:pt idx="8">
                  <c:v>房地产业</c:v>
                </c:pt>
                <c:pt idx="9">
                  <c:v>科学研究与技术服务</c:v>
                </c:pt>
                <c:pt idx="10">
                  <c:v>教育</c:v>
                </c:pt>
                <c:pt idx="11">
                  <c:v>卫生和社会工作</c:v>
                </c:pt>
                <c:pt idx="12">
                  <c:v>文化、体育、娱乐</c:v>
                </c:pt>
              </c:strCache>
            </c:strRef>
          </c:cat>
          <c:val>
            <c:numRef>
              <c:f>'[2019年各地区分行业城镇非私营单位其他就业人员和平均工资.xls]2019年各地区分行业城镇非私营单位其他就业人员和平均工资'!$B$7:$N$7</c:f>
              <c:numCache>
                <c:formatCode>General</c:formatCode>
                <c:ptCount val="13"/>
                <c:pt idx="0">
                  <c:v>52606</c:v>
                </c:pt>
                <c:pt idx="1">
                  <c:v>29572</c:v>
                </c:pt>
                <c:pt idx="2">
                  <c:v>42465</c:v>
                </c:pt>
                <c:pt idx="3">
                  <c:v>80000</c:v>
                </c:pt>
                <c:pt idx="4">
                  <c:v>58057</c:v>
                </c:pt>
                <c:pt idx="5">
                  <c:v>60720</c:v>
                </c:pt>
                <c:pt idx="6">
                  <c:v>82270</c:v>
                </c:pt>
                <c:pt idx="7">
                  <c:v>46199</c:v>
                </c:pt>
                <c:pt idx="8">
                  <c:v>49708</c:v>
                </c:pt>
                <c:pt idx="9">
                  <c:v>89808</c:v>
                </c:pt>
                <c:pt idx="10">
                  <c:v>41879</c:v>
                </c:pt>
                <c:pt idx="11">
                  <c:v>59675</c:v>
                </c:pt>
                <c:pt idx="12">
                  <c:v>94936</c:v>
                </c:pt>
              </c:numCache>
            </c:numRef>
          </c:val>
        </c:ser>
        <c:dLbls>
          <c:showLegendKey val="0"/>
          <c:showVal val="0"/>
          <c:showCatName val="0"/>
          <c:showSerName val="0"/>
          <c:showPercent val="0"/>
          <c:showBubbleSize val="0"/>
        </c:dLbls>
        <c:gapWidth val="219"/>
        <c:overlap val="-27"/>
        <c:axId val="573584010"/>
        <c:axId val="694138881"/>
      </c:barChart>
      <c:catAx>
        <c:axId val="57358401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94138881"/>
        <c:crosses val="autoZero"/>
        <c:auto val="1"/>
        <c:lblAlgn val="ctr"/>
        <c:lblOffset val="100"/>
        <c:noMultiLvlLbl val="0"/>
      </c:catAx>
      <c:valAx>
        <c:axId val="69413888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7358401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2021-04-08T05:35:50Z</dcterms:created>
  <dc:creator>asus</dc:creator>
  <cp:lastModifiedBy>asus</cp:lastModifiedBy>
  <dcterms:modified xsi:type="dcterms:W3CDTF">2021-04-08T09:49:40Z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