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Hans"/>
        </w:rPr>
        <w:t>从</w:t>
      </w:r>
      <w:r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Hans"/>
        </w:rPr>
        <w:t>行业薪酬变化预测行业就业前景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Hans"/>
        </w:rPr>
        <w:t>——基于回归模型的研究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Hans"/>
        </w:rPr>
        <w:t>缐禹辰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vertAlign w:val="superscript"/>
          <w:lang w:eastAsia="zh-Hans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（大连理工大学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大连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Hans"/>
        </w:rPr>
        <w:t xml:space="preserve"> 116000）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8"/>
          <w:szCs w:val="18"/>
          <w:lang w:val="en-US" w:eastAsia="zh-Hans"/>
        </w:rPr>
        <w:t>摘</w:t>
      </w:r>
      <w:r>
        <w:rPr>
          <w:rFonts w:hint="eastAsia" w:asciiTheme="majorEastAsia" w:hAnsiTheme="majorEastAsia" w:eastAsiaTheme="majorEastAsia" w:cstheme="majorEastAsia"/>
          <w:b/>
          <w:bCs/>
          <w:sz w:val="18"/>
          <w:szCs w:val="18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b/>
          <w:bCs/>
          <w:sz w:val="18"/>
          <w:szCs w:val="18"/>
          <w:lang w:val="en-US" w:eastAsia="zh-Hans"/>
        </w:rPr>
        <w:t>要</w:t>
      </w:r>
      <w:r>
        <w:rPr>
          <w:rFonts w:hint="default" w:asciiTheme="majorEastAsia" w:hAnsiTheme="majorEastAsia" w:eastAsiaTheme="majorEastAsia" w:cstheme="majorEastAsia"/>
          <w:b/>
          <w:bCs/>
          <w:sz w:val="18"/>
          <w:szCs w:val="1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行业自进入中国市场，为国民经济做出显著贡献。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企业对人才的需求量不断增加，在就业市场上有着广阔的发展前景。未来五年我国信息化人才总需求量高达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2000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万人，人才缺口突出。由于行业平均薪酬对于居民就业选择具有导向作用，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行业薪酬变化趋势将直接影响人才向互联网产业的涌入情况。文中选取自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2019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年起近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10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年城镇单位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行业平均薪酬等数据，通过拟合模型分析预测未来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年薪酬变化趋势，映射行业发展前景及就业吸引力。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8"/>
          <w:szCs w:val="18"/>
          <w:lang w:val="en-US" w:eastAsia="zh-Hans"/>
        </w:rPr>
        <w:t>关键词</w:t>
      </w:r>
      <w:r>
        <w:rPr>
          <w:rFonts w:hint="default" w:asciiTheme="majorEastAsia" w:hAnsiTheme="majorEastAsia" w:eastAsiaTheme="majorEastAsia" w:cstheme="majorEastAsia"/>
          <w:b/>
          <w:bCs/>
          <w:sz w:val="18"/>
          <w:szCs w:val="1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Hans"/>
        </w:rPr>
        <w:t>互联网产业薪酬变化，薪酬预测，国民就业导向，数学建模</w:t>
      </w:r>
    </w:p>
    <w:p>
      <w:pPr>
        <w:pStyle w:val="4"/>
        <w:numPr>
          <w:ilvl w:val="0"/>
          <w:numId w:val="1"/>
        </w:numPr>
        <w:bidi w:val="0"/>
        <w:spacing w:line="240" w:lineRule="auto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Hans"/>
        </w:rPr>
        <w:t>引言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18"/>
          <w:szCs w:val="18"/>
          <w:vertAlign w:val="baseline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eastAsia="zh-Hans"/>
        </w:rPr>
        <w:t>IT（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I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nformation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 xml:space="preserve"> T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echnology）行业作为新兴行业，国内又称“电子信息产业”、“数字产业”，是高新技术产业的重要行业之一：包括软件与信息技术服务业、互联网与服务业、电信业、电子信息制造业等核心产业，代表了新一代数字技术的发展方向和应用成。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CN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产业在中国的第三产业构成中占据重要位置，也是供给侧结构性改革的战略关键</w:t>
      </w:r>
      <w:r>
        <w:rPr>
          <w:rFonts w:hint="default" w:asciiTheme="majorEastAsia" w:hAnsiTheme="majorEastAsia" w:eastAsiaTheme="majorEastAsia" w:cstheme="majorEastAsia"/>
          <w:sz w:val="18"/>
          <w:szCs w:val="18"/>
          <w:vertAlign w:val="superscript"/>
          <w:lang w:eastAsia="zh-Hans"/>
        </w:rPr>
        <w:t>[1]</w:t>
      </w:r>
      <w:r>
        <w:rPr>
          <w:rFonts w:hint="eastAsia" w:asciiTheme="majorEastAsia" w:hAnsiTheme="majorEastAsia" w:eastAsiaTheme="majorEastAsia" w:cstheme="majorEastAsia"/>
          <w:sz w:val="18"/>
          <w:szCs w:val="18"/>
          <w:vertAlign w:val="baseli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18"/>
          <w:szCs w:val="18"/>
          <w:vertAlign w:val="baseline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vertAlign w:val="baseline"/>
          <w:lang w:val="en-US" w:eastAsia="zh-Hans"/>
        </w:rPr>
        <w:t>鉴于近年大众就业流向</w:t>
      </w:r>
      <w:r>
        <w:rPr>
          <w:rFonts w:hint="default" w:asciiTheme="majorEastAsia" w:hAnsiTheme="majorEastAsia" w:eastAsiaTheme="majorEastAsia" w:cstheme="majorEastAsia"/>
          <w:sz w:val="18"/>
          <w:szCs w:val="18"/>
          <w:vertAlign w:val="baseline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vertAlign w:val="baseline"/>
          <w:lang w:val="en-US" w:eastAsia="zh-Hans"/>
        </w:rPr>
        <w:t>行业趋势上行，薪酬作为择业首要关键指标影响着其后行业就业水平及程度，分析薪资变化水平对就业择业有重要参考作用。同时，薪酬水平变化客观反映出行业发展趋向及前景。文中以其他城镇单位在岗职工就业数据为依托，通过回归模型拟合曲线，得到未来</w:t>
      </w:r>
      <w:r>
        <w:rPr>
          <w:rFonts w:hint="default" w:asciiTheme="majorEastAsia" w:hAnsiTheme="majorEastAsia" w:eastAsiaTheme="majorEastAsia" w:cstheme="majorEastAsia"/>
          <w:sz w:val="18"/>
          <w:szCs w:val="18"/>
          <w:vertAlign w:val="baseline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vertAlign w:val="baseline"/>
          <w:lang w:val="en-US" w:eastAsia="zh-Hans"/>
        </w:rPr>
        <w:t>行业薪资走向预测，与已有数据进行对比，并对行业发展进行简要分析。</w:t>
      </w:r>
    </w:p>
    <w:p>
      <w:pPr>
        <w:pStyle w:val="4"/>
        <w:numPr>
          <w:ilvl w:val="0"/>
          <w:numId w:val="1"/>
        </w:numPr>
        <w:bidi w:val="0"/>
        <w:spacing w:line="240" w:lineRule="auto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Hans"/>
        </w:rPr>
        <w:t>分析结果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eastAsia="zh-Hans"/>
        </w:rPr>
        <w:t>2.1</w:t>
      </w:r>
      <w:r>
        <w:rPr>
          <w:rFonts w:hint="default" w:asciiTheme="majorEastAsia" w:hAnsiTheme="majorEastAsia" w:eastAsiaTheme="majorEastAsia" w:cstheme="majorEastAsia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十年</w:t>
      </w:r>
      <w:r>
        <w:rPr>
          <w:rFonts w:hint="default" w:asciiTheme="majorEastAsia" w:hAnsiTheme="majorEastAsia" w:eastAsiaTheme="majorEastAsia" w:cstheme="majorEastAsia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行业就业情况变化水平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eastAsia="zh-Hans"/>
        </w:rPr>
      </w:pPr>
      <w:r>
        <w:rPr>
          <w:rFonts w:hint="eastAsia" w:asciiTheme="majorEastAsia" w:hAnsiTheme="majorEastAsia" w:eastAsiaTheme="majorEastAsia" w:cstheme="majorEastAsia"/>
          <w:lang w:eastAsia="zh-Han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1120775</wp:posOffset>
            </wp:positionV>
            <wp:extent cx="5248910" cy="1956435"/>
            <wp:effectExtent l="0" t="0" r="8890" b="24765"/>
            <wp:wrapTopAndBottom/>
            <wp:docPr id="2" name="图片 2" descr="屏幕快照 2021-04-08 下午3.05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1-04-08 下午3.05.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据国研网发布历年《各地区分行业其他单位在岗职工人数和平均工资》</w:t>
      </w:r>
      <w:r>
        <w:rPr>
          <w:rFonts w:hint="default" w:asciiTheme="majorEastAsia" w:hAnsiTheme="majorEastAsia" w:eastAsiaTheme="majorEastAsia" w:cstheme="majorEastAsia"/>
          <w:sz w:val="18"/>
          <w:szCs w:val="18"/>
          <w:vertAlign w:val="superscript"/>
          <w:lang w:eastAsia="zh-Hans"/>
        </w:rPr>
        <w:t>[2]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显示，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2009-2019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年中国实现城镇其他单位全行业从业人数大总体上升趋势，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行业从业人数占全行业从业人数比例逐年升高，十年内上升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66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个百分点（见图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eastAsia="zh-Hans"/>
        </w:rPr>
        <w:t>）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。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行业就业水平总体向好，与国民经济增长及就业率正向增长。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伴随着高新技术的迅猛发展，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val="en-US" w:eastAsia="zh-CN"/>
        </w:rPr>
        <w:t>技术型企业肩负着引领行业科技进步的重要使命，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拉动就业，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val="en-US" w:eastAsia="zh-CN"/>
        </w:rPr>
        <w:t>成为我国经济发展的重要支撑力量</w:t>
      </w:r>
      <w:r>
        <w:rPr>
          <w:rFonts w:hint="default" w:asciiTheme="majorEastAsia" w:hAnsiTheme="majorEastAsia" w:eastAsiaTheme="majorEastAsia" w:cstheme="majorEastAsia"/>
          <w:sz w:val="18"/>
          <w:szCs w:val="18"/>
          <w:vertAlign w:val="superscript"/>
          <w:lang w:eastAsia="zh-CN"/>
        </w:rPr>
        <w:t>[3]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default" w:asciiTheme="majorEastAsia" w:hAnsiTheme="majorEastAsia" w:eastAsiaTheme="majorEastAsia" w:cstheme="majorEastAsia"/>
          <w:lang w:eastAsia="zh-Hans"/>
        </w:rPr>
        <w:t>2.2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十年</w:t>
      </w:r>
      <w:r>
        <w:rPr>
          <w:rFonts w:hint="default" w:asciiTheme="majorEastAsia" w:hAnsiTheme="majorEastAsia" w:eastAsiaTheme="majorEastAsia" w:cstheme="majorEastAsia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行业薪资情况变化水平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</w:pP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2009-2019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年我我国城镇其它单位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行业平均工资呈正增长趋势，涨幅高达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140%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与我国全行业平均工资水平增长呈正相关，保持了长期薪资稳定增长（见图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eastAsia="zh-Hans"/>
        </w:rPr>
        <w:t>）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。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行业平均工资水平高于全行业平均工资，呈现出高收入的特点。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eastAsia="zh-Han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30480</wp:posOffset>
            </wp:positionV>
            <wp:extent cx="5265420" cy="1783715"/>
            <wp:effectExtent l="0" t="0" r="17780" b="19685"/>
            <wp:wrapTopAndBottom/>
            <wp:docPr id="3" name="图片 3" descr="屏幕快照 2021-04-08 下午3.05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21-04-08 下午3.05.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将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行业工资情况表绘制散点图并计算线性回归方程得到趋势线，不难预测未来至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2024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年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行业薪资发展水平（见图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eastAsia="zh-Hans"/>
        </w:rPr>
        <w:t>）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。至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2024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年，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行业平均薪资近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21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万元，较平均薪资水平发展涨幅更劲。除却新冠疫情等因素的不可抗力影响，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行业或将持续处于就业热点。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18"/>
          <w:szCs w:val="18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eastAsia="zh-Han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120015</wp:posOffset>
            </wp:positionV>
            <wp:extent cx="5269865" cy="3169920"/>
            <wp:effectExtent l="0" t="0" r="13335" b="5080"/>
            <wp:wrapTopAndBottom/>
            <wp:docPr id="4" name="图片 4" descr="屏幕快照 2021-04-08 下午3.36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21-04-08 下午3.36.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然而，尽管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行业薪资水平增长速率较全行业平均薪资水平更高，体现在比例数值上却呈现出降低的趋势。这可能是由于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行业在中国发展趋于饱和状态、新兴行业释放红利衰减、通货膨胀等原因。同时电子信息产业与其他产业的发展渗透使得产业边界逐渐模糊，进而催生出一系列的新兴产业。在产业结构软件服务化、不同产业逐渐融合的趋势下，新业态、新领域不断产生</w:t>
      </w:r>
      <w:r>
        <w:rPr>
          <w:rFonts w:hint="default" w:asciiTheme="majorEastAsia" w:hAnsiTheme="majorEastAsia" w:eastAsiaTheme="majorEastAsia" w:cstheme="majorEastAsia"/>
          <w:sz w:val="18"/>
          <w:szCs w:val="18"/>
          <w:vertAlign w:val="superscript"/>
          <w:lang w:eastAsia="zh-Hans"/>
        </w:rPr>
        <w:t>[4]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。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行业作为新兴融合产业的母体，可能呈现出一定的疲态。</w:t>
      </w:r>
    </w:p>
    <w:p>
      <w:pPr>
        <w:pStyle w:val="4"/>
        <w:numPr>
          <w:ilvl w:val="0"/>
          <w:numId w:val="1"/>
        </w:numPr>
        <w:bidi w:val="0"/>
        <w:spacing w:line="240" w:lineRule="auto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Hans"/>
        </w:rPr>
        <w:t>分析方法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Regular" w:hAnsi="Times Regular" w:cs="Times Regular"/>
          <w:sz w:val="18"/>
          <w:szCs w:val="18"/>
          <w:lang w:eastAsia="zh-Hans"/>
        </w:rPr>
      </w:pPr>
      <w:r>
        <w:rPr>
          <w:rFonts w:hint="default" w:ascii="Times Regular" w:hAnsi="Times Regular" w:cs="Times Regular"/>
          <w:sz w:val="18"/>
          <w:szCs w:val="18"/>
          <w:lang w:eastAsia="zh-Hans"/>
        </w:rPr>
        <w:t>回归模型重要的基础或者方法就是回归分析，回归分析是研究一个变量（被解释变量）关于另一个（些）变量（解释变量）的具体依赖关系的计算方法和理论，是建模和分析数据的重要工具。在这里，我们使用曲线/线来拟合这些数据点，在这种方式下，从曲线或线到数据点的距离差异最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Regular" w:hAnsi="Times Regular" w:cs="Times Regular"/>
          <w:sz w:val="18"/>
          <w:szCs w:val="18"/>
          <w:lang w:eastAsia="zh-Hans"/>
        </w:rPr>
      </w:pPr>
      <w:r>
        <w:rPr>
          <w:rFonts w:hint="default" w:ascii="Times Regular" w:hAnsi="Times Regular" w:cs="Times Regular"/>
          <w:sz w:val="18"/>
          <w:szCs w:val="18"/>
          <w:lang w:eastAsia="zh-Hans"/>
        </w:rPr>
        <w:t>Linear Regression线性回归是最为人熟知的建模技术之一。线性回归通常是人们在学习预测模型时首选的技术之一。在这种技术中，因变量是连续的，自变量可以是连续的也可以是离散的，回归线的性质是线性的。线性回归使用最佳的拟合直线（也就是回归线）在因变量（Y）和一个或多个自变量（X）之间建立一种关系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Regular" w:hAnsi="Times Regular" w:cs="Times Regular"/>
          <w:sz w:val="18"/>
          <w:szCs w:val="18"/>
          <w:lang w:eastAsia="zh-Hans"/>
        </w:rPr>
      </w:pPr>
      <w:r>
        <w:rPr>
          <w:rFonts w:hint="default" w:ascii="Times Regular" w:hAnsi="Times Regular" w:cs="Times Regular"/>
          <w:sz w:val="18"/>
          <w:szCs w:val="18"/>
          <w:lang w:eastAsia="zh-Hans"/>
        </w:rPr>
        <w:t>用一个方程式来表示它，即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Regular" w:hAnsi="Times Regular" w:cs="Times Regular"/>
          <w:sz w:val="18"/>
          <w:szCs w:val="18"/>
          <w:lang w:eastAsia="zh-Hans"/>
        </w:rPr>
      </w:pPr>
      <w:r>
        <w:rPr>
          <w:rFonts w:hint="default" w:ascii="Times Regular" w:hAnsi="Times Regular" w:cs="Times Regular"/>
          <w:sz w:val="18"/>
          <w:szCs w:val="18"/>
          <w:lang w:eastAsia="zh-Hans"/>
        </w:rPr>
        <w:drawing>
          <wp:inline distT="0" distB="0" distL="114300" distR="114300">
            <wp:extent cx="1623060" cy="337185"/>
            <wp:effectExtent l="0" t="0" r="2540" b="18415"/>
            <wp:docPr id="31" name="图片 31" descr="屏幕快照 2021-04-08 下午4.01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屏幕快照 2021-04-08 下午4.01.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Regular" w:hAnsi="Times Regular" w:cs="Times Regular"/>
          <w:sz w:val="18"/>
          <w:szCs w:val="18"/>
          <w:lang w:eastAsia="zh-Hans"/>
        </w:rPr>
      </w:pPr>
      <w:r>
        <w:rPr>
          <w:rFonts w:hint="default" w:ascii="Times Regular" w:hAnsi="Times Regular" w:cs="Times Regular"/>
          <w:sz w:val="18"/>
          <w:szCs w:val="18"/>
          <w:lang w:eastAsia="zh-Hans"/>
        </w:rPr>
        <w:t>其中a表示截距，b表示直线的斜率，e是误差项。这个方程可以根据给定的预测变量（s）来预测目标变量的值。</w:t>
      </w:r>
    </w:p>
    <w:p>
      <w:pPr>
        <w:pStyle w:val="4"/>
        <w:numPr>
          <w:ilvl w:val="0"/>
          <w:numId w:val="1"/>
        </w:numPr>
        <w:bidi w:val="0"/>
        <w:spacing w:line="240" w:lineRule="auto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Hans"/>
        </w:rPr>
        <w:t>结论与启示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default" w:asciiTheme="majorEastAsia" w:hAnsiTheme="majorEastAsia" w:eastAsiaTheme="majorEastAsia" w:cstheme="majorEastAsia"/>
          <w:lang w:eastAsia="zh-Hans"/>
        </w:rPr>
        <w:t xml:space="preserve">4.1 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对从业者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</w:pP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由于现代科学理论和科学技术不断创新，数字产业的内涵和外延必然处于不断拓展之中</w:t>
      </w:r>
      <w:r>
        <w:rPr>
          <w:rFonts w:hint="default" w:asciiTheme="majorEastAsia" w:hAnsiTheme="majorEastAsia" w:eastAsiaTheme="majorEastAsia" w:cstheme="majorEastAsia"/>
          <w:sz w:val="18"/>
          <w:szCs w:val="18"/>
          <w:vertAlign w:val="superscript"/>
          <w:lang w:eastAsia="zh-Hans"/>
        </w:rPr>
        <w:t>[5]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。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从行业发展来说，互联网就业是刚性需求，只会越来越旺盛。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行业的持续向好，使得从业者将会在未来几年持续涌入。当互联网普及化逐步提高，以及越来越多的从业者涌向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行业实现就业，将会必然迎来劳动力饱和的一天。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行业对于高端技术人才的需求仍然存在，然而低端就业的饱和将会导致薪资分化程度的不断加深。目前的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行业短板仍然存在，即就业流动性大、就业稳定度低。同时，后疫情时代的产业转型，使得互联网行业前端优势逐渐凸显，可能会持续加深薪资分化程度。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然而，就业市场本身具有市场的盲目性及滞后性。当商品价格围绕商品价值上下波动时，就业者的就业能力和就业稳定程度也将会在未来达到峰值状态。从业者要时刻把握行业动向、提高自身素养、灵活就业。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同时，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行业普遍存在的“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996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eastAsia="zh-Hans"/>
        </w:rPr>
        <w:t>”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工作制，也日渐成为社会关注的焦点。对于从业者而言，多维分析就业环境与自身匹配程度是就业前必不可少的过程。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default" w:asciiTheme="majorEastAsia" w:hAnsiTheme="majorEastAsia" w:eastAsiaTheme="majorEastAsia" w:cstheme="majorEastAsia"/>
          <w:lang w:eastAsia="zh-Hans"/>
        </w:rPr>
        <w:t xml:space="preserve">4.2 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对</w:t>
      </w:r>
      <w:r>
        <w:rPr>
          <w:rFonts w:hint="default" w:asciiTheme="majorEastAsia" w:hAnsiTheme="majorEastAsia" w:eastAsiaTheme="majorEastAsia" w:cstheme="majorEastAsia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企业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</w:pP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行业的就业始终是就业市场的热门方向，对于企业来说，高等教育毕业生存量上升，十年前的人才缺口或将不复存在。“互联网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+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eastAsia="zh-Hans"/>
        </w:rPr>
        <w:t>”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复合型人才成为企业雇佣人才的新潮流，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就业从“买方市场”向“卖方市场”转型。然而，对于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IT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企业，真正的转型在于企业的人才保障机制以及人文关怀。就业薪资作为衡量标准之一，切莫将其上升为唯一标准。通过高薪资“购买”从业者身心健康的行为并非可取。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</w:pPr>
    </w:p>
    <w:p>
      <w:pPr>
        <w:pStyle w:val="4"/>
        <w:numPr>
          <w:ilvl w:val="0"/>
          <w:numId w:val="0"/>
        </w:numPr>
        <w:bidi w:val="0"/>
        <w:spacing w:line="240" w:lineRule="auto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Hans"/>
        </w:rPr>
        <w:t>参考文献：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Regular" w:hAnsi="Times Regular" w:cs="Times Regular"/>
          <w:sz w:val="18"/>
          <w:szCs w:val="18"/>
          <w:lang w:val="en-US" w:eastAsia="zh-Hans"/>
        </w:rPr>
      </w:pPr>
      <w:r>
        <w:rPr>
          <w:rFonts w:hint="default" w:ascii="Times Regular" w:hAnsi="Times Regular" w:cs="Times Regular"/>
          <w:sz w:val="18"/>
          <w:szCs w:val="18"/>
          <w:lang w:val="en-US" w:eastAsia="zh-Hans"/>
        </w:rPr>
        <w:t>[</w:t>
      </w:r>
      <w:r>
        <w:rPr>
          <w:rFonts w:hint="default" w:ascii="Times Regular" w:hAnsi="Times Regular" w:cs="Times Regular"/>
          <w:sz w:val="18"/>
          <w:szCs w:val="18"/>
          <w:lang w:eastAsia="zh-Hans"/>
        </w:rPr>
        <w:t>1</w:t>
      </w:r>
      <w:r>
        <w:rPr>
          <w:rFonts w:hint="default" w:ascii="Times Regular" w:hAnsi="Times Regular" w:cs="Times Regular"/>
          <w:sz w:val="18"/>
          <w:szCs w:val="18"/>
          <w:lang w:val="en-US" w:eastAsia="zh-Hans"/>
        </w:rPr>
        <w:t>]万科,黄新建.国家战略视角下鄂湘赣新型显示制造业协同创新研究[J].科技进步与</w:t>
      </w:r>
      <w:r>
        <w:rPr>
          <w:rFonts w:hint="eastAsia" w:ascii="Times Regular" w:hAnsi="Times Regular" w:cs="Times Regular"/>
          <w:sz w:val="18"/>
          <w:szCs w:val="18"/>
          <w:lang w:val="en-US" w:eastAsia="zh-Hans"/>
        </w:rPr>
        <w:t>对策</w:t>
      </w:r>
      <w:r>
        <w:rPr>
          <w:rFonts w:hint="default" w:ascii="Times Regular" w:hAnsi="Times Regular" w:cs="Times Regular"/>
          <w:sz w:val="18"/>
          <w:szCs w:val="18"/>
          <w:lang w:val="en-US" w:eastAsia="zh-Hans"/>
        </w:rPr>
        <w:t>,2018,35(10):58-65</w:t>
      </w:r>
      <w:r>
        <w:rPr>
          <w:rFonts w:hint="default" w:ascii="Times Regular" w:hAnsi="Times Regular" w:cs="Times Regular"/>
          <w:sz w:val="18"/>
          <w:szCs w:val="18"/>
          <w:lang w:eastAsia="zh-Hans"/>
        </w:rPr>
        <w:t>.</w:t>
      </w:r>
    </w:p>
    <w:p>
      <w:pPr>
        <w:rPr>
          <w:rFonts w:hint="default"/>
          <w:sz w:val="18"/>
          <w:szCs w:val="18"/>
          <w:lang w:eastAsia="zh-Hans"/>
        </w:rPr>
      </w:pPr>
      <w:r>
        <w:rPr>
          <w:rFonts w:hint="default"/>
          <w:sz w:val="18"/>
          <w:szCs w:val="18"/>
          <w:lang w:eastAsia="zh-Hans"/>
        </w:rPr>
        <w:t>[2]2009-2019</w:t>
      </w:r>
      <w:r>
        <w:rPr>
          <w:rFonts w:hint="eastAsia"/>
          <w:sz w:val="18"/>
          <w:szCs w:val="18"/>
          <w:lang w:val="en-US" w:eastAsia="zh-Hans"/>
        </w:rPr>
        <w:t>各地区分行业其他单位在岗职工人数和平均工资</w:t>
      </w:r>
      <w:r>
        <w:rPr>
          <w:rFonts w:hint="default"/>
          <w:sz w:val="18"/>
          <w:szCs w:val="18"/>
          <w:lang w:eastAsia="zh-Hans"/>
        </w:rPr>
        <w:t>[DB/OL].</w:t>
      </w:r>
      <w:r>
        <w:rPr>
          <w:rFonts w:hint="eastAsia"/>
          <w:sz w:val="18"/>
          <w:szCs w:val="18"/>
          <w:lang w:val="en-US" w:eastAsia="zh-Hans"/>
        </w:rPr>
        <w:t>国研网</w:t>
      </w:r>
      <w:r>
        <w:rPr>
          <w:rFonts w:hint="default"/>
          <w:sz w:val="18"/>
          <w:szCs w:val="18"/>
          <w:lang w:eastAsia="zh-Hans"/>
        </w:rPr>
        <w:t>, 2020-1-12.http://data.drcnet.com.cn/dataArtical?id=48&amp;structureId=105291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Regular" w:hAnsi="Times Regular" w:cs="Times Regular"/>
          <w:sz w:val="18"/>
          <w:szCs w:val="18"/>
          <w:lang w:eastAsia="zh-Hans"/>
        </w:rPr>
      </w:pPr>
      <w:r>
        <w:rPr>
          <w:rFonts w:hint="default" w:ascii="Times Regular" w:hAnsi="Times Regular" w:cs="Times Regular"/>
          <w:sz w:val="18"/>
          <w:szCs w:val="18"/>
          <w:lang w:eastAsia="zh-Hans"/>
        </w:rPr>
        <w:t>[3]</w:t>
      </w:r>
      <w:r>
        <w:rPr>
          <w:rFonts w:hint="eastAsia" w:ascii="Times Regular" w:hAnsi="Times Regular" w:cs="Times Regular"/>
          <w:sz w:val="18"/>
          <w:szCs w:val="18"/>
          <w:lang w:val="en-US" w:eastAsia="zh-Hans"/>
        </w:rPr>
        <w:t>陈如玉</w:t>
      </w:r>
      <w:r>
        <w:rPr>
          <w:rFonts w:hint="default" w:ascii="Times Regular" w:hAnsi="Times Regular" w:cs="Times Regular"/>
          <w:sz w:val="18"/>
          <w:szCs w:val="18"/>
          <w:lang w:eastAsia="zh-Hans"/>
        </w:rPr>
        <w:t>.科技型企业薪酬定量绩效考核研究</w:t>
      </w:r>
      <w:r>
        <w:rPr>
          <w:rFonts w:hint="eastAsia" w:ascii="Times Regular" w:hAnsi="Times Regular" w:cs="Times Regular"/>
          <w:sz w:val="18"/>
          <w:szCs w:val="18"/>
          <w:lang w:eastAsia="zh-Hans"/>
        </w:rPr>
        <w:t>——</w:t>
      </w:r>
      <w:r>
        <w:rPr>
          <w:rFonts w:hint="default" w:ascii="Times Regular" w:hAnsi="Times Regular" w:cs="Times Regular"/>
          <w:sz w:val="18"/>
          <w:szCs w:val="18"/>
          <w:lang w:eastAsia="zh-Hans"/>
        </w:rPr>
        <w:t>以国网湖南电力有限公司防灾减灾中心为例[J].</w:t>
      </w:r>
      <w:r>
        <w:rPr>
          <w:rFonts w:hint="eastAsia" w:ascii="Times Regular" w:hAnsi="Times Regular" w:cs="Times Regular"/>
          <w:sz w:val="18"/>
          <w:szCs w:val="18"/>
          <w:lang w:val="en-US" w:eastAsia="zh-Hans"/>
        </w:rPr>
        <w:t>湖北经济学院学报</w:t>
      </w:r>
      <w:r>
        <w:rPr>
          <w:rFonts w:hint="default" w:ascii="Times Regular" w:hAnsi="Times Regular" w:cs="Times Regular"/>
          <w:sz w:val="18"/>
          <w:szCs w:val="18"/>
          <w:lang w:eastAsia="zh-Hans"/>
        </w:rPr>
        <w:t>,2021,18(4):66-69.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Regular" w:hAnsi="Times Regular" w:cs="Times Regular"/>
          <w:sz w:val="18"/>
          <w:szCs w:val="18"/>
          <w:lang w:eastAsia="zh-Hans"/>
        </w:rPr>
      </w:pPr>
      <w:r>
        <w:rPr>
          <w:rFonts w:hint="default" w:ascii="Times Regular" w:hAnsi="Times Regular" w:cs="Times Regular"/>
          <w:sz w:val="18"/>
          <w:szCs w:val="18"/>
          <w:lang w:eastAsia="zh-Hans"/>
        </w:rPr>
        <w:t>[4]</w:t>
      </w:r>
      <w:r>
        <w:rPr>
          <w:rFonts w:hint="eastAsia" w:ascii="Times Regular" w:hAnsi="Times Regular" w:cs="Times Regular"/>
          <w:sz w:val="18"/>
          <w:szCs w:val="18"/>
          <w:lang w:val="en-US" w:eastAsia="zh-Hans"/>
        </w:rPr>
        <w:t>余茂琴</w:t>
      </w:r>
      <w:r>
        <w:rPr>
          <w:rFonts w:hint="default" w:ascii="Times Regular" w:hAnsi="Times Regular" w:cs="Times Regular"/>
          <w:sz w:val="18"/>
          <w:szCs w:val="18"/>
          <w:lang w:eastAsia="zh-Hans"/>
        </w:rPr>
        <w:t>,</w:t>
      </w:r>
      <w:r>
        <w:rPr>
          <w:rFonts w:hint="eastAsia" w:ascii="Times Regular" w:hAnsi="Times Regular" w:cs="Times Regular"/>
          <w:sz w:val="18"/>
          <w:szCs w:val="18"/>
          <w:lang w:val="en-US" w:eastAsia="zh-Hans"/>
        </w:rPr>
        <w:t>刘帅</w:t>
      </w:r>
      <w:r>
        <w:rPr>
          <w:rFonts w:hint="default" w:ascii="Times Regular" w:hAnsi="Times Regular" w:cs="Times Regular"/>
          <w:sz w:val="18"/>
          <w:szCs w:val="18"/>
          <w:lang w:eastAsia="zh-Hans"/>
        </w:rPr>
        <w:t>,</w:t>
      </w:r>
      <w:r>
        <w:rPr>
          <w:rFonts w:hint="eastAsia" w:ascii="Times Regular" w:hAnsi="Times Regular" w:cs="Times Regular"/>
          <w:sz w:val="18"/>
          <w:szCs w:val="18"/>
          <w:lang w:val="en-US" w:eastAsia="zh-Hans"/>
        </w:rPr>
        <w:t>陈辰</w:t>
      </w:r>
      <w:r>
        <w:rPr>
          <w:rFonts w:hint="default" w:ascii="Times Regular" w:hAnsi="Times Regular" w:cs="Times Regular"/>
          <w:sz w:val="18"/>
          <w:szCs w:val="18"/>
          <w:lang w:eastAsia="zh-Hans"/>
        </w:rPr>
        <w:t>,</w:t>
      </w:r>
      <w:r>
        <w:rPr>
          <w:rFonts w:hint="eastAsia" w:ascii="Times Regular" w:hAnsi="Times Regular" w:cs="Times Regular"/>
          <w:sz w:val="18"/>
          <w:szCs w:val="18"/>
          <w:lang w:val="en-US" w:eastAsia="zh-Hans"/>
        </w:rPr>
        <w:t>张恒</w:t>
      </w:r>
      <w:r>
        <w:rPr>
          <w:rFonts w:hint="default" w:ascii="Times Regular" w:hAnsi="Times Regular" w:cs="Times Regular"/>
          <w:sz w:val="18"/>
          <w:szCs w:val="18"/>
          <w:lang w:eastAsia="zh-Hans"/>
        </w:rPr>
        <w:t>.“十四五”时期电子信息产业发展趋势[J].</w:t>
      </w:r>
      <w:r>
        <w:rPr>
          <w:rFonts w:hint="eastAsia" w:ascii="Times Regular" w:hAnsi="Times Regular" w:cs="Times Regular"/>
          <w:sz w:val="18"/>
          <w:szCs w:val="18"/>
          <w:lang w:val="en-US" w:eastAsia="zh-Hans"/>
        </w:rPr>
        <w:t>金陵科技学院学报</w:t>
      </w:r>
      <w:r>
        <w:rPr>
          <w:rFonts w:hint="default" w:ascii="Times Regular" w:hAnsi="Times Regular" w:cs="Times Regular"/>
          <w:sz w:val="18"/>
          <w:szCs w:val="18"/>
          <w:lang w:eastAsia="zh-Hans"/>
        </w:rPr>
        <w:t>,2020,36(4).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Regular" w:hAnsi="Times Regular" w:cs="Times Regular"/>
          <w:sz w:val="18"/>
          <w:szCs w:val="18"/>
          <w:lang w:eastAsia="zh-Hans"/>
        </w:rPr>
      </w:pPr>
      <w:r>
        <w:rPr>
          <w:rFonts w:hint="default" w:ascii="Times Regular" w:hAnsi="Times Regular" w:cs="Times Regular"/>
          <w:sz w:val="18"/>
          <w:szCs w:val="18"/>
          <w:lang w:eastAsia="zh-Hans"/>
        </w:rPr>
        <w:t>[5]</w:t>
      </w:r>
      <w:r>
        <w:rPr>
          <w:rFonts w:hint="eastAsia" w:ascii="Times Regular" w:hAnsi="Times Regular" w:cs="Times Regular"/>
          <w:sz w:val="18"/>
          <w:szCs w:val="18"/>
          <w:lang w:val="en-US" w:eastAsia="zh-Hans"/>
        </w:rPr>
        <w:t>王军豪</w:t>
      </w:r>
      <w:r>
        <w:rPr>
          <w:rFonts w:hint="default" w:ascii="Times Regular" w:hAnsi="Times Regular" w:cs="Times Regular"/>
          <w:sz w:val="18"/>
          <w:szCs w:val="18"/>
          <w:lang w:eastAsia="zh-Hans"/>
        </w:rPr>
        <w:t>,</w:t>
      </w:r>
      <w:r>
        <w:rPr>
          <w:rFonts w:hint="eastAsia" w:ascii="Times Regular" w:hAnsi="Times Regular" w:cs="Times Regular"/>
          <w:sz w:val="18"/>
          <w:szCs w:val="18"/>
          <w:lang w:val="en-US" w:eastAsia="zh-Hans"/>
        </w:rPr>
        <w:t>周晟佳</w:t>
      </w:r>
      <w:r>
        <w:rPr>
          <w:rFonts w:hint="default" w:ascii="Times Regular" w:hAnsi="Times Regular" w:cs="Times Regular"/>
          <w:sz w:val="18"/>
          <w:szCs w:val="18"/>
          <w:lang w:eastAsia="zh-Hans"/>
        </w:rPr>
        <w:t>.中国数字产业发展的现状、特征及其溢出效应[J].</w:t>
      </w:r>
      <w:r>
        <w:rPr>
          <w:rFonts w:hint="eastAsia" w:ascii="Times Regular" w:hAnsi="Times Regular" w:cs="Times Regular"/>
          <w:sz w:val="18"/>
          <w:szCs w:val="18"/>
          <w:lang w:val="en-US" w:eastAsia="zh-Hans"/>
        </w:rPr>
        <w:t>数量经济技术经济研究</w:t>
      </w:r>
      <w:r>
        <w:rPr>
          <w:rFonts w:hint="default" w:ascii="Times Regular" w:hAnsi="Times Regular" w:cs="Times Regular"/>
          <w:sz w:val="18"/>
          <w:szCs w:val="18"/>
          <w:lang w:eastAsia="zh-Hans"/>
        </w:rPr>
        <w:t>,2021,38(3).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Regular" w:hAnsi="Times Regular" w:cs="Times Regular"/>
          <w:sz w:val="18"/>
          <w:szCs w:val="18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7020304040A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方正行楷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SJ4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226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6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KTK--GBK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呈疯狂行草">
    <w:panose1 w:val="020B0503020204020204"/>
    <w:charset w:val="80"/>
    <w:family w:val="auto"/>
    <w:pitch w:val="default"/>
    <w:sig w:usb0="A00002BF" w:usb1="084F6DFE" w:usb2="00000012" w:usb3="00000000" w:csb0="40020001" w:csb1="00820000"/>
  </w:font>
  <w:font w:name="KTJ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LF-32769-4-116150007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Y4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4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ti-SC-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Times-Rom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Oblique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ZWBK--GBK1-0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E77C4"/>
    <w:multiLevelType w:val="singleLevel"/>
    <w:tmpl w:val="606E77C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F721C1"/>
    <w:rsid w:val="06F721C1"/>
    <w:rsid w:val="979F0ABB"/>
    <w:rsid w:val="C77B6502"/>
    <w:rsid w:val="EE78FB1C"/>
    <w:rsid w:val="EECB1C21"/>
    <w:rsid w:val="FBFE55B5"/>
    <w:rsid w:val="FF7DA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样式1"/>
    <w:basedOn w:val="5"/>
    <w:qFormat/>
    <w:uiPriority w:val="0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2021-04-08T05:55:00Z</dcterms:created>
  <dc:creator>apple</dc:creator>
  <cp:lastModifiedBy>apple</cp:lastModifiedBy>
  <dcterms:modified xsi:type="dcterms:W3CDTF">2021-04-08T17:06:36Z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