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drawings/drawing1.xml" ContentType="application/vnd.openxmlformats-officedocument.drawingml.chartshap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sz w:val="32"/>
          <w:szCs w:val="32"/>
        </w:rPr>
      </w:pPr>
      <w:r>
        <w:rPr>
          <w:rFonts w:hint="eastAsia" w:ascii="黑体" w:hAnsi="黑体" w:eastAsia="黑体"/>
          <w:sz w:val="32"/>
          <w:szCs w:val="32"/>
        </w:rPr>
        <w:t>I</w:t>
      </w:r>
      <w:r>
        <w:rPr>
          <w:rFonts w:ascii="黑体" w:hAnsi="黑体" w:eastAsia="黑体"/>
          <w:sz w:val="32"/>
          <w:szCs w:val="32"/>
        </w:rPr>
        <w:t>T</w:t>
      </w:r>
      <w:r>
        <w:rPr>
          <w:rFonts w:hint="eastAsia" w:ascii="黑体" w:hAnsi="黑体" w:eastAsia="黑体"/>
          <w:sz w:val="32"/>
          <w:szCs w:val="32"/>
        </w:rPr>
        <w:t>行业薪酬变化分析</w:t>
      </w:r>
    </w:p>
    <w:p>
      <w:pPr>
        <w:jc w:val="center"/>
        <w:rPr>
          <w:rFonts w:hint="eastAsia" w:ascii="宋体" w:hAnsi="宋体" w:eastAsia="宋体"/>
          <w:b/>
          <w:bCs/>
          <w:szCs w:val="21"/>
          <w:lang w:val="en-US" w:eastAsia="zh-CN"/>
        </w:rPr>
      </w:pPr>
      <w:r>
        <w:rPr>
          <w:rFonts w:hint="eastAsia" w:ascii="宋体" w:hAnsi="宋体" w:eastAsia="宋体"/>
          <w:b/>
          <w:bCs/>
          <w:szCs w:val="21"/>
          <w:lang w:val="en-US" w:eastAsia="zh-CN"/>
        </w:rPr>
        <w:t>罗步岳1</w:t>
      </w:r>
    </w:p>
    <w:p>
      <w:pPr>
        <w:jc w:val="center"/>
        <w:rPr>
          <w:rFonts w:hint="eastAsia" w:ascii="宋体" w:hAnsi="宋体" w:eastAsia="宋体"/>
          <w:sz w:val="18"/>
          <w:szCs w:val="18"/>
          <w:lang w:val="en-US" w:eastAsia="zh-CN"/>
        </w:rPr>
      </w:pPr>
      <w:r>
        <w:rPr>
          <w:rFonts w:hint="eastAsia" w:ascii="宋体" w:hAnsi="宋体" w:eastAsia="宋体"/>
          <w:sz w:val="18"/>
          <w:szCs w:val="18"/>
        </w:rPr>
        <w:t xml:space="preserve">1 </w:t>
      </w:r>
      <w:r>
        <w:rPr>
          <w:rFonts w:hint="eastAsia" w:ascii="宋体" w:hAnsi="宋体" w:eastAsia="宋体"/>
          <w:sz w:val="18"/>
          <w:szCs w:val="18"/>
          <w:lang w:val="en-US" w:eastAsia="zh-CN"/>
        </w:rPr>
        <w:t>大连理工大学</w:t>
      </w:r>
      <w:r>
        <w:rPr>
          <w:rFonts w:hint="eastAsia" w:ascii="宋体" w:hAnsi="宋体" w:eastAsia="宋体"/>
          <w:sz w:val="18"/>
          <w:szCs w:val="18"/>
        </w:rPr>
        <w:t xml:space="preserve"> </w:t>
      </w:r>
      <w:r>
        <w:rPr>
          <w:rFonts w:hint="eastAsia" w:ascii="宋体" w:hAnsi="宋体" w:eastAsia="宋体"/>
          <w:sz w:val="18"/>
          <w:szCs w:val="18"/>
          <w:lang w:val="en-US" w:eastAsia="zh-CN"/>
        </w:rPr>
        <w:t>大连</w:t>
      </w:r>
      <w:r>
        <w:rPr>
          <w:rFonts w:hint="eastAsia" w:ascii="宋体" w:hAnsi="宋体" w:eastAsia="宋体"/>
          <w:sz w:val="18"/>
          <w:szCs w:val="18"/>
        </w:rPr>
        <w:t xml:space="preserve"> </w:t>
      </w:r>
      <w:r>
        <w:rPr>
          <w:rFonts w:hint="eastAsia" w:ascii="宋体" w:hAnsi="宋体" w:eastAsia="宋体"/>
          <w:sz w:val="18"/>
          <w:szCs w:val="18"/>
          <w:lang w:val="en-US" w:eastAsia="zh-CN"/>
        </w:rPr>
        <w:t>116600</w:t>
      </w:r>
    </w:p>
    <w:p>
      <w:pPr>
        <w:spacing w:before="156" w:beforeLines="50" w:after="156" w:afterLines="50" w:line="220" w:lineRule="atLeast"/>
        <w:jc w:val="left"/>
        <w:rPr>
          <w:rFonts w:hint="eastAsia" w:ascii="仿宋" w:hAnsi="仿宋" w:eastAsia="仿宋"/>
          <w:color w:val="auto"/>
          <w:sz w:val="18"/>
          <w:szCs w:val="18"/>
          <w:lang w:val="en-US" w:eastAsia="zh-CN"/>
        </w:rPr>
      </w:pPr>
      <w:r>
        <w:rPr>
          <w:rFonts w:hint="eastAsia" w:ascii="仿宋" w:hAnsi="仿宋" w:eastAsia="仿宋"/>
          <w:b/>
          <w:sz w:val="18"/>
          <w:szCs w:val="18"/>
        </w:rPr>
        <w:t>摘 要</w:t>
      </w:r>
      <w:r>
        <w:rPr>
          <w:rFonts w:hint="eastAsia" w:ascii="仿宋" w:hAnsi="仿宋" w:eastAsia="仿宋"/>
          <w:color w:val="FF0000"/>
          <w:sz w:val="18"/>
          <w:szCs w:val="18"/>
        </w:rPr>
        <w:t xml:space="preserve"> </w:t>
      </w:r>
      <w:r>
        <w:rPr>
          <w:rFonts w:hint="eastAsia" w:ascii="仿宋" w:hAnsi="仿宋" w:eastAsia="仿宋"/>
          <w:color w:val="auto"/>
          <w:sz w:val="18"/>
          <w:szCs w:val="18"/>
          <w:lang w:val="en-US" w:eastAsia="zh-CN"/>
        </w:rPr>
        <w:t>改革开放以来，我国的经济一直处于飞速发展之中。在进入21世纪之后，IT行业的发展更是势不可挡。但是，事物不可能长久繁盛，IT行业也不可能一直保持高速的的发展之中。所以说，IT行业的发展之路还有很长一段路要走，而任何事物的发展都离不开人的推进作用。IT行业想要更进一步，大量的高素质人才必不可少，而吸引人才的往往是丰厚的薪酬。薪酬是驱动员工敬业和提升企业竞争力的最重要因素,但纵观国内的IT企业,薪酬管理与薪酬体系设计中存在的问题已逐渐成为制约我国IT企业规模扩大和竞争力提高的瓶颈,也造成了员工士气低落、频繁流动等局面由此可见，要先研究IT行业的发展，就必须要研究从事IT行业的人的薪酬变化。</w:t>
      </w:r>
    </w:p>
    <w:p>
      <w:pPr>
        <w:spacing w:before="156" w:beforeLines="50" w:after="156" w:afterLines="50" w:line="220" w:lineRule="atLeast"/>
        <w:rPr>
          <w:rFonts w:hint="default" w:ascii="宋体" w:hAnsi="宋体" w:eastAsia="宋体"/>
          <w:sz w:val="18"/>
          <w:szCs w:val="18"/>
          <w:lang w:val="en-US" w:eastAsia="zh-CN"/>
        </w:rPr>
      </w:pPr>
      <w:r>
        <w:rPr>
          <w:rFonts w:hint="eastAsia" w:ascii="宋体" w:hAnsi="宋体" w:eastAsia="宋体"/>
          <w:b/>
          <w:sz w:val="18"/>
          <w:szCs w:val="18"/>
        </w:rPr>
        <w:t xml:space="preserve">关键词  </w:t>
      </w:r>
      <w:r>
        <w:rPr>
          <w:rFonts w:hint="eastAsia" w:ascii="宋体" w:hAnsi="宋体" w:eastAsia="宋体"/>
          <w:sz w:val="18"/>
          <w:szCs w:val="18"/>
        </w:rPr>
        <w:t>IT行业、薪酬变化、人才需求</w:t>
      </w:r>
      <w:r>
        <w:rPr>
          <w:rFonts w:hint="eastAsia" w:ascii="宋体" w:hAnsi="宋体" w:eastAsia="宋体"/>
          <w:sz w:val="18"/>
          <w:szCs w:val="18"/>
          <w:lang w:eastAsia="zh-CN"/>
        </w:rPr>
        <w:t>、</w:t>
      </w:r>
      <w:r>
        <w:rPr>
          <w:rFonts w:hint="eastAsia" w:ascii="宋体" w:hAnsi="宋体" w:eastAsia="宋体"/>
          <w:sz w:val="18"/>
          <w:szCs w:val="18"/>
          <w:lang w:val="en-US" w:eastAsia="zh-CN"/>
        </w:rPr>
        <w:t>人才流动</w:t>
      </w:r>
    </w:p>
    <w:p>
      <w:pPr>
        <w:pStyle w:val="5"/>
        <w:numPr>
          <w:ilvl w:val="0"/>
          <w:numId w:val="1"/>
        </w:numPr>
        <w:spacing w:before="156" w:beforeLines="50" w:after="156" w:afterLines="50" w:line="220" w:lineRule="atLeast"/>
        <w:ind w:firstLineChars="0"/>
        <w:rPr>
          <w:rFonts w:hint="default" w:ascii="宋体" w:hAnsi="宋体" w:eastAsia="宋体"/>
          <w:sz w:val="18"/>
          <w:szCs w:val="18"/>
          <w:lang w:val="en-US" w:eastAsia="zh-CN"/>
        </w:rPr>
      </w:pPr>
      <w:r>
        <w:rPr>
          <w:rFonts w:hint="eastAsia" w:ascii="黑体" w:hAnsi="黑体" w:eastAsia="黑体"/>
          <w:szCs w:val="21"/>
        </w:rPr>
        <w:t>引言</w:t>
      </w:r>
    </w:p>
    <w:p>
      <w:pPr>
        <w:pStyle w:val="5"/>
        <w:keepNext w:val="0"/>
        <w:keepLines w:val="0"/>
        <w:pageBreakBefore w:val="0"/>
        <w:widowControl w:val="0"/>
        <w:numPr>
          <w:ilvl w:val="0"/>
          <w:numId w:val="0"/>
        </w:numPr>
        <w:kinsoku/>
        <w:wordWrap/>
        <w:overflowPunct/>
        <w:topLinePunct w:val="0"/>
        <w:autoSpaceDE/>
        <w:autoSpaceDN/>
        <w:bidi w:val="0"/>
        <w:adjustRightInd/>
        <w:snapToGrid/>
        <w:spacing w:before="156" w:beforeLines="50" w:after="156" w:afterLines="50" w:line="400" w:lineRule="atLeast"/>
        <w:ind w:leftChars="0" w:firstLine="360" w:firstLineChars="200"/>
        <w:textAlignment w:val="auto"/>
        <w:rPr>
          <w:rFonts w:hint="eastAsia" w:ascii="宋体" w:hAnsi="宋体" w:eastAsia="宋体" w:cstheme="minorBidi"/>
          <w:kern w:val="2"/>
          <w:sz w:val="18"/>
          <w:szCs w:val="18"/>
          <w:lang w:val="en-US" w:eastAsia="zh-CN" w:bidi="ar-SA"/>
        </w:rPr>
      </w:pPr>
      <w:r>
        <w:rPr>
          <w:rFonts w:hint="eastAsia" w:ascii="宋体" w:hAnsi="宋体" w:eastAsia="宋体" w:cstheme="minorBidi"/>
          <w:kern w:val="2"/>
          <w:sz w:val="18"/>
          <w:szCs w:val="18"/>
          <w:lang w:val="en-US" w:eastAsia="zh-CN" w:bidi="ar-SA"/>
        </w:rPr>
        <w:t>改革开放以来，我国IT行业飞速发展，尤其在智能手机普及之后，无疑是给IT行业的发展打了一剂强心针。但是，正如</w:t>
      </w:r>
      <w:r>
        <w:rPr>
          <w:rFonts w:hint="default" w:ascii="宋体" w:hAnsi="宋体" w:eastAsia="宋体" w:cstheme="minorBidi"/>
          <w:kern w:val="2"/>
          <w:sz w:val="18"/>
          <w:szCs w:val="18"/>
          <w:lang w:val="en-US" w:eastAsia="zh-CN" w:bidi="ar-SA"/>
        </w:rPr>
        <w:t>赵海婷</w:t>
      </w:r>
      <w:r>
        <w:rPr>
          <w:rFonts w:hint="eastAsia" w:ascii="宋体" w:hAnsi="宋体" w:eastAsia="宋体" w:cstheme="minorBidi"/>
          <w:kern w:val="2"/>
          <w:sz w:val="18"/>
          <w:szCs w:val="18"/>
          <w:lang w:val="en-US" w:eastAsia="zh-CN" w:bidi="ar-SA"/>
        </w:rPr>
        <w:t>等人在《</w:t>
      </w:r>
      <w:r>
        <w:rPr>
          <w:rFonts w:hint="default" w:ascii="宋体" w:hAnsi="宋体" w:eastAsia="宋体" w:cstheme="minorBidi"/>
          <w:kern w:val="2"/>
          <w:sz w:val="18"/>
          <w:szCs w:val="18"/>
          <w:lang w:val="en-US" w:eastAsia="zh-CN" w:bidi="ar-SA"/>
        </w:rPr>
        <w:t>我国IT企业薪酬管理与薪酬体系设计中存在的问题及解决对策</w:t>
      </w:r>
      <w:r>
        <w:rPr>
          <w:rFonts w:hint="eastAsia" w:ascii="宋体" w:hAnsi="宋体" w:eastAsia="宋体" w:cstheme="minorBidi"/>
          <w:kern w:val="2"/>
          <w:sz w:val="18"/>
          <w:szCs w:val="18"/>
          <w:lang w:val="en-US" w:eastAsia="zh-CN" w:bidi="ar-SA"/>
        </w:rPr>
        <w:t>》</w:t>
      </w:r>
      <w:r>
        <w:rPr>
          <w:rFonts w:hint="eastAsia" w:ascii="宋体" w:hAnsi="宋体" w:eastAsia="宋体" w:cstheme="minorBidi"/>
          <w:kern w:val="2"/>
          <w:sz w:val="18"/>
          <w:szCs w:val="18"/>
          <w:vertAlign w:val="superscript"/>
          <w:lang w:val="en-US" w:eastAsia="zh-CN" w:bidi="ar-SA"/>
        </w:rPr>
        <w:t>[1]</w:t>
      </w:r>
      <w:r>
        <w:rPr>
          <w:rFonts w:hint="eastAsia" w:ascii="宋体" w:hAnsi="宋体" w:eastAsia="宋体" w:cstheme="minorBidi"/>
          <w:kern w:val="2"/>
          <w:sz w:val="18"/>
          <w:szCs w:val="18"/>
          <w:lang w:val="en-US" w:eastAsia="zh-CN" w:bidi="ar-SA"/>
        </w:rPr>
        <w:t>中所说，我国的IT行业薪资分配不合理，薪酬体系存在问题，这也导致了员工的大量流失。而且陈光珍、杨伯元在《</w:t>
      </w:r>
      <w:r>
        <w:rPr>
          <w:rFonts w:hint="default" w:ascii="宋体" w:hAnsi="宋体" w:eastAsia="宋体" w:cstheme="minorBidi"/>
          <w:kern w:val="2"/>
          <w:sz w:val="18"/>
          <w:szCs w:val="18"/>
          <w:lang w:val="en-US" w:eastAsia="zh-CN" w:bidi="ar-SA"/>
        </w:rPr>
        <w:t>我国IT企业研发人员的薪酬现状及问题研究</w:t>
      </w:r>
      <w:r>
        <w:rPr>
          <w:rFonts w:hint="eastAsia" w:ascii="宋体" w:hAnsi="宋体" w:eastAsia="宋体" w:cstheme="minorBidi"/>
          <w:kern w:val="2"/>
          <w:sz w:val="18"/>
          <w:szCs w:val="18"/>
          <w:lang w:val="en-US" w:eastAsia="zh-CN" w:bidi="ar-SA"/>
        </w:rPr>
        <w:t>》</w:t>
      </w:r>
      <w:r>
        <w:rPr>
          <w:rFonts w:hint="eastAsia" w:ascii="宋体" w:hAnsi="宋体" w:eastAsia="宋体" w:cstheme="minorBidi"/>
          <w:kern w:val="2"/>
          <w:sz w:val="18"/>
          <w:szCs w:val="18"/>
          <w:vertAlign w:val="superscript"/>
          <w:lang w:val="en-US" w:eastAsia="zh-CN" w:bidi="ar-SA"/>
        </w:rPr>
        <w:t>[2]</w:t>
      </w:r>
      <w:r>
        <w:rPr>
          <w:rFonts w:hint="eastAsia" w:ascii="宋体" w:hAnsi="宋体" w:eastAsia="宋体" w:cstheme="minorBidi"/>
          <w:kern w:val="2"/>
          <w:sz w:val="18"/>
          <w:szCs w:val="18"/>
          <w:lang w:val="en-US" w:eastAsia="zh-CN" w:bidi="ar-SA"/>
        </w:rPr>
        <w:t>指出IT企业研发人员的薪酬水平整体具有相当的吸引力。然而，从相关调查结果来看，具有绝对高薪优势的IT企业的研发人员流失率却相当高。据北京外企太和顾问有限公司的调查数据显示，去年国内IT企业中研发人员的主动离职率为 14．5％，其中北京中关村IT行业的人 才流失率在20％以上，相比于其他行业10％的流失率，IT企业研发人员的流失率指标要高出—倍以上。通过仔细研究，发现IT企业的薪酬管理方案存在诸多问题尚待解决。这些问题也是造成员工高流失率的关键因素。而引起这些问题的原因包括：很多IT公司只重视技术创新，却忽视了人力资源管理；其次是从业人员在工作过程中的劳动难于计量。本文即是从IT行业从业者的薪酬分析出发，对比历年薪酬变化，借助可视化的数据和图表，讨论IT行业的变化以及IT行业离职率居高不下的分析。</w:t>
      </w:r>
    </w:p>
    <w:p>
      <w:pPr>
        <w:pStyle w:val="5"/>
        <w:numPr>
          <w:ilvl w:val="0"/>
          <w:numId w:val="1"/>
        </w:numPr>
        <w:spacing w:before="156" w:beforeLines="50" w:after="156" w:afterLines="50" w:line="220" w:lineRule="atLeast"/>
        <w:ind w:firstLineChars="0"/>
        <w:rPr>
          <w:rFonts w:ascii="仿宋" w:hAnsi="仿宋" w:eastAsia="仿宋"/>
          <w:sz w:val="18"/>
          <w:szCs w:val="18"/>
        </w:rPr>
      </w:pPr>
      <w:r>
        <w:rPr>
          <w:rFonts w:hint="eastAsia" w:ascii="黑体" w:hAnsi="黑体" w:eastAsia="黑体"/>
          <w:szCs w:val="21"/>
          <w:lang w:val="en-US" w:eastAsia="zh-CN"/>
        </w:rPr>
        <w:t>IT</w:t>
      </w:r>
      <w:r>
        <w:rPr>
          <w:rFonts w:hint="eastAsia" w:ascii="黑体" w:hAnsi="黑体" w:eastAsia="黑体"/>
          <w:szCs w:val="21"/>
        </w:rPr>
        <w:t>行业整体薪酬变化的分析</w:t>
      </w:r>
    </w:p>
    <w:p>
      <w:pPr>
        <w:pStyle w:val="5"/>
        <w:keepNext w:val="0"/>
        <w:keepLines w:val="0"/>
        <w:pageBreakBefore w:val="0"/>
        <w:widowControl w:val="0"/>
        <w:numPr>
          <w:ilvl w:val="0"/>
          <w:numId w:val="0"/>
        </w:numPr>
        <w:kinsoku/>
        <w:wordWrap/>
        <w:overflowPunct/>
        <w:topLinePunct w:val="0"/>
        <w:autoSpaceDE/>
        <w:autoSpaceDN/>
        <w:bidi w:val="0"/>
        <w:adjustRightInd/>
        <w:snapToGrid/>
        <w:spacing w:before="156" w:beforeLines="50" w:after="156" w:afterLines="50" w:line="400" w:lineRule="atLeast"/>
        <w:ind w:leftChars="0" w:firstLine="360" w:firstLineChars="200"/>
        <w:textAlignment w:val="auto"/>
        <w:rPr>
          <w:rFonts w:hint="eastAsia" w:ascii="宋体" w:hAnsi="宋体" w:eastAsia="宋体" w:cstheme="minorBidi"/>
          <w:kern w:val="2"/>
          <w:sz w:val="18"/>
          <w:szCs w:val="18"/>
          <w:lang w:val="en-US" w:eastAsia="zh-CN" w:bidi="ar-SA"/>
        </w:rPr>
      </w:pPr>
      <w:r>
        <w:rPr>
          <w:rFonts w:hint="eastAsia" w:ascii="宋体" w:hAnsi="宋体" w:eastAsia="宋体" w:cstheme="minorBidi"/>
          <w:kern w:val="2"/>
          <w:sz w:val="18"/>
          <w:szCs w:val="18"/>
          <w:lang w:val="en-US" w:eastAsia="zh-CN" w:bidi="ar-SA"/>
        </w:rPr>
        <w:t>要想对IT行业的薪酬变化进行分析，那么我们就要获得充足且真实的数据。所以我首先在国研网上查找并获得了2006年至2018年的劳动人员年末人数以及全体劳动人员年度报酬数据，再通过计算得到劳动人员的个人年度平均报酬。由此来画出劳动人员个人年度报酬数据表（下表1），进而作出对应的折线图（下图1）。</w:t>
      </w:r>
    </w:p>
    <w:p>
      <w:pPr>
        <w:pStyle w:val="2"/>
        <w:spacing w:after="0" w:line="240" w:lineRule="atLeast"/>
        <w:jc w:val="center"/>
        <w:rPr>
          <w:b w:val="0"/>
          <w:bCs w:val="0"/>
          <w:color w:val="FF0000"/>
          <w:sz w:val="18"/>
          <w:szCs w:val="18"/>
        </w:rPr>
      </w:pPr>
      <w:r>
        <w:rPr>
          <w:rFonts w:hint="eastAsia" w:ascii="宋体" w:hAnsi="宋体"/>
          <w:sz w:val="15"/>
          <w:szCs w:val="15"/>
          <w:lang w:val="en-US" w:eastAsia="zh-CN"/>
        </w:rPr>
        <w:t>表1   劳动人员个人年度报酬数据表</w:t>
      </w:r>
    </w:p>
    <w:tbl>
      <w:tblPr>
        <w:tblStyle w:val="3"/>
        <w:tblW w:w="0" w:type="auto"/>
        <w:jc w:val="center"/>
        <w:tblLayout w:type="fixed"/>
        <w:tblCellMar>
          <w:top w:w="0" w:type="dxa"/>
          <w:left w:w="108" w:type="dxa"/>
          <w:bottom w:w="0" w:type="dxa"/>
          <w:right w:w="108" w:type="dxa"/>
        </w:tblCellMar>
      </w:tblPr>
      <w:tblGrid>
        <w:gridCol w:w="1147"/>
        <w:gridCol w:w="1039"/>
        <w:gridCol w:w="969"/>
        <w:gridCol w:w="1422"/>
      </w:tblGrid>
      <w:tr>
        <w:tblPrEx>
          <w:tblCellMar>
            <w:top w:w="0" w:type="dxa"/>
            <w:left w:w="108" w:type="dxa"/>
            <w:bottom w:w="0" w:type="dxa"/>
            <w:right w:w="108" w:type="dxa"/>
          </w:tblCellMar>
        </w:tblPrEx>
        <w:trPr>
          <w:trHeight w:val="838" w:hRule="atLeast"/>
          <w:jc w:val="center"/>
        </w:trPr>
        <w:tc>
          <w:tcPr>
            <w:tcW w:w="1147" w:type="dxa"/>
            <w:tcBorders>
              <w:top w:val="single" w:color="auto" w:sz="4" w:space="0"/>
              <w:bottom w:val="single" w:color="auto" w:sz="4" w:space="0"/>
            </w:tcBorders>
            <w:vAlign w:val="center"/>
          </w:tcPr>
          <w:p>
            <w:pPr>
              <w:overflowPunct w:val="0"/>
              <w:jc w:val="center"/>
              <w:rPr>
                <w:rFonts w:ascii="宋体" w:hAnsi="宋体" w:eastAsia="宋体"/>
                <w:sz w:val="15"/>
                <w:szCs w:val="15"/>
              </w:rPr>
            </w:pPr>
            <w:r>
              <w:rPr>
                <w:rFonts w:hint="eastAsia" w:ascii="仿宋" w:hAnsi="仿宋" w:eastAsia="仿宋"/>
                <w:sz w:val="13"/>
                <w:szCs w:val="13"/>
                <w:lang w:val="en-US" w:eastAsia="zh-CN"/>
              </w:rPr>
              <w:t>年份</w:t>
            </w:r>
          </w:p>
        </w:tc>
        <w:tc>
          <w:tcPr>
            <w:tcW w:w="1039" w:type="dxa"/>
            <w:tcBorders>
              <w:top w:val="single" w:color="auto" w:sz="4" w:space="0"/>
              <w:bottom w:val="single" w:color="auto" w:sz="4" w:space="0"/>
            </w:tcBorders>
            <w:vAlign w:val="center"/>
          </w:tcPr>
          <w:p>
            <w:pPr>
              <w:overflowPunct w:val="0"/>
              <w:jc w:val="center"/>
              <w:rPr>
                <w:rFonts w:ascii="宋体" w:hAnsi="宋体" w:eastAsia="宋体"/>
                <w:sz w:val="15"/>
                <w:szCs w:val="15"/>
              </w:rPr>
            </w:pPr>
            <w:r>
              <w:rPr>
                <w:rFonts w:hint="eastAsia" w:ascii="仿宋" w:hAnsi="仿宋" w:eastAsia="仿宋"/>
                <w:sz w:val="13"/>
                <w:szCs w:val="13"/>
                <w:lang w:val="en-US" w:eastAsia="zh-CN"/>
              </w:rPr>
              <w:t>劳动者报酬/万元</w:t>
            </w:r>
          </w:p>
        </w:tc>
        <w:tc>
          <w:tcPr>
            <w:tcW w:w="969" w:type="dxa"/>
            <w:tcBorders>
              <w:top w:val="single" w:color="auto" w:sz="4" w:space="0"/>
              <w:bottom w:val="single" w:color="auto" w:sz="4" w:space="0"/>
            </w:tcBorders>
            <w:vAlign w:val="center"/>
          </w:tcPr>
          <w:p>
            <w:pPr>
              <w:overflowPunct w:val="0"/>
              <w:jc w:val="center"/>
              <w:rPr>
                <w:rFonts w:ascii="宋体" w:hAnsi="宋体" w:eastAsia="宋体"/>
                <w:sz w:val="15"/>
                <w:szCs w:val="15"/>
              </w:rPr>
            </w:pPr>
            <w:r>
              <w:rPr>
                <w:rFonts w:hint="eastAsia" w:ascii="仿宋" w:hAnsi="仿宋" w:eastAsia="仿宋"/>
                <w:sz w:val="13"/>
                <w:szCs w:val="13"/>
                <w:lang w:val="en-US" w:eastAsia="zh-CN"/>
              </w:rPr>
              <w:t>从业人员年末人数 /人</w:t>
            </w:r>
          </w:p>
        </w:tc>
        <w:tc>
          <w:tcPr>
            <w:tcW w:w="1422" w:type="dxa"/>
            <w:tcBorders>
              <w:top w:val="single" w:color="auto" w:sz="4" w:space="0"/>
              <w:bottom w:val="single" w:color="auto" w:sz="4" w:space="0"/>
            </w:tcBorders>
            <w:vAlign w:val="bottom"/>
          </w:tcPr>
          <w:p>
            <w:pPr>
              <w:overflowPunct w:val="0"/>
              <w:jc w:val="center"/>
              <w:rPr>
                <w:rFonts w:hint="eastAsia" w:ascii="仿宋" w:hAnsi="仿宋" w:eastAsia="仿宋"/>
                <w:sz w:val="13"/>
                <w:szCs w:val="13"/>
              </w:rPr>
            </w:pPr>
            <w:r>
              <w:rPr>
                <w:rFonts w:hint="eastAsia" w:ascii="仿宋" w:hAnsi="仿宋" w:eastAsia="仿宋"/>
                <w:sz w:val="13"/>
                <w:szCs w:val="13"/>
                <w:lang w:val="en-US" w:eastAsia="zh-CN"/>
              </w:rPr>
              <w:t>劳动者个人年度报酬(万元)</w:t>
            </w:r>
          </w:p>
        </w:tc>
      </w:tr>
      <w:tr>
        <w:tblPrEx>
          <w:tblCellMar>
            <w:top w:w="0" w:type="dxa"/>
            <w:left w:w="108" w:type="dxa"/>
            <w:bottom w:w="0" w:type="dxa"/>
            <w:right w:w="108" w:type="dxa"/>
          </w:tblCellMar>
        </w:tblPrEx>
        <w:trPr>
          <w:jc w:val="center"/>
        </w:trPr>
        <w:tc>
          <w:tcPr>
            <w:tcW w:w="1147" w:type="dxa"/>
          </w:tcPr>
          <w:p>
            <w:pPr>
              <w:overflowPunct w:val="0"/>
              <w:jc w:val="center"/>
              <w:rPr>
                <w:rFonts w:ascii="仿宋" w:hAnsi="仿宋" w:eastAsia="仿宋"/>
                <w:sz w:val="13"/>
                <w:szCs w:val="13"/>
              </w:rPr>
            </w:pPr>
            <w:r>
              <w:rPr>
                <w:rFonts w:hint="eastAsia" w:ascii="仿宋" w:hAnsi="仿宋" w:eastAsia="仿宋"/>
                <w:sz w:val="13"/>
                <w:szCs w:val="13"/>
              </w:rPr>
              <w:t>2006年</w:t>
            </w:r>
          </w:p>
        </w:tc>
        <w:tc>
          <w:tcPr>
            <w:tcW w:w="1039" w:type="dxa"/>
            <w:vAlign w:val="center"/>
          </w:tcPr>
          <w:p>
            <w:pPr>
              <w:overflowPunct w:val="0"/>
              <w:jc w:val="center"/>
              <w:rPr>
                <w:rFonts w:ascii="仿宋" w:hAnsi="仿宋" w:eastAsia="仿宋"/>
                <w:sz w:val="13"/>
                <w:szCs w:val="13"/>
              </w:rPr>
            </w:pPr>
            <w:r>
              <w:rPr>
                <w:rFonts w:hint="eastAsia" w:ascii="仿宋" w:hAnsi="仿宋" w:eastAsia="仿宋"/>
                <w:sz w:val="13"/>
                <w:szCs w:val="13"/>
              </w:rPr>
              <w:t>7077878</w:t>
            </w:r>
          </w:p>
        </w:tc>
        <w:tc>
          <w:tcPr>
            <w:tcW w:w="969" w:type="dxa"/>
            <w:vAlign w:val="center"/>
          </w:tcPr>
          <w:p>
            <w:pPr>
              <w:overflowPunct w:val="0"/>
              <w:jc w:val="center"/>
              <w:rPr>
                <w:rFonts w:ascii="仿宋" w:hAnsi="仿宋" w:eastAsia="仿宋"/>
                <w:sz w:val="13"/>
                <w:szCs w:val="13"/>
              </w:rPr>
            </w:pPr>
            <w:r>
              <w:rPr>
                <w:rFonts w:hint="eastAsia" w:ascii="仿宋" w:hAnsi="仿宋" w:eastAsia="仿宋"/>
                <w:sz w:val="13"/>
                <w:szCs w:val="13"/>
              </w:rPr>
              <w:t>1289530</w:t>
            </w:r>
          </w:p>
        </w:tc>
        <w:tc>
          <w:tcPr>
            <w:tcW w:w="1422" w:type="dxa"/>
            <w:vAlign w:val="bottom"/>
          </w:tcPr>
          <w:p>
            <w:pPr>
              <w:overflowPunct w:val="0"/>
              <w:jc w:val="center"/>
              <w:rPr>
                <w:rFonts w:hint="eastAsia" w:ascii="仿宋" w:hAnsi="仿宋" w:eastAsia="仿宋"/>
                <w:sz w:val="13"/>
                <w:szCs w:val="13"/>
              </w:rPr>
            </w:pPr>
            <w:r>
              <w:rPr>
                <w:rFonts w:hint="eastAsia" w:ascii="仿宋" w:hAnsi="仿宋" w:eastAsia="仿宋"/>
                <w:sz w:val="13"/>
                <w:szCs w:val="13"/>
                <w:lang w:val="en-US" w:eastAsia="zh-CN"/>
              </w:rPr>
              <w:t xml:space="preserve">5.49 </w:t>
            </w:r>
          </w:p>
        </w:tc>
      </w:tr>
      <w:tr>
        <w:tblPrEx>
          <w:tblCellMar>
            <w:top w:w="0" w:type="dxa"/>
            <w:left w:w="108" w:type="dxa"/>
            <w:bottom w:w="0" w:type="dxa"/>
            <w:right w:w="108" w:type="dxa"/>
          </w:tblCellMar>
        </w:tblPrEx>
        <w:trPr>
          <w:jc w:val="center"/>
        </w:trPr>
        <w:tc>
          <w:tcPr>
            <w:tcW w:w="1147" w:type="dxa"/>
            <w:shd w:val="clear" w:color="auto" w:fill="auto"/>
          </w:tcPr>
          <w:p>
            <w:pPr>
              <w:overflowPunct w:val="0"/>
              <w:jc w:val="center"/>
              <w:rPr>
                <w:rFonts w:ascii="仿宋" w:hAnsi="仿宋" w:eastAsia="仿宋"/>
                <w:sz w:val="13"/>
                <w:szCs w:val="13"/>
              </w:rPr>
            </w:pPr>
            <w:r>
              <w:rPr>
                <w:rFonts w:hint="eastAsia" w:ascii="仿宋" w:hAnsi="仿宋" w:eastAsia="仿宋"/>
                <w:sz w:val="13"/>
                <w:szCs w:val="13"/>
              </w:rPr>
              <w:t>2007年</w:t>
            </w:r>
          </w:p>
        </w:tc>
        <w:tc>
          <w:tcPr>
            <w:tcW w:w="1039" w:type="dxa"/>
            <w:shd w:val="clear" w:color="auto" w:fill="auto"/>
            <w:vAlign w:val="center"/>
          </w:tcPr>
          <w:p>
            <w:pPr>
              <w:overflowPunct w:val="0"/>
              <w:jc w:val="center"/>
              <w:rPr>
                <w:rFonts w:ascii="仿宋" w:hAnsi="仿宋" w:eastAsia="仿宋"/>
                <w:sz w:val="13"/>
                <w:szCs w:val="13"/>
              </w:rPr>
            </w:pPr>
            <w:r>
              <w:rPr>
                <w:rFonts w:hint="eastAsia" w:ascii="仿宋" w:hAnsi="仿宋" w:eastAsia="仿宋"/>
                <w:sz w:val="13"/>
                <w:szCs w:val="13"/>
              </w:rPr>
              <w:t>7385458</w:t>
            </w:r>
          </w:p>
        </w:tc>
        <w:tc>
          <w:tcPr>
            <w:tcW w:w="969" w:type="dxa"/>
            <w:shd w:val="clear" w:color="auto" w:fill="auto"/>
            <w:vAlign w:val="center"/>
          </w:tcPr>
          <w:p>
            <w:pPr>
              <w:overflowPunct w:val="0"/>
              <w:jc w:val="center"/>
              <w:rPr>
                <w:rFonts w:ascii="仿宋" w:hAnsi="仿宋" w:eastAsia="仿宋"/>
                <w:sz w:val="13"/>
                <w:szCs w:val="13"/>
              </w:rPr>
            </w:pPr>
            <w:r>
              <w:rPr>
                <w:rFonts w:hint="eastAsia" w:ascii="仿宋" w:hAnsi="仿宋" w:eastAsia="仿宋"/>
                <w:sz w:val="13"/>
                <w:szCs w:val="13"/>
              </w:rPr>
              <w:t>1528977</w:t>
            </w:r>
          </w:p>
        </w:tc>
        <w:tc>
          <w:tcPr>
            <w:tcW w:w="1422" w:type="dxa"/>
            <w:shd w:val="clear" w:color="auto" w:fill="auto"/>
            <w:vAlign w:val="bottom"/>
          </w:tcPr>
          <w:p>
            <w:pPr>
              <w:overflowPunct w:val="0"/>
              <w:jc w:val="center"/>
              <w:rPr>
                <w:rFonts w:hint="eastAsia" w:ascii="仿宋" w:hAnsi="仿宋" w:eastAsia="仿宋"/>
                <w:sz w:val="13"/>
                <w:szCs w:val="13"/>
              </w:rPr>
            </w:pPr>
            <w:r>
              <w:rPr>
                <w:rFonts w:hint="eastAsia" w:ascii="仿宋" w:hAnsi="仿宋" w:eastAsia="仿宋"/>
                <w:sz w:val="13"/>
                <w:szCs w:val="13"/>
                <w:lang w:val="en-US" w:eastAsia="zh-CN"/>
              </w:rPr>
              <w:t xml:space="preserve">4.83 </w:t>
            </w:r>
          </w:p>
        </w:tc>
      </w:tr>
      <w:tr>
        <w:tblPrEx>
          <w:tblCellMar>
            <w:top w:w="0" w:type="dxa"/>
            <w:left w:w="108" w:type="dxa"/>
            <w:bottom w:w="0" w:type="dxa"/>
            <w:right w:w="108" w:type="dxa"/>
          </w:tblCellMar>
        </w:tblPrEx>
        <w:trPr>
          <w:jc w:val="center"/>
        </w:trPr>
        <w:tc>
          <w:tcPr>
            <w:tcW w:w="1147" w:type="dxa"/>
            <w:shd w:val="clear" w:color="auto" w:fill="auto"/>
          </w:tcPr>
          <w:p>
            <w:pPr>
              <w:overflowPunct w:val="0"/>
              <w:jc w:val="center"/>
              <w:rPr>
                <w:rFonts w:ascii="仿宋" w:hAnsi="仿宋" w:eastAsia="仿宋"/>
                <w:sz w:val="13"/>
                <w:szCs w:val="13"/>
              </w:rPr>
            </w:pPr>
            <w:r>
              <w:rPr>
                <w:rFonts w:hint="eastAsia" w:ascii="仿宋" w:hAnsi="仿宋" w:eastAsia="仿宋"/>
                <w:sz w:val="13"/>
                <w:szCs w:val="13"/>
              </w:rPr>
              <w:t>2008年</w:t>
            </w:r>
          </w:p>
        </w:tc>
        <w:tc>
          <w:tcPr>
            <w:tcW w:w="1039" w:type="dxa"/>
            <w:shd w:val="clear" w:color="auto" w:fill="auto"/>
            <w:vAlign w:val="center"/>
          </w:tcPr>
          <w:p>
            <w:pPr>
              <w:overflowPunct w:val="0"/>
              <w:jc w:val="center"/>
              <w:rPr>
                <w:rFonts w:ascii="仿宋" w:hAnsi="仿宋" w:eastAsia="仿宋"/>
                <w:sz w:val="13"/>
                <w:szCs w:val="13"/>
              </w:rPr>
            </w:pPr>
            <w:r>
              <w:rPr>
                <w:rFonts w:hint="eastAsia" w:ascii="仿宋" w:hAnsi="仿宋" w:eastAsia="仿宋"/>
                <w:sz w:val="13"/>
                <w:szCs w:val="13"/>
              </w:rPr>
              <w:t>10029460</w:t>
            </w:r>
          </w:p>
        </w:tc>
        <w:tc>
          <w:tcPr>
            <w:tcW w:w="969" w:type="dxa"/>
            <w:shd w:val="clear" w:color="auto" w:fill="auto"/>
            <w:vAlign w:val="center"/>
          </w:tcPr>
          <w:p>
            <w:pPr>
              <w:overflowPunct w:val="0"/>
              <w:jc w:val="center"/>
              <w:rPr>
                <w:rFonts w:ascii="仿宋" w:hAnsi="仿宋" w:eastAsia="仿宋"/>
                <w:sz w:val="13"/>
                <w:szCs w:val="13"/>
              </w:rPr>
            </w:pPr>
            <w:r>
              <w:rPr>
                <w:rFonts w:hint="eastAsia" w:ascii="仿宋" w:hAnsi="仿宋" w:eastAsia="仿宋"/>
                <w:sz w:val="13"/>
                <w:szCs w:val="13"/>
              </w:rPr>
              <w:t>1545028</w:t>
            </w:r>
          </w:p>
        </w:tc>
        <w:tc>
          <w:tcPr>
            <w:tcW w:w="1422" w:type="dxa"/>
            <w:shd w:val="clear" w:color="auto" w:fill="auto"/>
            <w:vAlign w:val="bottom"/>
          </w:tcPr>
          <w:p>
            <w:pPr>
              <w:overflowPunct w:val="0"/>
              <w:jc w:val="center"/>
              <w:rPr>
                <w:rFonts w:hint="eastAsia" w:ascii="仿宋" w:hAnsi="仿宋" w:eastAsia="仿宋"/>
                <w:sz w:val="13"/>
                <w:szCs w:val="13"/>
              </w:rPr>
            </w:pPr>
            <w:r>
              <w:rPr>
                <w:rFonts w:hint="eastAsia" w:ascii="仿宋" w:hAnsi="仿宋" w:eastAsia="仿宋"/>
                <w:sz w:val="13"/>
                <w:szCs w:val="13"/>
                <w:lang w:val="en-US" w:eastAsia="zh-CN"/>
              </w:rPr>
              <w:t xml:space="preserve">6.49 </w:t>
            </w:r>
          </w:p>
        </w:tc>
      </w:tr>
      <w:tr>
        <w:tblPrEx>
          <w:tblCellMar>
            <w:top w:w="0" w:type="dxa"/>
            <w:left w:w="108" w:type="dxa"/>
            <w:bottom w:w="0" w:type="dxa"/>
            <w:right w:w="108" w:type="dxa"/>
          </w:tblCellMar>
        </w:tblPrEx>
        <w:trPr>
          <w:jc w:val="center"/>
        </w:trPr>
        <w:tc>
          <w:tcPr>
            <w:tcW w:w="1147" w:type="dxa"/>
            <w:shd w:val="clear" w:color="auto" w:fill="auto"/>
          </w:tcPr>
          <w:p>
            <w:pPr>
              <w:overflowPunct w:val="0"/>
              <w:jc w:val="center"/>
              <w:rPr>
                <w:rFonts w:ascii="仿宋" w:hAnsi="仿宋" w:eastAsia="仿宋"/>
                <w:sz w:val="13"/>
                <w:szCs w:val="13"/>
              </w:rPr>
            </w:pPr>
            <w:r>
              <w:rPr>
                <w:rFonts w:hint="eastAsia" w:ascii="仿宋" w:hAnsi="仿宋" w:eastAsia="仿宋"/>
                <w:sz w:val="13"/>
                <w:szCs w:val="13"/>
              </w:rPr>
              <w:t>2009年</w:t>
            </w:r>
          </w:p>
        </w:tc>
        <w:tc>
          <w:tcPr>
            <w:tcW w:w="1039" w:type="dxa"/>
            <w:shd w:val="clear" w:color="auto" w:fill="auto"/>
            <w:vAlign w:val="center"/>
          </w:tcPr>
          <w:p>
            <w:pPr>
              <w:overflowPunct w:val="0"/>
              <w:jc w:val="center"/>
              <w:rPr>
                <w:rFonts w:ascii="仿宋" w:hAnsi="仿宋" w:eastAsia="仿宋"/>
                <w:sz w:val="13"/>
                <w:szCs w:val="13"/>
              </w:rPr>
            </w:pPr>
            <w:r>
              <w:rPr>
                <w:rFonts w:hint="eastAsia" w:ascii="仿宋" w:hAnsi="仿宋" w:eastAsia="仿宋"/>
                <w:sz w:val="13"/>
                <w:szCs w:val="13"/>
              </w:rPr>
              <w:t>14198259</w:t>
            </w:r>
          </w:p>
        </w:tc>
        <w:tc>
          <w:tcPr>
            <w:tcW w:w="969" w:type="dxa"/>
            <w:shd w:val="clear" w:color="auto" w:fill="auto"/>
            <w:vAlign w:val="center"/>
          </w:tcPr>
          <w:p>
            <w:pPr>
              <w:overflowPunct w:val="0"/>
              <w:jc w:val="center"/>
              <w:rPr>
                <w:rFonts w:ascii="仿宋" w:hAnsi="仿宋" w:eastAsia="仿宋"/>
                <w:sz w:val="13"/>
                <w:szCs w:val="13"/>
              </w:rPr>
            </w:pPr>
            <w:r>
              <w:rPr>
                <w:rFonts w:hint="eastAsia" w:ascii="仿宋" w:hAnsi="仿宋" w:eastAsia="仿宋"/>
                <w:sz w:val="13"/>
                <w:szCs w:val="13"/>
              </w:rPr>
              <w:t>2131888</w:t>
            </w:r>
          </w:p>
        </w:tc>
        <w:tc>
          <w:tcPr>
            <w:tcW w:w="1422" w:type="dxa"/>
            <w:shd w:val="clear" w:color="auto" w:fill="auto"/>
            <w:vAlign w:val="bottom"/>
          </w:tcPr>
          <w:p>
            <w:pPr>
              <w:overflowPunct w:val="0"/>
              <w:jc w:val="center"/>
              <w:rPr>
                <w:rFonts w:hint="eastAsia" w:ascii="仿宋" w:hAnsi="仿宋" w:eastAsia="仿宋"/>
                <w:sz w:val="13"/>
                <w:szCs w:val="13"/>
              </w:rPr>
            </w:pPr>
            <w:r>
              <w:rPr>
                <w:rFonts w:hint="eastAsia" w:ascii="仿宋" w:hAnsi="仿宋" w:eastAsia="仿宋"/>
                <w:sz w:val="13"/>
                <w:szCs w:val="13"/>
                <w:lang w:val="en-US" w:eastAsia="zh-CN"/>
              </w:rPr>
              <w:t xml:space="preserve">6.66 </w:t>
            </w:r>
          </w:p>
        </w:tc>
      </w:tr>
      <w:tr>
        <w:tblPrEx>
          <w:tblCellMar>
            <w:top w:w="0" w:type="dxa"/>
            <w:left w:w="108" w:type="dxa"/>
            <w:bottom w:w="0" w:type="dxa"/>
            <w:right w:w="108" w:type="dxa"/>
          </w:tblCellMar>
        </w:tblPrEx>
        <w:trPr>
          <w:jc w:val="center"/>
        </w:trPr>
        <w:tc>
          <w:tcPr>
            <w:tcW w:w="1147" w:type="dxa"/>
            <w:shd w:val="clear" w:color="auto" w:fill="auto"/>
          </w:tcPr>
          <w:p>
            <w:pPr>
              <w:overflowPunct w:val="0"/>
              <w:jc w:val="center"/>
              <w:rPr>
                <w:rFonts w:ascii="仿宋" w:hAnsi="仿宋" w:eastAsia="仿宋"/>
                <w:sz w:val="13"/>
                <w:szCs w:val="13"/>
              </w:rPr>
            </w:pPr>
            <w:r>
              <w:rPr>
                <w:rFonts w:hint="eastAsia" w:ascii="仿宋" w:hAnsi="仿宋" w:eastAsia="仿宋"/>
                <w:sz w:val="13"/>
                <w:szCs w:val="13"/>
              </w:rPr>
              <w:t>2010年</w:t>
            </w:r>
          </w:p>
        </w:tc>
        <w:tc>
          <w:tcPr>
            <w:tcW w:w="1039" w:type="dxa"/>
            <w:shd w:val="clear" w:color="auto" w:fill="auto"/>
            <w:vAlign w:val="center"/>
          </w:tcPr>
          <w:p>
            <w:pPr>
              <w:overflowPunct w:val="0"/>
              <w:jc w:val="center"/>
              <w:rPr>
                <w:rFonts w:ascii="仿宋" w:hAnsi="仿宋" w:eastAsia="仿宋"/>
                <w:sz w:val="13"/>
                <w:szCs w:val="13"/>
              </w:rPr>
            </w:pPr>
            <w:r>
              <w:rPr>
                <w:rFonts w:hint="eastAsia" w:ascii="仿宋" w:hAnsi="仿宋" w:eastAsia="仿宋"/>
                <w:sz w:val="13"/>
                <w:szCs w:val="13"/>
              </w:rPr>
              <w:t>20863262</w:t>
            </w:r>
          </w:p>
        </w:tc>
        <w:tc>
          <w:tcPr>
            <w:tcW w:w="969" w:type="dxa"/>
            <w:shd w:val="clear" w:color="auto" w:fill="auto"/>
            <w:vAlign w:val="center"/>
          </w:tcPr>
          <w:p>
            <w:pPr>
              <w:overflowPunct w:val="0"/>
              <w:jc w:val="center"/>
              <w:rPr>
                <w:rFonts w:ascii="仿宋" w:hAnsi="仿宋" w:eastAsia="仿宋"/>
                <w:sz w:val="13"/>
                <w:szCs w:val="13"/>
              </w:rPr>
            </w:pPr>
            <w:r>
              <w:rPr>
                <w:rFonts w:hint="eastAsia" w:ascii="仿宋" w:hAnsi="仿宋" w:eastAsia="仿宋"/>
                <w:sz w:val="13"/>
                <w:szCs w:val="13"/>
              </w:rPr>
              <w:t>2724556</w:t>
            </w:r>
          </w:p>
        </w:tc>
        <w:tc>
          <w:tcPr>
            <w:tcW w:w="1422" w:type="dxa"/>
            <w:shd w:val="clear" w:color="auto" w:fill="auto"/>
            <w:vAlign w:val="bottom"/>
          </w:tcPr>
          <w:p>
            <w:pPr>
              <w:overflowPunct w:val="0"/>
              <w:jc w:val="center"/>
              <w:rPr>
                <w:rFonts w:hint="eastAsia" w:ascii="仿宋" w:hAnsi="仿宋" w:eastAsia="仿宋"/>
                <w:sz w:val="13"/>
                <w:szCs w:val="13"/>
              </w:rPr>
            </w:pPr>
            <w:r>
              <w:rPr>
                <w:rFonts w:hint="eastAsia" w:ascii="仿宋" w:hAnsi="仿宋" w:eastAsia="仿宋"/>
                <w:sz w:val="13"/>
                <w:szCs w:val="13"/>
                <w:lang w:val="en-US" w:eastAsia="zh-CN"/>
              </w:rPr>
              <w:t xml:space="preserve">7.66 </w:t>
            </w:r>
          </w:p>
        </w:tc>
      </w:tr>
      <w:tr>
        <w:tblPrEx>
          <w:tblCellMar>
            <w:top w:w="0" w:type="dxa"/>
            <w:left w:w="108" w:type="dxa"/>
            <w:bottom w:w="0" w:type="dxa"/>
            <w:right w:w="108" w:type="dxa"/>
          </w:tblCellMar>
        </w:tblPrEx>
        <w:trPr>
          <w:jc w:val="center"/>
        </w:trPr>
        <w:tc>
          <w:tcPr>
            <w:tcW w:w="1147" w:type="dxa"/>
            <w:shd w:val="clear" w:color="auto" w:fill="auto"/>
          </w:tcPr>
          <w:p>
            <w:pPr>
              <w:overflowPunct w:val="0"/>
              <w:jc w:val="center"/>
              <w:rPr>
                <w:rFonts w:ascii="仿宋" w:hAnsi="仿宋" w:eastAsia="仿宋"/>
                <w:sz w:val="13"/>
                <w:szCs w:val="13"/>
              </w:rPr>
            </w:pPr>
            <w:r>
              <w:rPr>
                <w:rFonts w:hint="eastAsia" w:ascii="仿宋" w:hAnsi="仿宋" w:eastAsia="仿宋"/>
                <w:sz w:val="13"/>
                <w:szCs w:val="13"/>
              </w:rPr>
              <w:t>2011年</w:t>
            </w:r>
          </w:p>
        </w:tc>
        <w:tc>
          <w:tcPr>
            <w:tcW w:w="1039" w:type="dxa"/>
            <w:shd w:val="clear" w:color="auto" w:fill="auto"/>
            <w:vAlign w:val="center"/>
          </w:tcPr>
          <w:p>
            <w:pPr>
              <w:overflowPunct w:val="0"/>
              <w:jc w:val="center"/>
              <w:rPr>
                <w:rFonts w:ascii="仿宋" w:hAnsi="仿宋" w:eastAsia="仿宋"/>
                <w:sz w:val="13"/>
                <w:szCs w:val="13"/>
              </w:rPr>
            </w:pPr>
            <w:r>
              <w:rPr>
                <w:rFonts w:hint="eastAsia" w:ascii="仿宋" w:hAnsi="仿宋" w:eastAsia="仿宋"/>
                <w:sz w:val="13"/>
                <w:szCs w:val="13"/>
              </w:rPr>
              <w:t>28523736</w:t>
            </w:r>
          </w:p>
        </w:tc>
        <w:tc>
          <w:tcPr>
            <w:tcW w:w="969" w:type="dxa"/>
            <w:shd w:val="clear" w:color="auto" w:fill="auto"/>
            <w:vAlign w:val="center"/>
          </w:tcPr>
          <w:p>
            <w:pPr>
              <w:overflowPunct w:val="0"/>
              <w:jc w:val="center"/>
              <w:rPr>
                <w:rFonts w:ascii="仿宋" w:hAnsi="仿宋" w:eastAsia="仿宋"/>
                <w:sz w:val="13"/>
                <w:szCs w:val="13"/>
              </w:rPr>
            </w:pPr>
            <w:r>
              <w:rPr>
                <w:rFonts w:hint="eastAsia" w:ascii="仿宋" w:hAnsi="仿宋" w:eastAsia="仿宋"/>
                <w:sz w:val="13"/>
                <w:szCs w:val="13"/>
              </w:rPr>
              <w:t>3439261</w:t>
            </w:r>
          </w:p>
        </w:tc>
        <w:tc>
          <w:tcPr>
            <w:tcW w:w="1422" w:type="dxa"/>
            <w:shd w:val="clear" w:color="auto" w:fill="auto"/>
            <w:vAlign w:val="bottom"/>
          </w:tcPr>
          <w:p>
            <w:pPr>
              <w:overflowPunct w:val="0"/>
              <w:jc w:val="center"/>
              <w:rPr>
                <w:rFonts w:hint="eastAsia" w:ascii="仿宋" w:hAnsi="仿宋" w:eastAsia="仿宋"/>
                <w:sz w:val="13"/>
                <w:szCs w:val="13"/>
              </w:rPr>
            </w:pPr>
            <w:r>
              <w:rPr>
                <w:rFonts w:hint="eastAsia" w:ascii="仿宋" w:hAnsi="仿宋" w:eastAsia="仿宋"/>
                <w:sz w:val="13"/>
                <w:szCs w:val="13"/>
                <w:lang w:val="en-US" w:eastAsia="zh-CN"/>
              </w:rPr>
              <w:t xml:space="preserve">8.29 </w:t>
            </w:r>
          </w:p>
        </w:tc>
      </w:tr>
      <w:tr>
        <w:tblPrEx>
          <w:tblCellMar>
            <w:top w:w="0" w:type="dxa"/>
            <w:left w:w="108" w:type="dxa"/>
            <w:bottom w:w="0" w:type="dxa"/>
            <w:right w:w="108" w:type="dxa"/>
          </w:tblCellMar>
        </w:tblPrEx>
        <w:trPr>
          <w:jc w:val="center"/>
        </w:trPr>
        <w:tc>
          <w:tcPr>
            <w:tcW w:w="1147" w:type="dxa"/>
            <w:shd w:val="clear" w:color="auto" w:fill="auto"/>
          </w:tcPr>
          <w:p>
            <w:pPr>
              <w:overflowPunct w:val="0"/>
              <w:jc w:val="center"/>
              <w:rPr>
                <w:rFonts w:ascii="仿宋" w:hAnsi="仿宋" w:eastAsia="仿宋"/>
                <w:sz w:val="13"/>
                <w:szCs w:val="13"/>
              </w:rPr>
            </w:pPr>
            <w:r>
              <w:rPr>
                <w:rFonts w:hint="eastAsia" w:ascii="仿宋" w:hAnsi="仿宋" w:eastAsia="仿宋"/>
                <w:sz w:val="13"/>
                <w:szCs w:val="13"/>
              </w:rPr>
              <w:t>2012年</w:t>
            </w:r>
          </w:p>
        </w:tc>
        <w:tc>
          <w:tcPr>
            <w:tcW w:w="1039" w:type="dxa"/>
            <w:shd w:val="clear" w:color="auto" w:fill="auto"/>
            <w:vAlign w:val="center"/>
          </w:tcPr>
          <w:p>
            <w:pPr>
              <w:overflowPunct w:val="0"/>
              <w:jc w:val="center"/>
              <w:rPr>
                <w:rFonts w:ascii="仿宋" w:hAnsi="仿宋" w:eastAsia="仿宋"/>
                <w:sz w:val="13"/>
                <w:szCs w:val="13"/>
              </w:rPr>
            </w:pPr>
            <w:r>
              <w:rPr>
                <w:rFonts w:hint="eastAsia" w:ascii="仿宋" w:hAnsi="仿宋" w:eastAsia="仿宋"/>
                <w:sz w:val="13"/>
                <w:szCs w:val="13"/>
              </w:rPr>
              <w:t>37492846</w:t>
            </w:r>
          </w:p>
        </w:tc>
        <w:tc>
          <w:tcPr>
            <w:tcW w:w="969" w:type="dxa"/>
            <w:shd w:val="clear" w:color="auto" w:fill="auto"/>
            <w:vAlign w:val="center"/>
          </w:tcPr>
          <w:p>
            <w:pPr>
              <w:overflowPunct w:val="0"/>
              <w:jc w:val="center"/>
              <w:rPr>
                <w:rFonts w:ascii="仿宋" w:hAnsi="仿宋" w:eastAsia="仿宋"/>
                <w:sz w:val="13"/>
                <w:szCs w:val="13"/>
              </w:rPr>
            </w:pPr>
            <w:r>
              <w:rPr>
                <w:rFonts w:hint="eastAsia" w:ascii="仿宋" w:hAnsi="仿宋" w:eastAsia="仿宋"/>
                <w:sz w:val="13"/>
                <w:szCs w:val="13"/>
              </w:rPr>
              <w:t>4184030</w:t>
            </w:r>
          </w:p>
        </w:tc>
        <w:tc>
          <w:tcPr>
            <w:tcW w:w="1422" w:type="dxa"/>
            <w:shd w:val="clear" w:color="auto" w:fill="auto"/>
            <w:vAlign w:val="bottom"/>
          </w:tcPr>
          <w:p>
            <w:pPr>
              <w:overflowPunct w:val="0"/>
              <w:jc w:val="center"/>
              <w:rPr>
                <w:rFonts w:hint="eastAsia" w:ascii="仿宋" w:hAnsi="仿宋" w:eastAsia="仿宋"/>
                <w:sz w:val="13"/>
                <w:szCs w:val="13"/>
              </w:rPr>
            </w:pPr>
            <w:r>
              <w:rPr>
                <w:rFonts w:hint="eastAsia" w:ascii="仿宋" w:hAnsi="仿宋" w:eastAsia="仿宋"/>
                <w:sz w:val="13"/>
                <w:szCs w:val="13"/>
                <w:lang w:val="en-US" w:eastAsia="zh-CN"/>
              </w:rPr>
              <w:t xml:space="preserve">8.96 </w:t>
            </w:r>
          </w:p>
        </w:tc>
      </w:tr>
      <w:tr>
        <w:tblPrEx>
          <w:tblCellMar>
            <w:top w:w="0" w:type="dxa"/>
            <w:left w:w="108" w:type="dxa"/>
            <w:bottom w:w="0" w:type="dxa"/>
            <w:right w:w="108" w:type="dxa"/>
          </w:tblCellMar>
        </w:tblPrEx>
        <w:trPr>
          <w:jc w:val="center"/>
        </w:trPr>
        <w:tc>
          <w:tcPr>
            <w:tcW w:w="1147" w:type="dxa"/>
            <w:shd w:val="clear" w:color="auto" w:fill="auto"/>
          </w:tcPr>
          <w:p>
            <w:pPr>
              <w:overflowPunct w:val="0"/>
              <w:jc w:val="center"/>
              <w:rPr>
                <w:rFonts w:ascii="仿宋" w:hAnsi="仿宋" w:eastAsia="仿宋"/>
                <w:sz w:val="13"/>
                <w:szCs w:val="13"/>
              </w:rPr>
            </w:pPr>
            <w:r>
              <w:rPr>
                <w:rFonts w:hint="eastAsia" w:ascii="仿宋" w:hAnsi="仿宋" w:eastAsia="仿宋"/>
                <w:sz w:val="13"/>
                <w:szCs w:val="13"/>
              </w:rPr>
              <w:t>2013年</w:t>
            </w:r>
          </w:p>
        </w:tc>
        <w:tc>
          <w:tcPr>
            <w:tcW w:w="1039" w:type="dxa"/>
            <w:shd w:val="clear" w:color="auto" w:fill="auto"/>
            <w:vAlign w:val="center"/>
          </w:tcPr>
          <w:p>
            <w:pPr>
              <w:overflowPunct w:val="0"/>
              <w:jc w:val="center"/>
              <w:rPr>
                <w:rFonts w:ascii="仿宋" w:hAnsi="仿宋" w:eastAsia="仿宋"/>
                <w:sz w:val="13"/>
                <w:szCs w:val="13"/>
              </w:rPr>
            </w:pPr>
            <w:r>
              <w:rPr>
                <w:rFonts w:hint="eastAsia" w:ascii="仿宋" w:hAnsi="仿宋" w:eastAsia="仿宋"/>
                <w:sz w:val="13"/>
                <w:szCs w:val="13"/>
              </w:rPr>
              <w:t>47060921</w:t>
            </w:r>
          </w:p>
        </w:tc>
        <w:tc>
          <w:tcPr>
            <w:tcW w:w="969" w:type="dxa"/>
            <w:shd w:val="clear" w:color="auto" w:fill="auto"/>
            <w:vAlign w:val="center"/>
          </w:tcPr>
          <w:p>
            <w:pPr>
              <w:overflowPunct w:val="0"/>
              <w:jc w:val="center"/>
              <w:rPr>
                <w:rFonts w:ascii="仿宋" w:hAnsi="仿宋" w:eastAsia="仿宋"/>
                <w:sz w:val="13"/>
                <w:szCs w:val="13"/>
              </w:rPr>
            </w:pPr>
            <w:r>
              <w:rPr>
                <w:rFonts w:hint="eastAsia" w:ascii="仿宋" w:hAnsi="仿宋" w:eastAsia="仿宋"/>
                <w:sz w:val="13"/>
                <w:szCs w:val="13"/>
              </w:rPr>
              <w:t>4702392</w:t>
            </w:r>
          </w:p>
        </w:tc>
        <w:tc>
          <w:tcPr>
            <w:tcW w:w="1422" w:type="dxa"/>
            <w:shd w:val="clear" w:color="auto" w:fill="auto"/>
            <w:vAlign w:val="bottom"/>
          </w:tcPr>
          <w:p>
            <w:pPr>
              <w:overflowPunct w:val="0"/>
              <w:jc w:val="center"/>
              <w:rPr>
                <w:rFonts w:hint="eastAsia" w:ascii="仿宋" w:hAnsi="仿宋" w:eastAsia="仿宋"/>
                <w:sz w:val="13"/>
                <w:szCs w:val="13"/>
              </w:rPr>
            </w:pPr>
            <w:r>
              <w:rPr>
                <w:rFonts w:hint="eastAsia" w:ascii="仿宋" w:hAnsi="仿宋" w:eastAsia="仿宋"/>
                <w:sz w:val="13"/>
                <w:szCs w:val="13"/>
                <w:lang w:val="en-US" w:eastAsia="zh-CN"/>
              </w:rPr>
              <w:t xml:space="preserve">10.01 </w:t>
            </w:r>
          </w:p>
        </w:tc>
      </w:tr>
      <w:tr>
        <w:tblPrEx>
          <w:tblCellMar>
            <w:top w:w="0" w:type="dxa"/>
            <w:left w:w="108" w:type="dxa"/>
            <w:bottom w:w="0" w:type="dxa"/>
            <w:right w:w="108" w:type="dxa"/>
          </w:tblCellMar>
        </w:tblPrEx>
        <w:trPr>
          <w:jc w:val="center"/>
        </w:trPr>
        <w:tc>
          <w:tcPr>
            <w:tcW w:w="1147" w:type="dxa"/>
            <w:shd w:val="clear" w:color="auto" w:fill="auto"/>
          </w:tcPr>
          <w:p>
            <w:pPr>
              <w:overflowPunct w:val="0"/>
              <w:jc w:val="center"/>
              <w:rPr>
                <w:rFonts w:ascii="仿宋" w:hAnsi="仿宋" w:eastAsia="仿宋"/>
                <w:sz w:val="13"/>
                <w:szCs w:val="13"/>
              </w:rPr>
            </w:pPr>
            <w:r>
              <w:rPr>
                <w:rFonts w:hint="eastAsia" w:ascii="仿宋" w:hAnsi="仿宋" w:eastAsia="仿宋"/>
                <w:sz w:val="13"/>
                <w:szCs w:val="13"/>
              </w:rPr>
              <w:t>2014年</w:t>
            </w:r>
          </w:p>
        </w:tc>
        <w:tc>
          <w:tcPr>
            <w:tcW w:w="1039" w:type="dxa"/>
            <w:shd w:val="clear" w:color="auto" w:fill="auto"/>
            <w:vAlign w:val="center"/>
          </w:tcPr>
          <w:p>
            <w:pPr>
              <w:overflowPunct w:val="0"/>
              <w:jc w:val="center"/>
              <w:rPr>
                <w:rFonts w:ascii="仿宋" w:hAnsi="仿宋" w:eastAsia="仿宋"/>
                <w:sz w:val="13"/>
                <w:szCs w:val="13"/>
              </w:rPr>
            </w:pPr>
            <w:r>
              <w:rPr>
                <w:rFonts w:hint="eastAsia" w:ascii="仿宋" w:hAnsi="仿宋" w:eastAsia="仿宋"/>
                <w:sz w:val="13"/>
                <w:szCs w:val="13"/>
              </w:rPr>
              <w:t>57531358</w:t>
            </w:r>
          </w:p>
        </w:tc>
        <w:tc>
          <w:tcPr>
            <w:tcW w:w="969" w:type="dxa"/>
            <w:shd w:val="clear" w:color="auto" w:fill="auto"/>
            <w:vAlign w:val="center"/>
          </w:tcPr>
          <w:p>
            <w:pPr>
              <w:overflowPunct w:val="0"/>
              <w:jc w:val="center"/>
              <w:rPr>
                <w:rFonts w:ascii="仿宋" w:hAnsi="仿宋" w:eastAsia="仿宋"/>
                <w:sz w:val="13"/>
                <w:szCs w:val="13"/>
              </w:rPr>
            </w:pPr>
            <w:r>
              <w:rPr>
                <w:rFonts w:hint="eastAsia" w:ascii="仿宋" w:hAnsi="仿宋" w:eastAsia="仿宋"/>
                <w:sz w:val="13"/>
                <w:szCs w:val="13"/>
              </w:rPr>
              <w:t>5457806</w:t>
            </w:r>
          </w:p>
        </w:tc>
        <w:tc>
          <w:tcPr>
            <w:tcW w:w="1422" w:type="dxa"/>
            <w:shd w:val="clear" w:color="auto" w:fill="auto"/>
            <w:vAlign w:val="bottom"/>
          </w:tcPr>
          <w:p>
            <w:pPr>
              <w:overflowPunct w:val="0"/>
              <w:jc w:val="center"/>
              <w:rPr>
                <w:rFonts w:hint="eastAsia" w:ascii="仿宋" w:hAnsi="仿宋" w:eastAsia="仿宋"/>
                <w:sz w:val="13"/>
                <w:szCs w:val="13"/>
              </w:rPr>
            </w:pPr>
            <w:r>
              <w:rPr>
                <w:rFonts w:hint="eastAsia" w:ascii="仿宋" w:hAnsi="仿宋" w:eastAsia="仿宋"/>
                <w:sz w:val="13"/>
                <w:szCs w:val="13"/>
                <w:lang w:val="en-US" w:eastAsia="zh-CN"/>
              </w:rPr>
              <w:t xml:space="preserve">10.54 </w:t>
            </w:r>
          </w:p>
        </w:tc>
      </w:tr>
      <w:tr>
        <w:tblPrEx>
          <w:tblCellMar>
            <w:top w:w="0" w:type="dxa"/>
            <w:left w:w="108" w:type="dxa"/>
            <w:bottom w:w="0" w:type="dxa"/>
            <w:right w:w="108" w:type="dxa"/>
          </w:tblCellMar>
        </w:tblPrEx>
        <w:trPr>
          <w:jc w:val="center"/>
        </w:trPr>
        <w:tc>
          <w:tcPr>
            <w:tcW w:w="1147" w:type="dxa"/>
            <w:shd w:val="clear" w:color="auto" w:fill="auto"/>
          </w:tcPr>
          <w:p>
            <w:pPr>
              <w:overflowPunct w:val="0"/>
              <w:jc w:val="center"/>
              <w:rPr>
                <w:rFonts w:ascii="仿宋" w:hAnsi="仿宋" w:eastAsia="仿宋"/>
                <w:sz w:val="13"/>
                <w:szCs w:val="13"/>
              </w:rPr>
            </w:pPr>
            <w:r>
              <w:rPr>
                <w:rFonts w:hint="eastAsia" w:ascii="仿宋" w:hAnsi="仿宋" w:eastAsia="仿宋"/>
                <w:sz w:val="13"/>
                <w:szCs w:val="13"/>
              </w:rPr>
              <w:t>2015年</w:t>
            </w:r>
          </w:p>
        </w:tc>
        <w:tc>
          <w:tcPr>
            <w:tcW w:w="1039" w:type="dxa"/>
            <w:shd w:val="clear" w:color="auto" w:fill="auto"/>
            <w:vAlign w:val="center"/>
          </w:tcPr>
          <w:p>
            <w:pPr>
              <w:overflowPunct w:val="0"/>
              <w:jc w:val="center"/>
              <w:rPr>
                <w:rFonts w:ascii="仿宋" w:hAnsi="仿宋" w:eastAsia="仿宋"/>
                <w:sz w:val="13"/>
                <w:szCs w:val="13"/>
              </w:rPr>
            </w:pPr>
            <w:r>
              <w:rPr>
                <w:rFonts w:hint="eastAsia" w:ascii="仿宋" w:hAnsi="仿宋" w:eastAsia="仿宋"/>
                <w:sz w:val="13"/>
                <w:szCs w:val="13"/>
              </w:rPr>
              <w:t>59396494</w:t>
            </w:r>
          </w:p>
        </w:tc>
        <w:tc>
          <w:tcPr>
            <w:tcW w:w="969" w:type="dxa"/>
            <w:shd w:val="clear" w:color="auto" w:fill="auto"/>
            <w:vAlign w:val="center"/>
          </w:tcPr>
          <w:p>
            <w:pPr>
              <w:overflowPunct w:val="0"/>
              <w:jc w:val="center"/>
              <w:rPr>
                <w:rFonts w:ascii="仿宋" w:hAnsi="仿宋" w:eastAsia="仿宋"/>
                <w:sz w:val="13"/>
                <w:szCs w:val="13"/>
              </w:rPr>
            </w:pPr>
            <w:r>
              <w:rPr>
                <w:rFonts w:hint="eastAsia" w:ascii="仿宋" w:hAnsi="仿宋" w:eastAsia="仿宋"/>
                <w:sz w:val="13"/>
                <w:szCs w:val="13"/>
              </w:rPr>
              <w:t>5742713</w:t>
            </w:r>
          </w:p>
        </w:tc>
        <w:tc>
          <w:tcPr>
            <w:tcW w:w="1422" w:type="dxa"/>
            <w:shd w:val="clear" w:color="auto" w:fill="auto"/>
            <w:vAlign w:val="bottom"/>
          </w:tcPr>
          <w:p>
            <w:pPr>
              <w:overflowPunct w:val="0"/>
              <w:jc w:val="center"/>
              <w:rPr>
                <w:rFonts w:hint="eastAsia" w:ascii="仿宋" w:hAnsi="仿宋" w:eastAsia="仿宋"/>
                <w:sz w:val="13"/>
                <w:szCs w:val="13"/>
              </w:rPr>
            </w:pPr>
            <w:r>
              <w:rPr>
                <w:rFonts w:hint="eastAsia" w:ascii="仿宋" w:hAnsi="仿宋" w:eastAsia="仿宋"/>
                <w:sz w:val="13"/>
                <w:szCs w:val="13"/>
                <w:lang w:val="en-US" w:eastAsia="zh-CN"/>
              </w:rPr>
              <w:t xml:space="preserve">10.34 </w:t>
            </w:r>
          </w:p>
        </w:tc>
      </w:tr>
      <w:tr>
        <w:tblPrEx>
          <w:tblCellMar>
            <w:top w:w="0" w:type="dxa"/>
            <w:left w:w="108" w:type="dxa"/>
            <w:bottom w:w="0" w:type="dxa"/>
            <w:right w:w="108" w:type="dxa"/>
          </w:tblCellMar>
        </w:tblPrEx>
        <w:trPr>
          <w:jc w:val="center"/>
        </w:trPr>
        <w:tc>
          <w:tcPr>
            <w:tcW w:w="1147" w:type="dxa"/>
            <w:shd w:val="clear" w:color="auto" w:fill="auto"/>
          </w:tcPr>
          <w:p>
            <w:pPr>
              <w:overflowPunct w:val="0"/>
              <w:jc w:val="center"/>
              <w:rPr>
                <w:rFonts w:ascii="仿宋" w:hAnsi="仿宋" w:eastAsia="仿宋"/>
                <w:sz w:val="13"/>
                <w:szCs w:val="13"/>
              </w:rPr>
            </w:pPr>
            <w:r>
              <w:rPr>
                <w:rFonts w:hint="eastAsia" w:ascii="仿宋" w:hAnsi="仿宋" w:eastAsia="仿宋"/>
                <w:sz w:val="13"/>
                <w:szCs w:val="13"/>
              </w:rPr>
              <w:t>2016年</w:t>
            </w:r>
          </w:p>
        </w:tc>
        <w:tc>
          <w:tcPr>
            <w:tcW w:w="1039" w:type="dxa"/>
            <w:shd w:val="clear" w:color="auto" w:fill="auto"/>
            <w:vAlign w:val="center"/>
          </w:tcPr>
          <w:p>
            <w:pPr>
              <w:overflowPunct w:val="0"/>
              <w:jc w:val="center"/>
              <w:rPr>
                <w:rFonts w:ascii="仿宋" w:hAnsi="仿宋" w:eastAsia="仿宋"/>
                <w:sz w:val="13"/>
                <w:szCs w:val="13"/>
              </w:rPr>
            </w:pPr>
            <w:r>
              <w:rPr>
                <w:rFonts w:hint="eastAsia" w:ascii="仿宋" w:hAnsi="仿宋" w:eastAsia="仿宋"/>
                <w:sz w:val="13"/>
                <w:szCs w:val="13"/>
              </w:rPr>
              <w:t>69158814</w:t>
            </w:r>
          </w:p>
        </w:tc>
        <w:tc>
          <w:tcPr>
            <w:tcW w:w="969" w:type="dxa"/>
            <w:shd w:val="clear" w:color="auto" w:fill="auto"/>
            <w:vAlign w:val="center"/>
          </w:tcPr>
          <w:p>
            <w:pPr>
              <w:overflowPunct w:val="0"/>
              <w:jc w:val="center"/>
              <w:rPr>
                <w:rFonts w:ascii="仿宋" w:hAnsi="仿宋" w:eastAsia="仿宋"/>
                <w:sz w:val="13"/>
                <w:szCs w:val="13"/>
              </w:rPr>
            </w:pPr>
            <w:r>
              <w:rPr>
                <w:rFonts w:hint="eastAsia" w:ascii="仿宋" w:hAnsi="仿宋" w:eastAsia="仿宋"/>
                <w:sz w:val="13"/>
                <w:szCs w:val="13"/>
              </w:rPr>
              <w:t>5858212</w:t>
            </w:r>
          </w:p>
        </w:tc>
        <w:tc>
          <w:tcPr>
            <w:tcW w:w="1422" w:type="dxa"/>
            <w:shd w:val="clear" w:color="auto" w:fill="auto"/>
            <w:vAlign w:val="bottom"/>
          </w:tcPr>
          <w:p>
            <w:pPr>
              <w:overflowPunct w:val="0"/>
              <w:jc w:val="center"/>
              <w:rPr>
                <w:rFonts w:hint="eastAsia" w:ascii="仿宋" w:hAnsi="仿宋" w:eastAsia="仿宋"/>
                <w:sz w:val="13"/>
                <w:szCs w:val="13"/>
              </w:rPr>
            </w:pPr>
            <w:r>
              <w:rPr>
                <w:rFonts w:hint="eastAsia" w:ascii="仿宋" w:hAnsi="仿宋" w:eastAsia="仿宋"/>
                <w:sz w:val="13"/>
                <w:szCs w:val="13"/>
                <w:lang w:val="en-US" w:eastAsia="zh-CN"/>
              </w:rPr>
              <w:t xml:space="preserve">11.81 </w:t>
            </w:r>
          </w:p>
        </w:tc>
      </w:tr>
      <w:tr>
        <w:tblPrEx>
          <w:tblCellMar>
            <w:top w:w="0" w:type="dxa"/>
            <w:left w:w="108" w:type="dxa"/>
            <w:bottom w:w="0" w:type="dxa"/>
            <w:right w:w="108" w:type="dxa"/>
          </w:tblCellMar>
        </w:tblPrEx>
        <w:trPr>
          <w:jc w:val="center"/>
        </w:trPr>
        <w:tc>
          <w:tcPr>
            <w:tcW w:w="1147" w:type="dxa"/>
            <w:shd w:val="clear" w:color="auto" w:fill="auto"/>
          </w:tcPr>
          <w:p>
            <w:pPr>
              <w:overflowPunct w:val="0"/>
              <w:jc w:val="center"/>
              <w:rPr>
                <w:rFonts w:ascii="仿宋" w:hAnsi="仿宋" w:eastAsia="仿宋"/>
                <w:sz w:val="13"/>
                <w:szCs w:val="13"/>
              </w:rPr>
            </w:pPr>
            <w:r>
              <w:rPr>
                <w:rFonts w:hint="eastAsia" w:ascii="仿宋" w:hAnsi="仿宋" w:eastAsia="仿宋"/>
                <w:sz w:val="13"/>
                <w:szCs w:val="13"/>
              </w:rPr>
              <w:t>2017年</w:t>
            </w:r>
          </w:p>
        </w:tc>
        <w:tc>
          <w:tcPr>
            <w:tcW w:w="1039" w:type="dxa"/>
            <w:shd w:val="clear" w:color="auto" w:fill="auto"/>
            <w:vAlign w:val="center"/>
          </w:tcPr>
          <w:p>
            <w:pPr>
              <w:overflowPunct w:val="0"/>
              <w:jc w:val="center"/>
              <w:rPr>
                <w:rFonts w:ascii="仿宋" w:hAnsi="仿宋" w:eastAsia="仿宋"/>
                <w:sz w:val="13"/>
                <w:szCs w:val="13"/>
              </w:rPr>
            </w:pPr>
            <w:r>
              <w:rPr>
                <w:rFonts w:hint="eastAsia" w:ascii="仿宋" w:hAnsi="仿宋" w:eastAsia="仿宋"/>
                <w:sz w:val="13"/>
                <w:szCs w:val="13"/>
              </w:rPr>
              <w:t>84011570</w:t>
            </w:r>
          </w:p>
        </w:tc>
        <w:tc>
          <w:tcPr>
            <w:tcW w:w="969" w:type="dxa"/>
            <w:shd w:val="clear" w:color="auto" w:fill="auto"/>
            <w:vAlign w:val="center"/>
          </w:tcPr>
          <w:p>
            <w:pPr>
              <w:overflowPunct w:val="0"/>
              <w:jc w:val="center"/>
              <w:rPr>
                <w:rFonts w:ascii="仿宋" w:hAnsi="仿宋" w:eastAsia="仿宋"/>
                <w:sz w:val="13"/>
                <w:szCs w:val="13"/>
              </w:rPr>
            </w:pPr>
            <w:r>
              <w:rPr>
                <w:rFonts w:hint="eastAsia" w:ascii="仿宋" w:hAnsi="仿宋" w:eastAsia="仿宋"/>
                <w:sz w:val="13"/>
                <w:szCs w:val="13"/>
              </w:rPr>
              <w:t>6175562</w:t>
            </w:r>
          </w:p>
        </w:tc>
        <w:tc>
          <w:tcPr>
            <w:tcW w:w="1422" w:type="dxa"/>
            <w:shd w:val="clear" w:color="auto" w:fill="auto"/>
            <w:vAlign w:val="bottom"/>
          </w:tcPr>
          <w:p>
            <w:pPr>
              <w:overflowPunct w:val="0"/>
              <w:jc w:val="center"/>
              <w:rPr>
                <w:rFonts w:hint="eastAsia" w:ascii="仿宋" w:hAnsi="仿宋" w:eastAsia="仿宋"/>
                <w:sz w:val="13"/>
                <w:szCs w:val="13"/>
              </w:rPr>
            </w:pPr>
            <w:r>
              <w:rPr>
                <w:rFonts w:hint="eastAsia" w:ascii="仿宋" w:hAnsi="仿宋" w:eastAsia="仿宋"/>
                <w:sz w:val="13"/>
                <w:szCs w:val="13"/>
                <w:lang w:val="en-US" w:eastAsia="zh-CN"/>
              </w:rPr>
              <w:t xml:space="preserve">13.60 </w:t>
            </w:r>
          </w:p>
        </w:tc>
      </w:tr>
      <w:tr>
        <w:tblPrEx>
          <w:tblCellMar>
            <w:top w:w="0" w:type="dxa"/>
            <w:left w:w="108" w:type="dxa"/>
            <w:bottom w:w="0" w:type="dxa"/>
            <w:right w:w="108" w:type="dxa"/>
          </w:tblCellMar>
        </w:tblPrEx>
        <w:trPr>
          <w:jc w:val="center"/>
        </w:trPr>
        <w:tc>
          <w:tcPr>
            <w:tcW w:w="1147" w:type="dxa"/>
            <w:tcBorders>
              <w:bottom w:val="single" w:color="auto" w:sz="4" w:space="0"/>
            </w:tcBorders>
          </w:tcPr>
          <w:p>
            <w:pPr>
              <w:overflowPunct w:val="0"/>
              <w:jc w:val="center"/>
              <w:rPr>
                <w:rFonts w:ascii="仿宋" w:hAnsi="仿宋" w:eastAsia="仿宋"/>
                <w:sz w:val="13"/>
                <w:szCs w:val="13"/>
              </w:rPr>
            </w:pPr>
            <w:r>
              <w:rPr>
                <w:rFonts w:hint="eastAsia" w:ascii="仿宋" w:hAnsi="仿宋" w:eastAsia="仿宋"/>
                <w:sz w:val="13"/>
                <w:szCs w:val="13"/>
              </w:rPr>
              <w:t>2018年</w:t>
            </w:r>
          </w:p>
        </w:tc>
        <w:tc>
          <w:tcPr>
            <w:tcW w:w="1039" w:type="dxa"/>
            <w:tcBorders>
              <w:bottom w:val="single" w:color="auto" w:sz="4" w:space="0"/>
            </w:tcBorders>
            <w:vAlign w:val="center"/>
          </w:tcPr>
          <w:p>
            <w:pPr>
              <w:overflowPunct w:val="0"/>
              <w:jc w:val="center"/>
              <w:rPr>
                <w:rFonts w:ascii="仿宋" w:hAnsi="仿宋" w:eastAsia="仿宋"/>
                <w:sz w:val="13"/>
                <w:szCs w:val="13"/>
              </w:rPr>
            </w:pPr>
            <w:r>
              <w:rPr>
                <w:rFonts w:hint="eastAsia" w:ascii="仿宋" w:hAnsi="仿宋" w:eastAsia="仿宋"/>
                <w:sz w:val="13"/>
                <w:szCs w:val="13"/>
              </w:rPr>
              <w:t>94779838</w:t>
            </w:r>
          </w:p>
        </w:tc>
        <w:tc>
          <w:tcPr>
            <w:tcW w:w="969" w:type="dxa"/>
            <w:tcBorders>
              <w:bottom w:val="single" w:color="auto" w:sz="4" w:space="0"/>
            </w:tcBorders>
            <w:vAlign w:val="center"/>
          </w:tcPr>
          <w:p>
            <w:pPr>
              <w:overflowPunct w:val="0"/>
              <w:jc w:val="center"/>
              <w:rPr>
                <w:rFonts w:ascii="仿宋" w:hAnsi="仿宋" w:eastAsia="仿宋"/>
                <w:sz w:val="13"/>
                <w:szCs w:val="13"/>
              </w:rPr>
            </w:pPr>
            <w:r>
              <w:rPr>
                <w:rFonts w:hint="eastAsia" w:ascii="仿宋" w:hAnsi="仿宋" w:eastAsia="仿宋"/>
                <w:sz w:val="13"/>
                <w:szCs w:val="13"/>
              </w:rPr>
              <w:t>6445258</w:t>
            </w:r>
          </w:p>
        </w:tc>
        <w:tc>
          <w:tcPr>
            <w:tcW w:w="1422" w:type="dxa"/>
            <w:tcBorders>
              <w:bottom w:val="single" w:color="auto" w:sz="4" w:space="0"/>
            </w:tcBorders>
            <w:vAlign w:val="bottom"/>
          </w:tcPr>
          <w:p>
            <w:pPr>
              <w:overflowPunct w:val="0"/>
              <w:jc w:val="center"/>
              <w:rPr>
                <w:rFonts w:hint="eastAsia" w:ascii="仿宋" w:hAnsi="仿宋" w:eastAsia="仿宋"/>
                <w:sz w:val="13"/>
                <w:szCs w:val="13"/>
              </w:rPr>
            </w:pPr>
            <w:r>
              <w:rPr>
                <w:rFonts w:hint="eastAsia" w:ascii="仿宋" w:hAnsi="仿宋" w:eastAsia="仿宋"/>
                <w:sz w:val="13"/>
                <w:szCs w:val="13"/>
                <w:lang w:val="en-US" w:eastAsia="zh-CN"/>
              </w:rPr>
              <w:t xml:space="preserve">14.71 </w:t>
            </w:r>
          </w:p>
        </w:tc>
      </w:tr>
    </w:tbl>
    <w:p>
      <w:pPr>
        <w:pStyle w:val="5"/>
        <w:keepNext w:val="0"/>
        <w:keepLines w:val="0"/>
        <w:pageBreakBefore w:val="0"/>
        <w:widowControl w:val="0"/>
        <w:numPr>
          <w:ilvl w:val="0"/>
          <w:numId w:val="0"/>
        </w:numPr>
        <w:kinsoku/>
        <w:wordWrap/>
        <w:overflowPunct/>
        <w:topLinePunct w:val="0"/>
        <w:autoSpaceDE/>
        <w:autoSpaceDN/>
        <w:bidi w:val="0"/>
        <w:adjustRightInd/>
        <w:snapToGrid/>
        <w:spacing w:before="156" w:beforeLines="50" w:after="156" w:afterLines="50" w:line="220" w:lineRule="atLeast"/>
        <w:ind w:leftChars="0" w:firstLine="360" w:firstLineChars="200"/>
        <w:jc w:val="center"/>
        <w:textAlignment w:val="auto"/>
        <w:rPr>
          <w:rFonts w:hint="default" w:ascii="宋体" w:hAnsi="宋体" w:eastAsia="宋体"/>
          <w:sz w:val="18"/>
          <w:szCs w:val="18"/>
          <w:vertAlign w:val="baseline"/>
          <w:lang w:val="en-US" w:eastAsia="zh-CN"/>
        </w:rPr>
      </w:pPr>
    </w:p>
    <w:p>
      <w:pPr>
        <w:pStyle w:val="2"/>
        <w:spacing w:after="0" w:line="240" w:lineRule="atLeast"/>
        <w:jc w:val="center"/>
        <w:rPr>
          <w:rFonts w:hint="default" w:ascii="宋体" w:hAnsi="宋体"/>
          <w:sz w:val="15"/>
          <w:szCs w:val="15"/>
          <w:lang w:val="en-US" w:eastAsia="zh-CN"/>
        </w:rPr>
      </w:pPr>
      <w:r>
        <w:rPr>
          <w:rFonts w:hint="eastAsia" w:ascii="宋体" w:hAnsi="宋体"/>
          <w:sz w:val="15"/>
          <w:szCs w:val="15"/>
          <w:lang w:val="en-US" w:eastAsia="zh-CN"/>
        </w:rPr>
        <w:t>图1</w:t>
      </w:r>
      <w:r>
        <w:rPr>
          <w:rFonts w:hint="eastAsia" w:ascii="宋体" w:hAnsi="宋体"/>
          <w:sz w:val="15"/>
          <w:szCs w:val="15"/>
          <w:lang w:val="en-US" w:eastAsia="zh-CN"/>
        </w:rPr>
        <w:t xml:space="preserve">   劳动人员个人年度报酬数据表</w:t>
      </w:r>
    </w:p>
    <w:p>
      <w:pPr>
        <w:spacing w:before="156" w:beforeLines="50" w:after="156" w:afterLines="50" w:line="220" w:lineRule="atLeast"/>
        <w:jc w:val="center"/>
      </w:pPr>
      <w:r>
        <w:drawing>
          <wp:inline distT="0" distB="0" distL="114300" distR="114300">
            <wp:extent cx="4197350" cy="2165350"/>
            <wp:effectExtent l="5080" t="4445" r="19050" b="9525"/>
            <wp:docPr id="4"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pPr>
        <w:spacing w:before="156" w:beforeLines="50" w:after="156" w:afterLines="50" w:line="220" w:lineRule="atLeast"/>
        <w:jc w:val="center"/>
      </w:pPr>
    </w:p>
    <w:p>
      <w:pPr>
        <w:keepNext w:val="0"/>
        <w:keepLines w:val="0"/>
        <w:pageBreakBefore w:val="0"/>
        <w:widowControl w:val="0"/>
        <w:kinsoku/>
        <w:wordWrap/>
        <w:overflowPunct/>
        <w:topLinePunct w:val="0"/>
        <w:autoSpaceDE/>
        <w:autoSpaceDN/>
        <w:bidi w:val="0"/>
        <w:adjustRightInd/>
        <w:snapToGrid/>
        <w:spacing w:before="156" w:beforeLines="50" w:after="156" w:afterLines="50" w:line="400" w:lineRule="atLeast"/>
        <w:ind w:firstLine="360" w:firstLineChars="200"/>
        <w:jc w:val="both"/>
        <w:textAlignment w:val="auto"/>
        <w:rPr>
          <w:rFonts w:hint="eastAsia" w:ascii="宋体" w:hAnsi="宋体" w:eastAsia="宋体" w:cstheme="minorBidi"/>
          <w:kern w:val="2"/>
          <w:sz w:val="18"/>
          <w:szCs w:val="18"/>
          <w:lang w:val="en-US" w:eastAsia="zh-CN" w:bidi="ar-SA"/>
        </w:rPr>
      </w:pPr>
      <w:r>
        <w:rPr>
          <w:rFonts w:hint="eastAsia" w:ascii="宋体" w:hAnsi="宋体" w:eastAsia="宋体" w:cstheme="minorBidi"/>
          <w:kern w:val="2"/>
          <w:sz w:val="18"/>
          <w:szCs w:val="18"/>
          <w:lang w:val="en-US" w:eastAsia="zh-CN" w:bidi="ar-SA"/>
        </w:rPr>
        <w:t>分析以上图表，我们可清晰地看到IT行业的劳动者的平均工资在总体上是上涨的，但是在2006-2007，以及2014-2015年有小幅度的下降。而IT行业的劳动人选数量则是稳步攀升，其中人数增加最多的一年是2016-2017年。综上所述，我们可以分析出从2006到2018年这期间，IT行业在总体上是稳步发展的。</w:t>
      </w:r>
    </w:p>
    <w:p>
      <w:pPr>
        <w:pStyle w:val="5"/>
        <w:numPr>
          <w:ilvl w:val="0"/>
          <w:numId w:val="1"/>
        </w:numPr>
        <w:spacing w:before="156" w:beforeLines="50" w:after="156" w:afterLines="50" w:line="220" w:lineRule="atLeast"/>
        <w:ind w:firstLineChars="0"/>
        <w:rPr>
          <w:rFonts w:hint="default" w:ascii="宋体" w:hAnsi="宋体" w:eastAsia="宋体" w:cstheme="minorBidi"/>
          <w:kern w:val="2"/>
          <w:sz w:val="18"/>
          <w:szCs w:val="18"/>
          <w:lang w:val="en-US" w:eastAsia="zh-CN" w:bidi="ar-SA"/>
        </w:rPr>
      </w:pPr>
      <w:r>
        <w:rPr>
          <w:rFonts w:hint="eastAsia" w:ascii="黑体" w:hAnsi="黑体" w:eastAsia="黑体"/>
          <w:szCs w:val="21"/>
        </w:rPr>
        <w:t>IT企业研发人员的离职原因与薪酬</w:t>
      </w:r>
      <w:r>
        <w:rPr>
          <w:rFonts w:hint="eastAsia" w:ascii="黑体" w:hAnsi="黑体" w:eastAsia="黑体"/>
          <w:szCs w:val="21"/>
          <w:lang w:val="en-US" w:eastAsia="zh-CN"/>
        </w:rPr>
        <w:t>之间</w:t>
      </w:r>
      <w:r>
        <w:rPr>
          <w:rFonts w:hint="eastAsia" w:ascii="黑体" w:hAnsi="黑体" w:eastAsia="黑体"/>
          <w:szCs w:val="21"/>
        </w:rPr>
        <w:t>联系的分析</w:t>
      </w:r>
    </w:p>
    <w:p>
      <w:pPr>
        <w:pStyle w:val="6"/>
        <w:keepNext w:val="0"/>
        <w:keepLines w:val="0"/>
        <w:pageBreakBefore w:val="0"/>
        <w:widowControl/>
        <w:kinsoku/>
        <w:wordWrap/>
        <w:overflowPunct/>
        <w:topLinePunct w:val="0"/>
        <w:autoSpaceDE/>
        <w:autoSpaceDN/>
        <w:bidi w:val="0"/>
        <w:adjustRightInd/>
        <w:snapToGrid/>
        <w:spacing w:before="40" w:beforeAutospacing="0" w:after="0" w:afterAutospacing="0" w:line="400" w:lineRule="atLeast"/>
        <w:ind w:firstLine="340"/>
        <w:jc w:val="both"/>
        <w:textAlignment w:val="auto"/>
        <w:rPr>
          <w:rFonts w:hint="eastAsia" w:cstheme="minorBidi"/>
          <w:kern w:val="2"/>
          <w:sz w:val="18"/>
          <w:szCs w:val="18"/>
          <w:lang w:val="en-US" w:eastAsia="zh-CN" w:bidi="ar-SA"/>
        </w:rPr>
      </w:pPr>
      <w:r>
        <w:rPr>
          <w:rFonts w:hint="eastAsia" w:ascii="宋体" w:hAnsi="宋体" w:eastAsia="宋体" w:cstheme="minorBidi"/>
          <w:kern w:val="2"/>
          <w:sz w:val="18"/>
          <w:szCs w:val="18"/>
          <w:lang w:val="en-US" w:eastAsia="zh-CN" w:bidi="ar-SA"/>
        </w:rPr>
        <w:t>薪酬直接影响到企业在人才市场中的竞争力。合理的薪酬才能占有人才和摆脱优秀人才“跳槽”而流失。企业要发展，就要建立一套适应当前人才市场竞争的薪酬体系。奖金不再以学历、工龄等资历为 主要参考依据，而主要应根据承担责任的大小、工作绩效的表现来进行支付。在福利方面拉开档次，从 而真正的发挥出福利在激励方面的作用</w:t>
      </w:r>
      <w:r>
        <w:rPr>
          <w:rFonts w:hint="eastAsia" w:cstheme="minorBidi"/>
          <w:kern w:val="2"/>
          <w:sz w:val="18"/>
          <w:szCs w:val="18"/>
          <w:lang w:val="en-US" w:eastAsia="zh-CN" w:bidi="ar-SA"/>
        </w:rPr>
        <w:t>。</w:t>
      </w:r>
    </w:p>
    <w:p>
      <w:pPr>
        <w:pStyle w:val="6"/>
        <w:keepNext w:val="0"/>
        <w:keepLines w:val="0"/>
        <w:pageBreakBefore w:val="0"/>
        <w:widowControl/>
        <w:kinsoku/>
        <w:wordWrap/>
        <w:overflowPunct/>
        <w:topLinePunct w:val="0"/>
        <w:autoSpaceDE/>
        <w:autoSpaceDN/>
        <w:bidi w:val="0"/>
        <w:adjustRightInd/>
        <w:snapToGrid/>
        <w:spacing w:before="40" w:beforeAutospacing="0" w:after="0" w:afterAutospacing="0" w:line="400" w:lineRule="atLeast"/>
        <w:ind w:firstLine="340"/>
        <w:jc w:val="both"/>
        <w:textAlignment w:val="auto"/>
        <w:rPr>
          <w:rFonts w:hint="eastAsia" w:cstheme="minorBidi"/>
          <w:kern w:val="2"/>
          <w:sz w:val="18"/>
          <w:szCs w:val="18"/>
          <w:vertAlign w:val="baseline"/>
          <w:lang w:val="en-US" w:eastAsia="zh-CN" w:bidi="ar-SA"/>
        </w:rPr>
      </w:pPr>
      <w:r>
        <w:rPr>
          <w:rFonts w:hint="eastAsia" w:cstheme="minorBidi"/>
          <w:kern w:val="2"/>
          <w:sz w:val="18"/>
          <w:szCs w:val="18"/>
          <w:lang w:val="en-US" w:eastAsia="zh-CN" w:bidi="ar-SA"/>
        </w:rPr>
        <w:t>而针对这种情况，结合范萍在《</w:t>
      </w:r>
      <w:r>
        <w:rPr>
          <w:rFonts w:hint="default" w:ascii="仿宋" w:hAnsi="仿宋" w:eastAsia="仿宋"/>
          <w:color w:val="auto"/>
          <w:sz w:val="18"/>
          <w:szCs w:val="18"/>
          <w:lang w:val="en-US" w:eastAsia="zh-CN"/>
        </w:rPr>
        <w:t>KR软件公司的人才流失</w:t>
      </w:r>
      <w:r>
        <w:rPr>
          <w:rFonts w:hint="eastAsia" w:cstheme="minorBidi"/>
          <w:kern w:val="2"/>
          <w:sz w:val="18"/>
          <w:szCs w:val="18"/>
          <w:lang w:val="en-US" w:eastAsia="zh-CN" w:bidi="ar-SA"/>
        </w:rPr>
        <w:t>》</w:t>
      </w:r>
      <w:r>
        <w:rPr>
          <w:rFonts w:hint="eastAsia" w:cstheme="minorBidi"/>
          <w:kern w:val="2"/>
          <w:sz w:val="18"/>
          <w:szCs w:val="18"/>
          <w:vertAlign w:val="superscript"/>
          <w:lang w:val="en-US" w:eastAsia="zh-CN" w:bidi="ar-SA"/>
        </w:rPr>
        <w:t>[3]</w:t>
      </w:r>
      <w:r>
        <w:rPr>
          <w:rFonts w:hint="eastAsia" w:cstheme="minorBidi"/>
          <w:kern w:val="2"/>
          <w:sz w:val="18"/>
          <w:szCs w:val="18"/>
          <w:vertAlign w:val="baseline"/>
          <w:lang w:val="en-US" w:eastAsia="zh-CN" w:bidi="ar-SA"/>
        </w:rPr>
        <w:t>给出了几种解决方法，我认为要解决IT行业员工离职情况严重的问题，最主要还是以下几种方法：加薪，加薪是留住人才最直接也是收效最快的办；、增加福利，也可以说是完善福利；提供培训和进修机会，为员工提供参加企业外培的机会；丰富员工业余生活，组织集体活动；加强员工离职管理。</w:t>
      </w:r>
    </w:p>
    <w:p>
      <w:pPr>
        <w:pStyle w:val="6"/>
        <w:keepNext w:val="0"/>
        <w:keepLines w:val="0"/>
        <w:pageBreakBefore w:val="0"/>
        <w:widowControl/>
        <w:kinsoku/>
        <w:wordWrap/>
        <w:overflowPunct/>
        <w:topLinePunct w:val="0"/>
        <w:autoSpaceDE/>
        <w:autoSpaceDN/>
        <w:bidi w:val="0"/>
        <w:adjustRightInd/>
        <w:snapToGrid/>
        <w:spacing w:before="40" w:beforeAutospacing="0" w:after="0" w:afterAutospacing="0" w:line="400" w:lineRule="atLeast"/>
        <w:ind w:firstLine="340"/>
        <w:jc w:val="both"/>
        <w:textAlignment w:val="auto"/>
        <w:rPr>
          <w:rFonts w:hint="eastAsia"/>
          <w:color w:val="000000"/>
          <w:sz w:val="18"/>
          <w:szCs w:val="18"/>
          <w:lang w:eastAsia="zh-CN"/>
        </w:rPr>
      </w:pPr>
      <w:r>
        <w:rPr>
          <w:rFonts w:hint="eastAsia"/>
          <w:color w:val="000000"/>
          <w:sz w:val="18"/>
          <w:szCs w:val="18"/>
        </w:rPr>
        <w:t>只有企业对员工采取一定的激励措施，员工才能够对工作的积极性加强;反之，则会降低工作效率，对单位的经济利益造成一定的损失。在对员工的薪酬设计中，除了一些物质上的激励外，公司也必须深刻认识到，在薪酬激励中包含的不仅仅是金钱和物质的激励，而且也包括了精神方面的激励，实质 上隐含着成就激励、地位激励、名誉激励等。如今，精神方面的激励已经成为企业激励机制中一种复杂而高效的激励方式</w:t>
      </w:r>
      <w:r>
        <w:rPr>
          <w:rFonts w:hint="eastAsia"/>
          <w:color w:val="000000"/>
          <w:sz w:val="18"/>
          <w:szCs w:val="18"/>
          <w:lang w:eastAsia="zh-CN"/>
        </w:rPr>
        <w:t>。</w:t>
      </w:r>
    </w:p>
    <w:p>
      <w:pPr>
        <w:pStyle w:val="5"/>
        <w:numPr>
          <w:ilvl w:val="0"/>
          <w:numId w:val="1"/>
        </w:numPr>
        <w:spacing w:before="156" w:beforeLines="50" w:after="156" w:afterLines="50" w:line="220" w:lineRule="atLeast"/>
        <w:ind w:firstLineChars="0"/>
        <w:rPr>
          <w:rFonts w:hint="eastAsia"/>
          <w:color w:val="000000"/>
          <w:sz w:val="18"/>
          <w:szCs w:val="18"/>
          <w:lang w:eastAsia="zh-CN"/>
        </w:rPr>
      </w:pPr>
      <w:r>
        <w:rPr>
          <w:rFonts w:hint="eastAsia" w:ascii="黑体" w:hAnsi="黑体" w:eastAsia="黑体"/>
          <w:szCs w:val="21"/>
        </w:rPr>
        <w:t>结论</w:t>
      </w:r>
    </w:p>
    <w:p>
      <w:pPr>
        <w:pStyle w:val="6"/>
        <w:keepNext w:val="0"/>
        <w:keepLines w:val="0"/>
        <w:pageBreakBefore w:val="0"/>
        <w:widowControl/>
        <w:kinsoku/>
        <w:wordWrap/>
        <w:overflowPunct/>
        <w:topLinePunct w:val="0"/>
        <w:autoSpaceDE/>
        <w:autoSpaceDN/>
        <w:bidi w:val="0"/>
        <w:adjustRightInd/>
        <w:snapToGrid/>
        <w:spacing w:before="40" w:beforeAutospacing="0" w:after="0" w:afterAutospacing="0" w:line="400" w:lineRule="atLeast"/>
        <w:ind w:firstLine="340"/>
        <w:jc w:val="both"/>
        <w:textAlignment w:val="auto"/>
        <w:rPr>
          <w:rFonts w:hint="default"/>
          <w:color w:val="000000"/>
          <w:sz w:val="18"/>
          <w:szCs w:val="18"/>
          <w:lang w:val="en-US" w:eastAsia="zh-CN"/>
        </w:rPr>
        <w:sectPr>
          <w:pgSz w:w="11906" w:h="16838"/>
          <w:pgMar w:top="1440" w:right="1800" w:bottom="1440" w:left="1800" w:header="851" w:footer="992" w:gutter="0"/>
          <w:cols w:space="425" w:num="1"/>
          <w:docGrid w:type="lines" w:linePitch="312" w:charSpace="0"/>
        </w:sectPr>
      </w:pPr>
      <w:r>
        <w:rPr>
          <w:rFonts w:hint="eastAsia"/>
          <w:color w:val="000000"/>
          <w:sz w:val="18"/>
          <w:szCs w:val="18"/>
          <w:lang w:val="en-US" w:eastAsia="zh-CN"/>
        </w:rPr>
        <w:t>在2006到2018这十几年间，我国的IT行业一直都在稳步地发展。虽然有几年中劳动人员的</w:t>
      </w:r>
      <w:r>
        <w:rPr>
          <w:rFonts w:hint="eastAsia" w:ascii="宋体" w:hAnsi="宋体" w:eastAsia="宋体" w:cstheme="minorBidi"/>
          <w:kern w:val="2"/>
          <w:sz w:val="18"/>
          <w:szCs w:val="18"/>
          <w:lang w:val="en-US" w:eastAsia="zh-CN" w:bidi="ar-SA"/>
        </w:rPr>
        <w:t>个人年度平均报酬</w:t>
      </w:r>
      <w:r>
        <w:rPr>
          <w:rFonts w:hint="eastAsia" w:cstheme="minorBidi"/>
          <w:kern w:val="2"/>
          <w:sz w:val="18"/>
          <w:szCs w:val="18"/>
          <w:lang w:val="en-US" w:eastAsia="zh-CN" w:bidi="ar-SA"/>
        </w:rPr>
        <w:t>相较于上一年有所下降，但是这并不影响总体上我国IT行业蓬勃发展的事实。而我国IT行业日益增多的从业者数量以及日益提升的员工薪酬并不能有效解决我国IT行业普遍存在的离职率较高的问题。虽然我国的IT行业一直处于高歌猛进的发展势头之中，但由于企业福利不到位，工作压力大，工作时间长，薪酬分配方案不合理等等问题而导致的IT行业离职率高的问题难以解决。要想解决这个问题就需要企业完善公平的薪酬分配方案，提高员工福利，长此以往，才能使我国的IT行业良性发展。</w:t>
      </w:r>
      <w:bookmarkStart w:id="0" w:name="_GoBack"/>
      <w:bookmarkEnd w:id="0"/>
    </w:p>
    <w:p>
      <w:pPr>
        <w:pStyle w:val="6"/>
        <w:keepNext w:val="0"/>
        <w:keepLines w:val="0"/>
        <w:pageBreakBefore w:val="0"/>
        <w:widowControl/>
        <w:kinsoku/>
        <w:wordWrap/>
        <w:overflowPunct/>
        <w:topLinePunct w:val="0"/>
        <w:autoSpaceDE/>
        <w:autoSpaceDN/>
        <w:bidi w:val="0"/>
        <w:adjustRightInd/>
        <w:snapToGrid/>
        <w:spacing w:before="40" w:beforeAutospacing="0" w:after="0" w:afterAutospacing="0" w:line="400" w:lineRule="atLeast"/>
        <w:jc w:val="both"/>
        <w:textAlignment w:val="auto"/>
        <w:rPr>
          <w:rFonts w:hint="default" w:cstheme="minorBidi"/>
          <w:kern w:val="2"/>
          <w:sz w:val="18"/>
          <w:szCs w:val="18"/>
          <w:vertAlign w:val="baseline"/>
          <w:lang w:val="en-US" w:eastAsia="zh-CN" w:bidi="ar-SA"/>
        </w:rPr>
      </w:pPr>
    </w:p>
    <w:p>
      <w:pPr>
        <w:keepNext w:val="0"/>
        <w:keepLines w:val="0"/>
        <w:pageBreakBefore w:val="0"/>
        <w:widowControl w:val="0"/>
        <w:kinsoku/>
        <w:wordWrap/>
        <w:overflowPunct/>
        <w:topLinePunct w:val="0"/>
        <w:autoSpaceDE/>
        <w:autoSpaceDN/>
        <w:bidi w:val="0"/>
        <w:adjustRightInd/>
        <w:snapToGrid/>
        <w:spacing w:before="156" w:beforeLines="50" w:after="156" w:afterLines="50" w:line="220" w:lineRule="atLeast"/>
        <w:ind w:firstLine="360" w:firstLineChars="200"/>
        <w:jc w:val="both"/>
        <w:textAlignment w:val="auto"/>
        <w:rPr>
          <w:rFonts w:hint="default" w:ascii="宋体" w:hAnsi="宋体" w:eastAsia="宋体" w:cstheme="minorBidi"/>
          <w:kern w:val="2"/>
          <w:sz w:val="18"/>
          <w:szCs w:val="18"/>
          <w:lang w:val="en-US" w:eastAsia="zh-CN" w:bidi="ar-SA"/>
        </w:rPr>
      </w:pPr>
    </w:p>
    <w:p>
      <w:pPr>
        <w:pStyle w:val="5"/>
        <w:numPr>
          <w:numId w:val="0"/>
        </w:numPr>
        <w:spacing w:before="156" w:beforeLines="50" w:after="156" w:afterLines="50" w:line="220" w:lineRule="atLeast"/>
        <w:ind w:leftChars="0"/>
        <w:rPr>
          <w:rFonts w:hint="default" w:ascii="宋体" w:hAnsi="宋体" w:eastAsia="宋体" w:cstheme="minorBidi"/>
          <w:kern w:val="2"/>
          <w:sz w:val="18"/>
          <w:szCs w:val="18"/>
          <w:lang w:val="en-US" w:eastAsia="zh-CN" w:bidi="ar-SA"/>
        </w:rPr>
        <w:sectPr>
          <w:pgSz w:w="11906" w:h="16838"/>
          <w:pgMar w:top="1418" w:right="1134" w:bottom="1418" w:left="1134" w:header="851" w:footer="992" w:gutter="0"/>
          <w:cols w:space="425" w:num="1"/>
          <w:docGrid w:type="lines" w:linePitch="312" w:charSpace="0"/>
        </w:sectPr>
      </w:pPr>
    </w:p>
    <w:p>
      <w:pPr>
        <w:spacing w:before="156" w:beforeLines="50" w:after="156" w:afterLines="50" w:line="220" w:lineRule="atLeast"/>
        <w:jc w:val="left"/>
        <w:rPr>
          <w:rFonts w:hint="eastAsia" w:ascii="仿宋" w:hAnsi="仿宋" w:eastAsia="仿宋"/>
          <w:color w:val="auto"/>
          <w:sz w:val="18"/>
          <w:szCs w:val="18"/>
          <w:lang w:val="en-US" w:eastAsia="zh-CN"/>
        </w:rPr>
      </w:pPr>
    </w:p>
    <w:p>
      <w:pPr>
        <w:spacing w:before="156" w:beforeLines="50" w:after="156" w:afterLines="50" w:line="220" w:lineRule="atLeast"/>
        <w:jc w:val="center"/>
        <w:rPr>
          <w:rFonts w:ascii="仿宋" w:hAnsi="仿宋" w:eastAsia="仿宋"/>
          <w:sz w:val="18"/>
          <w:szCs w:val="18"/>
        </w:rPr>
      </w:pPr>
      <w:r>
        <w:rPr>
          <w:rFonts w:hint="eastAsia" w:ascii="黑体" w:hAnsi="黑体" w:eastAsia="黑体"/>
          <w:szCs w:val="21"/>
        </w:rPr>
        <w:t>参 考 文 献</w:t>
      </w:r>
    </w:p>
    <w:p>
      <w:pPr>
        <w:numPr>
          <w:ilvl w:val="0"/>
          <w:numId w:val="2"/>
        </w:numPr>
        <w:spacing w:before="156" w:beforeLines="50" w:after="156" w:afterLines="50" w:line="220" w:lineRule="atLeast"/>
        <w:jc w:val="left"/>
        <w:rPr>
          <w:rFonts w:hint="default" w:ascii="仿宋" w:hAnsi="仿宋" w:eastAsia="仿宋"/>
          <w:color w:val="auto"/>
          <w:sz w:val="18"/>
          <w:szCs w:val="18"/>
          <w:lang w:val="en-US" w:eastAsia="zh-CN"/>
        </w:rPr>
      </w:pPr>
      <w:r>
        <w:rPr>
          <w:rFonts w:hint="default" w:ascii="仿宋" w:hAnsi="仿宋" w:eastAsia="仿宋"/>
          <w:color w:val="auto"/>
          <w:sz w:val="18"/>
          <w:szCs w:val="18"/>
          <w:lang w:val="en-US" w:eastAsia="zh-CN"/>
        </w:rPr>
        <w:t>赵海婷, 周叶, 张迎. 我国IT企业薪酬管理与薪酬体系设计中存在的问题及解决对策[J]. 商场现代化, 2007, 000(02S):147-148.</w:t>
      </w:r>
    </w:p>
    <w:p>
      <w:pPr>
        <w:numPr>
          <w:ilvl w:val="0"/>
          <w:numId w:val="2"/>
        </w:numPr>
        <w:ind w:left="0" w:leftChars="0" w:firstLine="0" w:firstLineChars="0"/>
        <w:jc w:val="both"/>
        <w:rPr>
          <w:rFonts w:hint="default" w:ascii="仿宋" w:hAnsi="仿宋" w:eastAsia="仿宋"/>
          <w:color w:val="auto"/>
          <w:sz w:val="18"/>
          <w:szCs w:val="18"/>
          <w:lang w:val="en-US" w:eastAsia="zh-CN"/>
        </w:rPr>
      </w:pPr>
      <w:r>
        <w:rPr>
          <w:rFonts w:hint="default" w:ascii="仿宋" w:hAnsi="仿宋" w:eastAsia="仿宋"/>
          <w:color w:val="auto"/>
          <w:sz w:val="18"/>
          <w:szCs w:val="18"/>
          <w:lang w:val="en-US" w:eastAsia="zh-CN"/>
        </w:rPr>
        <w:t>陈光珍, 杨伯元. 我国IT企业研发人员的薪酬现状及问题研究[J]. 集团经济研究, 2007(11Z):187-188.</w:t>
      </w:r>
    </w:p>
    <w:p>
      <w:pPr>
        <w:numPr>
          <w:ilvl w:val="0"/>
          <w:numId w:val="2"/>
        </w:numPr>
        <w:ind w:left="0" w:leftChars="0" w:firstLine="0" w:firstLineChars="0"/>
        <w:jc w:val="both"/>
        <w:rPr>
          <w:rFonts w:hint="default" w:ascii="仿宋" w:hAnsi="仿宋" w:eastAsia="仿宋"/>
          <w:color w:val="auto"/>
          <w:sz w:val="18"/>
          <w:szCs w:val="18"/>
          <w:lang w:val="en-US" w:eastAsia="zh-CN"/>
        </w:rPr>
      </w:pPr>
      <w:r>
        <w:rPr>
          <w:rFonts w:hint="default" w:ascii="仿宋" w:hAnsi="仿宋" w:eastAsia="仿宋"/>
          <w:color w:val="auto"/>
          <w:sz w:val="18"/>
          <w:szCs w:val="18"/>
          <w:lang w:val="en-US" w:eastAsia="zh-CN"/>
        </w:rPr>
        <w:t>范萍. KR软件公司的人才流失[D]. 哈尔滨工程大学, 2012.</w:t>
      </w:r>
    </w:p>
    <w:sectPr>
      <w:pgSz w:w="11906" w:h="16838"/>
      <w:pgMar w:top="720" w:right="1060" w:bottom="720" w:left="106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Calibri Light">
    <w:panose1 w:val="020F0302020204030204"/>
    <w:charset w:val="00"/>
    <w:family w:val="auto"/>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微软雅黑 Light">
    <w:panose1 w:val="020B0502040204020203"/>
    <w:charset w:val="86"/>
    <w:family w:val="auto"/>
    <w:pitch w:val="default"/>
    <w:sig w:usb0="80000287" w:usb1="2ACF0010" w:usb2="00000016" w:usb3="00000000" w:csb0="0004001F" w:csb1="00000000"/>
  </w:font>
  <w:font w:name="Arial">
    <w:panose1 w:val="020B0604020202020204"/>
    <w:charset w:val="00"/>
    <w:family w:val="auto"/>
    <w:pitch w:val="default"/>
    <w:sig w:usb0="E0002EFF" w:usb1="C000785B" w:usb2="00000009" w:usb3="00000000" w:csb0="400001FF" w:csb1="FFFF0000"/>
  </w:font>
  <w:font w:name="BERNIER Regular">
    <w:panose1 w:val="00000500000000000000"/>
    <w:charset w:val="00"/>
    <w:family w:val="auto"/>
    <w:pitch w:val="default"/>
    <w:sig w:usb0="00000007" w:usb1="00000000" w:usb2="00000000" w:usb3="00000000" w:csb0="20000097" w:csb1="00000000"/>
  </w:font>
  <w:font w:name="Bahnschrift Light Condensed">
    <w:panose1 w:val="020B0502040204020203"/>
    <w:charset w:val="00"/>
    <w:family w:val="auto"/>
    <w:pitch w:val="default"/>
    <w:sig w:usb0="800002C7" w:usb1="00000002" w:usb2="00000000" w:usb3="00000000" w:csb0="2000019F" w:csb1="00000000"/>
  </w:font>
  <w:font w:name="Bahnschrift SemiBold">
    <w:panose1 w:val="020B0502040204020203"/>
    <w:charset w:val="00"/>
    <w:family w:val="auto"/>
    <w:pitch w:val="default"/>
    <w:sig w:usb0="800002C7" w:usb1="00000002" w:usb2="00000000" w:usb3="00000000" w:csb0="2000019F" w:csb1="00000000"/>
  </w:font>
  <w:font w:name="Gabriola">
    <w:panose1 w:val="04040605051002020D02"/>
    <w:charset w:val="00"/>
    <w:family w:val="auto"/>
    <w:pitch w:val="default"/>
    <w:sig w:usb0="E00002EF" w:usb1="5000204B" w:usb2="00000000" w:usb3="00000000" w:csb0="2000009F" w:csb1="00000000"/>
  </w:font>
  <w:font w:name="Javanese Text">
    <w:panose1 w:val="02000000000000000000"/>
    <w:charset w:val="00"/>
    <w:family w:val="auto"/>
    <w:pitch w:val="default"/>
    <w:sig w:usb0="80000003" w:usb1="00002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40321A2"/>
    <w:multiLevelType w:val="singleLevel"/>
    <w:tmpl w:val="B40321A2"/>
    <w:lvl w:ilvl="0" w:tentative="0">
      <w:start w:val="1"/>
      <w:numFmt w:val="decimal"/>
      <w:lvlText w:val="[%1]"/>
      <w:lvlJc w:val="left"/>
      <w:pPr>
        <w:tabs>
          <w:tab w:val="left" w:pos="312"/>
        </w:tabs>
      </w:pPr>
    </w:lvl>
  </w:abstractNum>
  <w:abstractNum w:abstractNumId="1">
    <w:nsid w:val="341C6351"/>
    <w:multiLevelType w:val="multilevel"/>
    <w:tmpl w:val="341C6351"/>
    <w:lvl w:ilvl="0" w:tentative="0">
      <w:start w:val="1"/>
      <w:numFmt w:val="decimal"/>
      <w:lvlText w:val="%1"/>
      <w:lvlJc w:val="left"/>
      <w:pPr>
        <w:ind w:left="420" w:hanging="420"/>
      </w:pPr>
      <w:rPr>
        <w:rFonts w:hint="eastAsia" w:ascii="黑体" w:hAnsi="黑体" w:eastAsia="黑体"/>
        <w:sz w:val="21"/>
        <w:szCs w:val="21"/>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5DC7AA6"/>
    <w:rsid w:val="018A6F5E"/>
    <w:rsid w:val="15DC7A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Body Text"/>
    <w:basedOn w:val="1"/>
    <w:qFormat/>
    <w:uiPriority w:val="0"/>
    <w:pPr>
      <w:spacing w:after="120"/>
    </w:pPr>
    <w:rPr>
      <w:rFonts w:ascii="Times New Roman" w:hAnsi="Times New Roman" w:eastAsia="宋体" w:cs="Times New Roman"/>
      <w:szCs w:val="24"/>
    </w:rPr>
  </w:style>
  <w:style w:type="paragraph" w:styleId="5">
    <w:name w:val="List Paragraph"/>
    <w:basedOn w:val="1"/>
    <w:qFormat/>
    <w:uiPriority w:val="34"/>
    <w:pPr>
      <w:ind w:firstLine="420" w:firstLineChars="200"/>
    </w:pPr>
  </w:style>
  <w:style w:type="paragraph" w:customStyle="1" w:styleId="6">
    <w:name w:val="paragraph"/>
    <w:basedOn w:val="1"/>
    <w:uiPriority w:val="0"/>
    <w:pPr>
      <w:widowControl/>
      <w:spacing w:before="100" w:beforeAutospacing="1" w:after="100" w:afterAutospacing="1"/>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chart" Target="charts/chart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4" Type="http://schemas.microsoft.com/office/2011/relationships/chartColorStyle" Target="colors1.xml"/><Relationship Id="rId3" Type="http://schemas.microsoft.com/office/2011/relationships/chartStyle" Target="style1.xml"/><Relationship Id="rId2" Type="http://schemas.openxmlformats.org/officeDocument/2006/relationships/chartUserShapes" Target="../drawings/drawing1.xml"/><Relationship Id="rId1" Type="http://schemas.openxmlformats.org/officeDocument/2006/relationships/oleObject" Target="file:///C:\Users\GARBAGE\Desktop\&#22269;&#30740;&#25968;&#25454;_&#20449;&#24687;&#20135;&#19994;_202146.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t>劳动人员个人年度报酬折线图</a:t>
            </a:r>
          </a:p>
        </c:rich>
      </c:tx>
      <c:layout>
        <c:manualLayout>
          <c:xMode val="edge"/>
          <c:yMode val="edge"/>
          <c:x val="0.235854765506808"/>
          <c:y val="0.0351906158357771"/>
        </c:manualLayout>
      </c:layout>
      <c:overlay val="0"/>
      <c:spPr>
        <a:noFill/>
        <a:ln>
          <a:noFill/>
        </a:ln>
        <a:effectLst/>
      </c:spPr>
    </c:title>
    <c:autoTitleDeleted val="0"/>
    <c:plotArea>
      <c:layout>
        <c:manualLayout>
          <c:layoutTarget val="inner"/>
          <c:xMode val="edge"/>
          <c:yMode val="edge"/>
          <c:x val="0.0936944444444444"/>
          <c:y val="0.173611111111111"/>
          <c:w val="0.87575"/>
          <c:h val="0.711666666666667"/>
        </c:manualLayout>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dLbls>
            <c:dLbl>
              <c:idx val="7"/>
              <c:layout>
                <c:manualLayout>
                  <c:x val="-0.0317700453857791"/>
                  <c:y val="0.0263929618768328"/>
                </c:manualLayout>
              </c:layout>
              <c:dLblPos val="r"/>
              <c:showLegendKey val="0"/>
              <c:showVal val="1"/>
              <c:showCatName val="0"/>
              <c:showSerName val="0"/>
              <c:showPercent val="0"/>
              <c:showBubbleSize val="0"/>
              <c:extLst>
                <c:ext xmlns:c15="http://schemas.microsoft.com/office/drawing/2012/chart" uri="{CE6537A1-D6FC-4f65-9D91-7224C49458BB}">
                  <c15:layout/>
                </c:ext>
              </c:extLst>
            </c:dLbl>
            <c:dLbl>
              <c:idx val="8"/>
              <c:layout>
                <c:manualLayout>
                  <c:x val="-0.075489157841654"/>
                  <c:y val="-0.0432225480612577"/>
                </c:manualLayout>
              </c:layout>
              <c:dLblPos val="r"/>
              <c:showLegendKey val="0"/>
              <c:showVal val="1"/>
              <c:showCatName val="0"/>
              <c:showSerName val="0"/>
              <c:showPercent val="0"/>
              <c:showBubbleSize val="0"/>
              <c:extLst>
                <c:ext xmlns:c15="http://schemas.microsoft.com/office/drawing/2012/chart" uri="{CE6537A1-D6FC-4f65-9D91-7224C49458BB}">
                  <c15:layout/>
                </c:ext>
              </c:extLst>
            </c:dLbl>
            <c:dLbl>
              <c:idx val="9"/>
              <c:layout>
                <c:manualLayout>
                  <c:x val="-0.0499243570347958"/>
                  <c:y val="0.032258064516129"/>
                </c:manualLayout>
              </c:layout>
              <c:dLblPos val="r"/>
              <c:showLegendKey val="0"/>
              <c:showVal val="1"/>
              <c:showCatName val="0"/>
              <c:showSerName val="0"/>
              <c:showPercent val="0"/>
              <c:showBubbleSize val="0"/>
              <c:extLst>
                <c:ext xmlns:c15="http://schemas.microsoft.com/office/drawing/2012/chart" uri="{CE6537A1-D6FC-4f65-9D91-7224C49458BB}">
                  <c15:layout/>
                </c:ext>
              </c:extLst>
            </c:dLbl>
            <c:dLbl>
              <c:idx val="10"/>
              <c:layout>
                <c:manualLayout>
                  <c:x val="-0.0196671709531014"/>
                  <c:y val="0.0439882697947214"/>
                </c:manualLayout>
              </c:layout>
              <c:dLblPos val="r"/>
              <c:showLegendKey val="0"/>
              <c:showVal val="1"/>
              <c:showCatName val="0"/>
              <c:showSerName val="0"/>
              <c:showPercent val="0"/>
              <c:showBubbleSize val="0"/>
              <c:extLst>
                <c:ext xmlns:c15="http://schemas.microsoft.com/office/drawing/2012/chart" uri="{CE6537A1-D6FC-4f65-9D91-7224C49458BB}">
                  <c15:layout/>
                </c:ext>
              </c:extLst>
            </c:dLbl>
            <c:dLbl>
              <c:idx val="11"/>
              <c:layout>
                <c:manualLayout>
                  <c:x val="-0.0121028744326778"/>
                  <c:y val="0.0527859237536657"/>
                </c:manualLayout>
              </c:layout>
              <c:dLblPos val="r"/>
              <c:showLegendKey val="0"/>
              <c:showVal val="1"/>
              <c:showCatName val="0"/>
              <c:showSerName val="0"/>
              <c:showPercent val="0"/>
              <c:showBubbleSize val="0"/>
              <c:extLst>
                <c:ext xmlns:c15="http://schemas.microsoft.com/office/drawing/2012/chart" uri="{CE6537A1-D6FC-4f65-9D91-7224C49458BB}">
                  <c15:layout>
                    <c:manualLayout>
                      <c:w val="0.081089258698941"/>
                      <c:h val="0.0785923753665689"/>
                    </c:manualLayout>
                  </c15:layout>
                </c:ext>
              </c:extLst>
            </c:dLbl>
            <c:dLbl>
              <c:idx val="12"/>
              <c:layout>
                <c:manualLayout>
                  <c:x val="0"/>
                  <c:y val="-0.00293255131964809"/>
                </c:manualLayout>
              </c:layout>
              <c:dLblPos val="r"/>
              <c:showLegendKey val="0"/>
              <c:showVal val="1"/>
              <c:showCatName val="0"/>
              <c:showSerName val="0"/>
              <c:showPercent val="0"/>
              <c:showBubbleSize val="0"/>
              <c:extLst>
                <c:ext xmlns:c15="http://schemas.microsoft.com/office/drawing/2012/chart" uri="{CE6537A1-D6FC-4f65-9D91-7224C49458BB}">
                  <c15:layout/>
                </c:ext>
              </c:extLst>
            </c:dLbl>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val>
            <c:numRef>
              <c:f>[国研数据_信息产业_202146.xlsx]Sheet1!$D$4:$D$16</c:f>
              <c:numCache>
                <c:formatCode>0.00_ </c:formatCode>
                <c:ptCount val="13"/>
                <c:pt idx="0">
                  <c:v>5.48872690049863</c:v>
                </c:pt>
                <c:pt idx="1">
                  <c:v>4.83032642086833</c:v>
                </c:pt>
                <c:pt idx="2">
                  <c:v>6.49144222628975</c:v>
                </c:pt>
                <c:pt idx="3">
                  <c:v>6.65994601967833</c:v>
                </c:pt>
                <c:pt idx="4">
                  <c:v>7.65749061498461</c:v>
                </c:pt>
                <c:pt idx="5">
                  <c:v>8.29356539093718</c:v>
                </c:pt>
                <c:pt idx="6">
                  <c:v>8.96094100663714</c:v>
                </c:pt>
                <c:pt idx="7">
                  <c:v>10.0078685486025</c:v>
                </c:pt>
                <c:pt idx="8">
                  <c:v>10.5411145064519</c:v>
                </c:pt>
                <c:pt idx="9">
                  <c:v>10.3429326870418</c:v>
                </c:pt>
                <c:pt idx="10">
                  <c:v>11.8054474641751</c:v>
                </c:pt>
                <c:pt idx="11">
                  <c:v>13.6038744328047</c:v>
                </c:pt>
                <c:pt idx="12">
                  <c:v>14.7053598164728</c:v>
                </c:pt>
              </c:numCache>
            </c:numRef>
          </c:val>
          <c:smooth val="0"/>
        </c:ser>
        <c:dLbls>
          <c:showLegendKey val="0"/>
          <c:showVal val="1"/>
          <c:showCatName val="0"/>
          <c:showSerName val="0"/>
          <c:showPercent val="0"/>
          <c:showBubbleSize val="0"/>
        </c:dLbls>
        <c:marker val="1"/>
        <c:smooth val="0"/>
        <c:axId val="457342020"/>
        <c:axId val="491462715"/>
      </c:lineChart>
      <c:dateAx>
        <c:axId val="457342020"/>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forceAA="0"/>
          <a:lstStyle/>
          <a:p>
            <a:pPr>
              <a:defRPr lang="zh-CN" sz="900" b="0" i="0" u="none" strike="noStrike" kern="1200" baseline="0">
                <a:solidFill>
                  <a:schemeClr val="tx1">
                    <a:lumMod val="65000"/>
                    <a:lumOff val="35000"/>
                  </a:schemeClr>
                </a:solidFill>
                <a:latin typeface="+mn-lt"/>
                <a:ea typeface="+mn-ea"/>
                <a:cs typeface="+mn-cs"/>
              </a:defRPr>
            </a:pPr>
          </a:p>
        </c:txPr>
        <c:crossAx val="491462715"/>
        <c:crosses val="autoZero"/>
        <c:auto val="1"/>
        <c:lblAlgn val="ctr"/>
        <c:lblOffset val="100"/>
        <c:baseTimeUnit val="days"/>
      </c:dateAx>
      <c:valAx>
        <c:axId val="491462715"/>
        <c:scaling>
          <c:orientation val="minMax"/>
        </c:scaling>
        <c:delete val="0"/>
        <c:axPos val="l"/>
        <c:majorGridlines>
          <c:spPr>
            <a:ln w="9525" cap="flat" cmpd="sng" algn="ctr">
              <a:solidFill>
                <a:schemeClr val="tx1">
                  <a:lumMod val="15000"/>
                  <a:lumOff val="85000"/>
                </a:schemeClr>
              </a:solidFill>
              <a:round/>
            </a:ln>
            <a:effectLst/>
          </c:spPr>
        </c:majorGridlines>
        <c:numFmt formatCode="0.00_ "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4573420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userShapes r:id="rId2"/>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cdr:x>
      <cdr:y>0.0493055555555556</cdr:y>
    </cdr:from>
    <cdr:to>
      <cdr:x>0.15</cdr:x>
      <cdr:y>0.11875</cdr:y>
    </cdr:to>
    <cdr:sp>
      <cdr:nvSpPr>
        <cdr:cNvPr id="2" name="矩形 1"/>
        <cdr:cNvSpPr/>
      </cdr:nvSpPr>
      <cdr:spPr xmlns:a="http://schemas.openxmlformats.org/drawingml/2006/main">
        <a:xfrm xmlns:a="http://schemas.openxmlformats.org/drawingml/2006/main">
          <a:off x="0" y="135255"/>
          <a:ext cx="685800" cy="190500"/>
        </a:xfrm>
        <a:prstGeom xmlns:a="http://schemas.openxmlformats.org/drawingml/2006/main" prst="rect">
          <a:avLst/>
        </a:prstGeom>
        <a:solidFill>
          <a:schemeClr val="bg1"/>
        </a:solidFill>
        <a:ln>
          <a:noFill/>
        </a:ln>
      </cdr:spPr>
      <cdr:style>
        <a:lnRef xmlns:a="http://schemas.openxmlformats.org/drawingml/2006/main" idx="1">
          <a:schemeClr val="dk1"/>
        </a:lnRef>
        <a:fillRef xmlns:a="http://schemas.openxmlformats.org/drawingml/2006/main" idx="3">
          <a:schemeClr val="dk1"/>
        </a:fillRef>
        <a:effectRef xmlns:a="http://schemas.openxmlformats.org/drawingml/2006/main" idx="2">
          <a:schemeClr val="dk1"/>
        </a:effectRef>
        <a:fontRef xmlns:a="http://schemas.openxmlformats.org/drawingml/2006/main" idx="minor">
          <a:schemeClr val="lt1"/>
        </a:fontRef>
      </cdr:style>
      <cdr:txBody xmlns:a="http://schemas.openxmlformats.org/drawingml/2006/main">
        <a:bodyPr vert="horz" wrap="none" lIns="45720" tIns="45720" rIns="45720" bIns="45720" anchor="t" anchorCtr="0">
          <a:normAutofit/>
        </a:bodyPr>
        <a:p>
          <a:r>
            <a:rPr lang="zh-CN" altLang="en-US">
              <a:solidFill>
                <a:schemeClr val="tx1"/>
              </a:solidFill>
            </a:rPr>
            <a:t>万元</a:t>
          </a:r>
          <a:endParaRPr lang="zh-CN" altLang="en-US">
            <a:solidFill>
              <a:schemeClr val="tx1"/>
            </a:solidFill>
          </a:endParaRPr>
        </a:p>
      </cdr:txBody>
    </cdr:sp>
  </cdr:relSizeAnchor>
</c:userShap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Office_11.1.0.10446_F1E327BC-269C-435d-A152-05C5408002CA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2021-04-06T05:51:00Z</dcterms:created>
  <dc:creator>Garbage</dc:creator>
  <cp:lastModifiedBy>Garbage</cp:lastModifiedBy>
  <dcterms:modified xsi:type="dcterms:W3CDTF">2021-04-06T13:30:08Z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2052-11.1.0.10446</vt:lpwstr>
  </property>
  <property fmtid="{D5CDD505-2E9C-101B-9397-08002B2CF9AE}" pid="3" name="ICV">
    <vt:lpwstr>39C7166A7A4D442A88DECEB19E80D241</vt:lpwstr>
  </property>
</Properties>
</file>