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rPr>
        <w:t>互联网行业薪资分析</w:t>
      </w:r>
      <w:r>
        <w:rPr>
          <w:rFonts w:ascii="宋体" w:hAnsi="宋体" w:eastAsia="宋体"/>
          <w:color w:val="FF0000"/>
          <w:sz w:val="21"/>
          <w:szCs w:val="21"/>
        </w:rPr>
        <w:t xml:space="preserve"> </w:t>
      </w:r>
    </w:p>
    <w:p>
      <w:pPr>
        <w:spacing w:after="0" w:line="220" w:lineRule="atLeast"/>
        <w:jc w:val="both"/>
        <w:rPr>
          <w:rFonts w:ascii="宋体" w:hAnsi="宋体" w:eastAsia="宋体"/>
          <w:b/>
          <w:sz w:val="21"/>
          <w:szCs w:val="21"/>
        </w:rPr>
      </w:pPr>
      <w:r>
        <w:rPr>
          <w:rFonts w:hint="eastAsia" w:ascii="宋体" w:hAnsi="宋体" w:eastAsia="宋体"/>
          <w:b/>
          <w:sz w:val="21"/>
          <w:szCs w:val="21"/>
        </w:rPr>
        <w:t>蔡敏志</w:t>
      </w:r>
    </w:p>
    <w:p>
      <w:pPr>
        <w:spacing w:after="0" w:line="220" w:lineRule="atLeast"/>
        <w:jc w:val="both"/>
        <w:rPr>
          <w:rFonts w:ascii="宋体" w:hAnsi="宋体" w:eastAsia="宋体"/>
          <w:b/>
          <w:sz w:val="21"/>
          <w:szCs w:val="21"/>
        </w:rPr>
      </w:pPr>
    </w:p>
    <w:p>
      <w:pPr>
        <w:rPr>
          <w:rFonts w:ascii="宋体" w:hAnsi="宋体" w:eastAsia="宋体"/>
          <w:b/>
          <w:sz w:val="21"/>
          <w:szCs w:val="21"/>
        </w:rPr>
      </w:pPr>
      <w:r>
        <w:rPr>
          <w:rFonts w:hint="eastAsia" w:ascii="仿宋" w:hAnsi="仿宋" w:eastAsia="仿宋"/>
          <w:sz w:val="18"/>
          <w:szCs w:val="18"/>
        </w:rPr>
        <w:t xml:space="preserve">大连理工大学软件学院 辽宁省大连市 </w:t>
      </w:r>
      <w:r>
        <w:rPr>
          <w:rFonts w:ascii="仿宋" w:hAnsi="仿宋" w:eastAsia="仿宋"/>
          <w:sz w:val="18"/>
          <w:szCs w:val="18"/>
        </w:rPr>
        <w:t>116000</w:t>
      </w:r>
    </w:p>
    <w:p>
      <w:pPr>
        <w:spacing w:before="180" w:beforeLines="50" w:after="180" w:afterLines="50" w:line="220" w:lineRule="atLeast"/>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000000" w:themeColor="text1"/>
          <w:sz w:val="18"/>
          <w:szCs w:val="18"/>
          <w14:textFill>
            <w14:solidFill>
              <w14:schemeClr w14:val="tx1"/>
            </w14:solidFill>
          </w14:textFill>
        </w:rPr>
        <w:t>由于依赖技术优势以及市场机遇，中国的IT行业发展迅猛，继而对于人力资本的依赖程度也与日俱增。因此IT行业目前对高科技人才的需求最为迫切，但是,现在我国的 IT 行业，员工的自我效能感普遍较低、离职率极高，导致这一现象产生的主要的原因就是员工巨大的工作压力以及薪酬制度不合理。为了给予互联网从业者对薪资的正确认识，基于国研网和offershow的数据，分析行业整体的薪资变化和不同公司的工资等级，使得从业者对自我薪资水平得到科学正确的认知并设立合理的目标。</w:t>
      </w: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rPr>
        <w:t>IT行业；数据分析；薪资</w:t>
      </w:r>
    </w:p>
    <w:p>
      <w:pPr>
        <w:pStyle w:val="23"/>
        <w:ind w:left="106" w:hanging="106"/>
        <w:rPr>
          <w:b/>
        </w:rPr>
      </w:pPr>
      <w:r>
        <w:rPr>
          <w:rFonts w:hint="eastAsia"/>
          <w:b/>
        </w:rPr>
        <w:t xml:space="preserve">    </w:t>
      </w:r>
    </w:p>
    <w:p>
      <w:pPr>
        <w:pStyle w:val="23"/>
        <w:numPr>
          <w:ilvl w:val="0"/>
          <w:numId w:val="1"/>
        </w:numPr>
        <w:ind w:firstLineChars="0"/>
        <w:rPr>
          <w:rFonts w:ascii="黑体" w:hAnsi="黑体" w:eastAsia="黑体"/>
          <w:color w:val="FF0000"/>
          <w:sz w:val="21"/>
          <w:szCs w:val="21"/>
        </w:rPr>
        <w:sectPr>
          <w:headerReference r:id="rId5" w:type="first"/>
          <w:footerReference r:id="rId6" w:type="first"/>
          <w:headerReference r:id="rId4" w:type="default"/>
          <w:pgSz w:w="11906" w:h="16838"/>
          <w:pgMar w:top="1440" w:right="1800" w:bottom="1440" w:left="1800" w:header="708" w:footer="708" w:gutter="0"/>
          <w:cols w:space="720" w:num="1"/>
          <w:titlePg/>
          <w:docGrid w:type="lines" w:linePitch="360" w:charSpace="0"/>
        </w:sectPr>
      </w:pPr>
    </w:p>
    <w:p>
      <w:pPr>
        <w:pStyle w:val="2"/>
        <w:numPr>
          <w:ilvl w:val="0"/>
          <w:numId w:val="1"/>
        </w:numPr>
        <w:rPr>
          <w:rFonts w:ascii="黑体" w:hAnsi="黑体" w:eastAsia="黑体"/>
          <w:szCs w:val="21"/>
        </w:rPr>
      </w:pPr>
      <w:r>
        <w:rPr>
          <w:rFonts w:hint="eastAsia" w:ascii="黑体" w:hAnsi="黑体" w:eastAsia="黑体"/>
          <w:szCs w:val="21"/>
        </w:rPr>
        <w:t>引言</w:t>
      </w:r>
    </w:p>
    <w:p>
      <w:pPr>
        <w:pStyle w:val="3"/>
        <w:spacing w:after="0" w:line="400" w:lineRule="exact"/>
        <w:ind w:firstLine="360" w:firstLineChars="200"/>
        <w:rPr>
          <w:rFonts w:ascii="宋体" w:hAnsi="宋体"/>
          <w:sz w:val="18"/>
          <w:szCs w:val="18"/>
        </w:rPr>
      </w:pPr>
      <w:r>
        <w:rPr>
          <w:rFonts w:hint="eastAsia" w:ascii="宋体" w:hAnsi="宋体"/>
          <w:sz w:val="18"/>
          <w:szCs w:val="18"/>
        </w:rPr>
        <w:t>互联网经济是继金融、房地产之后在20世纪末新兴的又一庞大经济实体，发展趋势远超以往任一领域。基于互联网的普及和行业的快速发展，互联网行业的人才需求量激增。随着人工智能、图像识别、前端后端开发、智能机器人等研究方向的火热，专业人才缺口变得越来越大，尽管越来越多的高校开设了计算机及软件工程等专业，对于行业的大量需求仍是无法完全满足。人才是企业发展的根本。在“互联网+”发展新业 态下，企业对相关人才的需求呈现井喷趋势。2017年中美两国的互联网人才需求量是供应量的10倍 。[1]人才供需失衡是制约企业发展的瓶颈。如何招聘到合适的人才，成为企业人力资源部门重点关注的问题。而薪资是人才能力与岗位需求匹配的重要体现，也是人才在择业过程中考虑的主要因素。本文从不同城市、岗位、方向的薪资分析发展趋势，并提出从业者可能存在的观念问题，以期对人力招聘和人才求职的过程提供有益的参考。</w:t>
      </w:r>
    </w:p>
    <w:p>
      <w:pPr>
        <w:pStyle w:val="23"/>
        <w:spacing w:line="400" w:lineRule="exact"/>
        <w:ind w:left="0" w:firstLine="0" w:firstLineChars="0"/>
        <w:rPr>
          <w:rFonts w:ascii="宋体" w:hAnsi="宋体"/>
          <w:iCs w:val="0"/>
          <w:color w:val="FF0000"/>
          <w:sz w:val="18"/>
          <w:szCs w:val="18"/>
          <w:bdr w:val="single" w:color="auto" w:sz="4" w:space="0"/>
        </w:rPr>
      </w:pPr>
    </w:p>
    <w:p>
      <w:pPr>
        <w:pStyle w:val="2"/>
        <w:numPr>
          <w:ilvl w:val="0"/>
          <w:numId w:val="1"/>
        </w:numPr>
        <w:rPr>
          <w:rFonts w:ascii="黑体" w:hAnsi="黑体" w:eastAsia="黑体"/>
          <w:szCs w:val="21"/>
        </w:rPr>
      </w:pPr>
      <w:r>
        <w:rPr>
          <w:rFonts w:hint="eastAsia" w:ascii="黑体" w:hAnsi="黑体" w:eastAsia="黑体"/>
          <w:szCs w:val="21"/>
        </w:rPr>
        <w:t>数据分析</w:t>
      </w:r>
    </w:p>
    <w:p>
      <w:pPr>
        <w:pStyle w:val="21"/>
        <w:spacing w:line="400" w:lineRule="exact"/>
        <w:ind w:left="0" w:firstLine="360" w:firstLineChars="200"/>
        <w:rPr>
          <w:rFonts w:ascii="宋体" w:hAnsi="宋体"/>
          <w:kern w:val="2"/>
          <w:sz w:val="18"/>
          <w:szCs w:val="18"/>
        </w:rPr>
      </w:pPr>
      <w:r>
        <w:rPr>
          <w:rFonts w:hint="eastAsia" w:ascii="宋体" w:hAnsi="宋体"/>
          <w:kern w:val="2"/>
          <w:sz w:val="18"/>
          <w:szCs w:val="18"/>
        </w:rPr>
        <w:t>从 2016年下半年智联招聘平台在线职位招聘薪酬数据来看，互联网行业的企业平均招聘薪酬为 9495元，在所有行业类别中处于领先地位。其中，网络游戏的平均招聘薪酬最高，为 12347元，其次是 IT服务（系统 / 数据 /维护），平均招聘薪酬为 10063元，在互联网行业的6个细分行业中，平均招聘薪酬相对较低的是计算机软件行业，平均招聘薪酬为 8694元。从全国34个主要城市的在线职位招聘信息来看，不同城市之间的互联网行业招聘薪酬存在较大差距。其中北京的互联网行业企业平均招聘薪酬最高，为13737元，上海以 11596元的平均水平位列第二，深圳的平均招聘薪酬为 10188元，略高于广东9668元的平均水平。总体来看，一线城市对互联网中高端优秀人才的需求量最大，企业以高薪为主要手段抢夺人才，因此平均招聘薪酬最高。[2]</w:t>
      </w:r>
    </w:p>
    <w:p>
      <w:pPr>
        <w:pStyle w:val="21"/>
        <w:spacing w:line="400" w:lineRule="exact"/>
        <w:ind w:left="0" w:firstLine="360" w:firstLineChars="200"/>
        <w:rPr>
          <w:rFonts w:ascii="宋体" w:hAnsi="宋体"/>
          <w:kern w:val="2"/>
          <w:sz w:val="18"/>
          <w:szCs w:val="18"/>
        </w:rPr>
      </w:pPr>
    </w:p>
    <w:p>
      <w:pPr>
        <w:pStyle w:val="3"/>
        <w:spacing w:after="0" w:line="240" w:lineRule="atLeast"/>
        <w:jc w:val="left"/>
        <w:rPr>
          <w:rFonts w:ascii="宋体" w:hAnsi="宋体"/>
          <w:sz w:val="15"/>
          <w:szCs w:val="15"/>
        </w:rPr>
      </w:pPr>
    </w:p>
    <w:p>
      <w:pPr>
        <w:pStyle w:val="3"/>
        <w:spacing w:after="0" w:line="240" w:lineRule="atLeast"/>
        <w:jc w:val="center"/>
        <w:rPr>
          <w:rFonts w:ascii="宋体" w:hAnsi="宋体"/>
          <w:sz w:val="15"/>
          <w:szCs w:val="15"/>
        </w:rPr>
      </w:pPr>
    </w:p>
    <w:p>
      <w:pPr>
        <w:pStyle w:val="3"/>
        <w:spacing w:after="0" w:line="240" w:lineRule="atLeast"/>
        <w:jc w:val="center"/>
        <w:rPr>
          <w:rFonts w:ascii="宋体" w:hAnsi="宋体"/>
          <w:sz w:val="15"/>
          <w:szCs w:val="15"/>
        </w:rPr>
      </w:pPr>
    </w:p>
    <w:p>
      <w:pPr>
        <w:pStyle w:val="3"/>
        <w:spacing w:after="0" w:line="240" w:lineRule="atLeast"/>
        <w:jc w:val="center"/>
        <w:rPr>
          <w:rFonts w:ascii="宋体" w:hAnsi="宋体" w:cs="宋体"/>
          <w:kern w:val="0"/>
          <w:sz w:val="24"/>
          <w:lang w:bidi="ar"/>
        </w:rPr>
      </w:pPr>
      <w:r>
        <w:rPr>
          <w:rFonts w:ascii="宋体" w:hAnsi="宋体" w:cs="宋体"/>
          <w:kern w:val="0"/>
          <w:sz w:val="24"/>
          <w:lang w:bidi="ar"/>
        </w:rPr>
        <w:drawing>
          <wp:inline distT="0" distB="0" distL="114300" distR="114300">
            <wp:extent cx="3657600" cy="2543810"/>
            <wp:effectExtent l="0" t="0" r="0" b="127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9"/>
                    <a:stretch>
                      <a:fillRect/>
                    </a:stretch>
                  </pic:blipFill>
                  <pic:spPr>
                    <a:xfrm>
                      <a:off x="0" y="0"/>
                      <a:ext cx="3657600" cy="2543810"/>
                    </a:xfrm>
                    <a:prstGeom prst="rect">
                      <a:avLst/>
                    </a:prstGeom>
                    <a:noFill/>
                    <a:ln w="9525">
                      <a:noFill/>
                    </a:ln>
                  </pic:spPr>
                </pic:pic>
              </a:graphicData>
            </a:graphic>
          </wp:inline>
        </w:drawing>
      </w:r>
    </w:p>
    <w:p>
      <w:pPr>
        <w:pStyle w:val="3"/>
        <w:spacing w:after="0" w:line="240" w:lineRule="atLeast"/>
        <w:jc w:val="center"/>
        <w:rPr>
          <w:rFonts w:ascii="宋体" w:hAnsi="宋体"/>
          <w:sz w:val="15"/>
          <w:szCs w:val="15"/>
        </w:rPr>
      </w:pPr>
      <w:r>
        <w:rPr>
          <w:rFonts w:hint="eastAsia" w:ascii="宋体" w:hAnsi="宋体"/>
          <w:sz w:val="15"/>
          <w:szCs w:val="15"/>
        </w:rPr>
        <w:t>图1   互联网行业整体薪资分布（40k以内）</w:t>
      </w:r>
    </w:p>
    <w:p>
      <w:pPr>
        <w:pStyle w:val="3"/>
        <w:spacing w:after="0" w:line="240" w:lineRule="atLeast"/>
        <w:jc w:val="center"/>
      </w:pPr>
    </w:p>
    <w:tbl>
      <w:tblPr>
        <w:tblStyle w:val="9"/>
        <w:tblpPr w:leftFromText="180" w:rightFromText="180" w:vertAnchor="text" w:horzAnchor="page" w:tblpX="2097" w:tblpY="188"/>
        <w:tblOverlap w:val="never"/>
        <w:tblW w:w="8155" w:type="dxa"/>
        <w:tblInd w:w="0" w:type="dxa"/>
        <w:tblLayout w:type="fixed"/>
        <w:tblCellMar>
          <w:top w:w="0" w:type="dxa"/>
          <w:left w:w="108" w:type="dxa"/>
          <w:bottom w:w="0" w:type="dxa"/>
          <w:right w:w="108" w:type="dxa"/>
        </w:tblCellMar>
      </w:tblPr>
      <w:tblGrid>
        <w:gridCol w:w="1989"/>
        <w:gridCol w:w="2232"/>
        <w:gridCol w:w="2396"/>
        <w:gridCol w:w="1538"/>
      </w:tblGrid>
      <w:tr>
        <w:tblPrEx>
          <w:tblCellMar>
            <w:top w:w="0" w:type="dxa"/>
            <w:left w:w="108" w:type="dxa"/>
            <w:bottom w:w="0" w:type="dxa"/>
            <w:right w:w="108" w:type="dxa"/>
          </w:tblCellMar>
        </w:tblPrEx>
        <w:trPr>
          <w:trHeight w:val="325" w:hRule="atLeast"/>
        </w:trPr>
        <w:tc>
          <w:tcPr>
            <w:tcW w:w="1989" w:type="dxa"/>
            <w:tcBorders>
              <w:top w:val="single" w:color="auto" w:sz="4" w:space="0"/>
              <w:bottom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(时间)/(指标)</w:t>
            </w:r>
          </w:p>
        </w:tc>
        <w:tc>
          <w:tcPr>
            <w:tcW w:w="2232" w:type="dxa"/>
            <w:tcBorders>
              <w:top w:val="single" w:color="auto" w:sz="4" w:space="0"/>
              <w:bottom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劳动者报酬(万元)</w:t>
            </w:r>
          </w:p>
        </w:tc>
        <w:tc>
          <w:tcPr>
            <w:tcW w:w="2396" w:type="dxa"/>
            <w:tcBorders>
              <w:top w:val="single" w:color="auto" w:sz="4" w:space="0"/>
              <w:bottom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从业人员年末人数(人)</w:t>
            </w:r>
          </w:p>
        </w:tc>
        <w:tc>
          <w:tcPr>
            <w:tcW w:w="1538" w:type="dxa"/>
            <w:tcBorders>
              <w:top w:val="single" w:color="auto" w:sz="4" w:space="0"/>
              <w:bottom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平均薪资(万元)</w:t>
            </w:r>
          </w:p>
        </w:tc>
      </w:tr>
      <w:tr>
        <w:tblPrEx>
          <w:tblCellMar>
            <w:top w:w="0" w:type="dxa"/>
            <w:left w:w="108" w:type="dxa"/>
            <w:bottom w:w="0" w:type="dxa"/>
            <w:right w:w="108" w:type="dxa"/>
          </w:tblCellMar>
        </w:tblPrEx>
        <w:trPr>
          <w:trHeight w:val="325" w:hRule="atLeast"/>
        </w:trPr>
        <w:tc>
          <w:tcPr>
            <w:tcW w:w="1989" w:type="dxa"/>
            <w:tcBorders>
              <w:top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2006年</w:t>
            </w:r>
          </w:p>
        </w:tc>
        <w:tc>
          <w:tcPr>
            <w:tcW w:w="2232" w:type="dxa"/>
            <w:tcBorders>
              <w:top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7077878</w:t>
            </w:r>
          </w:p>
        </w:tc>
        <w:tc>
          <w:tcPr>
            <w:tcW w:w="2396" w:type="dxa"/>
            <w:tcBorders>
              <w:top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1289530</w:t>
            </w:r>
          </w:p>
        </w:tc>
        <w:tc>
          <w:tcPr>
            <w:tcW w:w="1538" w:type="dxa"/>
            <w:tcBorders>
              <w:top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5.49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2007年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7385458</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1528977</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4.83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2008年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10029460</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1545028</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6.49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2009年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14198259</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2131888</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6.66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2010年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20863262</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2724556</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7.66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2011年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28523736</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3439261</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8.29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2012年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37492846</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4184030</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8.96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2013年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47060921</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4702392</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10.01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2014年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57531358</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5457806</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10.54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2015年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59396494</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5742713</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10.34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2016年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69158814</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5858212</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11.81 </w:t>
            </w:r>
          </w:p>
        </w:tc>
      </w:tr>
      <w:tr>
        <w:tblPrEx>
          <w:tblCellMar>
            <w:top w:w="0" w:type="dxa"/>
            <w:left w:w="108" w:type="dxa"/>
            <w:bottom w:w="0" w:type="dxa"/>
            <w:right w:w="108" w:type="dxa"/>
          </w:tblCellMar>
        </w:tblPrEx>
        <w:trPr>
          <w:trHeight w:val="325" w:hRule="atLeast"/>
        </w:trPr>
        <w:tc>
          <w:tcPr>
            <w:tcW w:w="1989" w:type="dxa"/>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2017年</w:t>
            </w:r>
          </w:p>
        </w:tc>
        <w:tc>
          <w:tcPr>
            <w:tcW w:w="2232"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84011570</w:t>
            </w:r>
          </w:p>
        </w:tc>
        <w:tc>
          <w:tcPr>
            <w:tcW w:w="2396"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6175562</w:t>
            </w:r>
          </w:p>
        </w:tc>
        <w:tc>
          <w:tcPr>
            <w:tcW w:w="1538" w:type="dxa"/>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13.60 </w:t>
            </w:r>
          </w:p>
        </w:tc>
      </w:tr>
      <w:tr>
        <w:tblPrEx>
          <w:tblCellMar>
            <w:top w:w="0" w:type="dxa"/>
            <w:left w:w="108" w:type="dxa"/>
            <w:bottom w:w="0" w:type="dxa"/>
            <w:right w:w="108" w:type="dxa"/>
          </w:tblCellMar>
        </w:tblPrEx>
        <w:trPr>
          <w:trHeight w:val="325" w:hRule="atLeast"/>
        </w:trPr>
        <w:tc>
          <w:tcPr>
            <w:tcW w:w="1989" w:type="dxa"/>
            <w:tcBorders>
              <w:bottom w:val="single" w:color="auto" w:sz="4" w:space="0"/>
            </w:tcBorders>
            <w:shd w:val="clear" w:color="auto" w:fill="auto"/>
            <w:noWrap/>
            <w:vAlign w:val="bottom"/>
          </w:tcPr>
          <w:p>
            <w:pPr>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2018年</w:t>
            </w:r>
          </w:p>
        </w:tc>
        <w:tc>
          <w:tcPr>
            <w:tcW w:w="2232" w:type="dxa"/>
            <w:tcBorders>
              <w:bottom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94779838</w:t>
            </w:r>
          </w:p>
        </w:tc>
        <w:tc>
          <w:tcPr>
            <w:tcW w:w="2396" w:type="dxa"/>
            <w:tcBorders>
              <w:bottom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6445258</w:t>
            </w:r>
          </w:p>
        </w:tc>
        <w:tc>
          <w:tcPr>
            <w:tcW w:w="1538" w:type="dxa"/>
            <w:tcBorders>
              <w:bottom w:val="single" w:color="auto" w:sz="4" w:space="0"/>
            </w:tcBorders>
            <w:shd w:val="clear" w:color="auto" w:fill="auto"/>
            <w:noWrap/>
            <w:vAlign w:val="bottom"/>
          </w:tcPr>
          <w:p>
            <w:pPr>
              <w:jc w:val="right"/>
              <w:textAlignment w:val="bottom"/>
              <w:rPr>
                <w:rFonts w:ascii="宋体" w:hAnsi="宋体" w:eastAsia="宋体" w:cs="宋体"/>
                <w:color w:val="000000"/>
                <w:sz w:val="24"/>
                <w:szCs w:val="24"/>
              </w:rPr>
            </w:pPr>
            <w:r>
              <w:rPr>
                <w:rFonts w:hint="eastAsia" w:ascii="宋体" w:hAnsi="宋体" w:eastAsia="宋体" w:cs="宋体"/>
                <w:color w:val="000000"/>
                <w:sz w:val="24"/>
                <w:szCs w:val="24"/>
                <w:lang w:bidi="ar"/>
              </w:rPr>
              <w:t xml:space="preserve">14.71 </w:t>
            </w:r>
          </w:p>
        </w:tc>
      </w:tr>
    </w:tbl>
    <w:p>
      <w:pPr>
        <w:pStyle w:val="3"/>
        <w:spacing w:after="0" w:line="240" w:lineRule="atLeast"/>
        <w:jc w:val="center"/>
        <w:rPr>
          <w:color w:val="FF0000"/>
          <w:sz w:val="18"/>
          <w:szCs w:val="18"/>
        </w:rPr>
      </w:pPr>
      <w:r>
        <w:rPr>
          <w:rFonts w:hint="eastAsia" w:ascii="宋体" w:hAnsi="宋体"/>
          <w:sz w:val="15"/>
          <w:szCs w:val="15"/>
        </w:rPr>
        <w:t>表一  软件行业整体薪酬</w:t>
      </w:r>
    </w:p>
    <w:p>
      <w:pPr>
        <w:pStyle w:val="3"/>
        <w:spacing w:after="0" w:line="240" w:lineRule="atLeast"/>
        <w:jc w:val="center"/>
        <w:rPr>
          <w:color w:val="FF0000"/>
          <w:sz w:val="18"/>
          <w:szCs w:val="18"/>
        </w:rPr>
      </w:pPr>
    </w:p>
    <w:p>
      <w:pPr>
        <w:pStyle w:val="3"/>
        <w:spacing w:after="0" w:line="240" w:lineRule="atLeast"/>
        <w:jc w:val="center"/>
        <w:rPr>
          <w:rFonts w:hint="eastAsia"/>
          <w:color w:val="FF0000"/>
          <w:sz w:val="18"/>
          <w:szCs w:val="18"/>
        </w:rPr>
      </w:pPr>
    </w:p>
    <w:p>
      <w:pPr>
        <w:pStyle w:val="23"/>
        <w:numPr>
          <w:ilvl w:val="1"/>
          <w:numId w:val="1"/>
        </w:numPr>
        <w:ind w:left="119" w:hanging="119"/>
        <w:rPr>
          <w:rFonts w:ascii="宋体" w:hAnsi="宋体"/>
          <w:sz w:val="18"/>
          <w:szCs w:val="18"/>
        </w:rPr>
      </w:pPr>
      <w:r>
        <w:rPr>
          <w:rFonts w:hint="eastAsia" w:ascii="黑体" w:hAnsi="黑体" w:eastAsia="黑体"/>
          <w:sz w:val="18"/>
          <w:szCs w:val="18"/>
        </w:rPr>
        <w:t>行业整体薪资</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薪资水平高低在一定程度上能够反映技术门槛以及人才供需之间的关系（见图一），15k的月薪是一个分水岭，15k以上占25%，20k以上占14%，而25k以上就只占5%。从薪资水平的分布图看，整体偏左，也有少量的高薪人才的需求，达到40k/月。</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近年来IT行业从业人数增加趋势愈加火热，从06-18年从业人数翻了五倍（见表一）[</w:t>
      </w:r>
      <w:r>
        <w:rPr>
          <w:rFonts w:ascii="宋体" w:hAnsi="宋体"/>
          <w:kern w:val="2"/>
          <w:sz w:val="18"/>
          <w:szCs w:val="18"/>
        </w:rPr>
        <w:t>3]</w:t>
      </w:r>
      <w:r>
        <w:rPr>
          <w:rFonts w:hint="eastAsia" w:ascii="宋体" w:hAnsi="宋体"/>
          <w:kern w:val="2"/>
          <w:sz w:val="18"/>
          <w:szCs w:val="18"/>
        </w:rPr>
        <w:t>，虽平均薪资也在逐年递增，06-18年近乎翻了三番，但是显而易见行业竞争也会越来越激烈。下面将细化比较不同城市、岗位、方向的薪资。</w:t>
      </w:r>
    </w:p>
    <w:p>
      <w:pPr>
        <w:pStyle w:val="23"/>
        <w:numPr>
          <w:ilvl w:val="1"/>
          <w:numId w:val="1"/>
        </w:numPr>
        <w:ind w:left="119" w:hanging="119"/>
        <w:rPr>
          <w:rFonts w:ascii="宋体" w:hAnsi="宋体"/>
          <w:sz w:val="18"/>
          <w:szCs w:val="18"/>
        </w:rPr>
      </w:pPr>
      <w:r>
        <w:rPr>
          <w:rFonts w:hint="eastAsia" w:ascii="黑体" w:hAnsi="黑体" w:eastAsia="黑体"/>
          <w:sz w:val="18"/>
          <w:szCs w:val="18"/>
        </w:rPr>
        <w:t>不同城市薪资</w:t>
      </w:r>
    </w:p>
    <w:p>
      <w:pPr>
        <w:pStyle w:val="21"/>
        <w:spacing w:line="240" w:lineRule="auto"/>
        <w:ind w:left="0" w:firstLine="360" w:firstLineChars="0"/>
        <w:rPr>
          <w:rFonts w:ascii="宋体" w:hAnsi="宋体"/>
          <w:kern w:val="2"/>
          <w:sz w:val="18"/>
          <w:szCs w:val="18"/>
        </w:rPr>
      </w:pPr>
    </w:p>
    <w:p>
      <w:pPr>
        <w:pStyle w:val="21"/>
        <w:spacing w:line="240" w:lineRule="auto"/>
        <w:ind w:left="0" w:firstLine="360" w:firstLineChars="0"/>
        <w:jc w:val="center"/>
        <w:rPr>
          <w:rFonts w:ascii="宋体" w:hAnsi="宋体" w:cs="宋体"/>
          <w:sz w:val="24"/>
          <w:szCs w:val="24"/>
        </w:rPr>
      </w:pPr>
      <w:r>
        <w:rPr>
          <w:rFonts w:ascii="宋体" w:hAnsi="宋体" w:cs="宋体"/>
          <w:sz w:val="24"/>
          <w:szCs w:val="24"/>
        </w:rPr>
        <w:drawing>
          <wp:inline distT="0" distB="0" distL="114300" distR="114300">
            <wp:extent cx="3093085" cy="2039620"/>
            <wp:effectExtent l="0" t="0" r="635" b="254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10"/>
                    <a:stretch>
                      <a:fillRect/>
                    </a:stretch>
                  </pic:blipFill>
                  <pic:spPr>
                    <a:xfrm>
                      <a:off x="0" y="0"/>
                      <a:ext cx="3093085" cy="2039620"/>
                    </a:xfrm>
                    <a:prstGeom prst="rect">
                      <a:avLst/>
                    </a:prstGeom>
                    <a:noFill/>
                    <a:ln w="9525">
                      <a:noFill/>
                    </a:ln>
                  </pic:spPr>
                </pic:pic>
              </a:graphicData>
            </a:graphic>
          </wp:inline>
        </w:drawing>
      </w:r>
    </w:p>
    <w:p>
      <w:pPr>
        <w:pStyle w:val="3"/>
        <w:spacing w:after="0" w:line="240" w:lineRule="atLeast"/>
        <w:jc w:val="center"/>
        <w:rPr>
          <w:rFonts w:ascii="宋体" w:hAnsi="宋体"/>
          <w:sz w:val="15"/>
          <w:szCs w:val="15"/>
        </w:rPr>
      </w:pPr>
      <w:r>
        <w:rPr>
          <w:rFonts w:hint="eastAsia" w:ascii="宋体" w:hAnsi="宋体"/>
          <w:sz w:val="15"/>
          <w:szCs w:val="15"/>
        </w:rPr>
        <w:t>图2   互联网行业不同城市工资供需比较</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不同城市的工资自然存在差异，但只比较薪资却不提供消费水平无疑会使说服力大大降低（见图二s）。</w:t>
      </w:r>
      <w:r>
        <w:rPr>
          <w:rFonts w:ascii="宋体" w:hAnsi="宋体"/>
          <w:kern w:val="2"/>
          <w:sz w:val="18"/>
          <w:szCs w:val="18"/>
        </w:rPr>
        <w:t>北上广深是互联网的绝对A档，占据了三分之二的职位，数量工资均排名第一，但房价高昂，落户困难。杭州由于阿里的加持，薪资当仁不让。而其他城市，如天津，苏州等地，</w:t>
      </w:r>
      <w:r>
        <w:rPr>
          <w:rFonts w:hint="eastAsia" w:ascii="宋体" w:hAnsi="宋体"/>
          <w:kern w:val="2"/>
          <w:sz w:val="18"/>
          <w:szCs w:val="18"/>
        </w:rPr>
        <w:t>与它们相差甚多</w:t>
      </w:r>
      <w:r>
        <w:rPr>
          <w:rFonts w:ascii="宋体" w:hAnsi="宋体"/>
          <w:kern w:val="2"/>
          <w:sz w:val="18"/>
          <w:szCs w:val="18"/>
        </w:rPr>
        <w:t>。工资不像房价有那么大的区别，北上广深的每平米均价5万左右，而杭州均价只有2万。所以不少毕业</w:t>
      </w:r>
      <w:r>
        <w:rPr>
          <w:rFonts w:hint="eastAsia" w:ascii="宋体" w:hAnsi="宋体"/>
          <w:kern w:val="2"/>
          <w:sz w:val="18"/>
          <w:szCs w:val="18"/>
        </w:rPr>
        <w:t>生</w:t>
      </w:r>
      <w:r>
        <w:rPr>
          <w:rFonts w:ascii="宋体" w:hAnsi="宋体"/>
          <w:kern w:val="2"/>
          <w:sz w:val="18"/>
          <w:szCs w:val="18"/>
        </w:rPr>
        <w:t>选择去杭州，成都和武汉等地发展。</w:t>
      </w:r>
      <w:r>
        <w:rPr>
          <w:rFonts w:hint="eastAsia" w:ascii="宋体" w:hAnsi="宋体"/>
          <w:kern w:val="2"/>
          <w:sz w:val="18"/>
          <w:szCs w:val="18"/>
        </w:rPr>
        <w:t>由此可见，薪资并不是衡量生活水平的唯一标准。</w:t>
      </w:r>
    </w:p>
    <w:p>
      <w:pPr>
        <w:pStyle w:val="23"/>
        <w:numPr>
          <w:ilvl w:val="1"/>
          <w:numId w:val="1"/>
        </w:numPr>
        <w:ind w:left="119" w:hanging="119"/>
        <w:rPr>
          <w:rFonts w:ascii="宋体" w:hAnsi="宋体"/>
          <w:kern w:val="2"/>
          <w:sz w:val="18"/>
          <w:szCs w:val="18"/>
        </w:rPr>
      </w:pPr>
      <w:r>
        <w:rPr>
          <w:rFonts w:hint="eastAsia" w:ascii="黑体" w:hAnsi="黑体" w:eastAsia="黑体"/>
          <w:sz w:val="18"/>
          <w:szCs w:val="18"/>
        </w:rPr>
        <w:t>不同职位薪资</w:t>
      </w:r>
    </w:p>
    <w:p>
      <w:pPr>
        <w:pStyle w:val="21"/>
        <w:spacing w:line="240" w:lineRule="auto"/>
        <w:ind w:left="0" w:firstLine="360" w:firstLineChars="0"/>
        <w:rPr>
          <w:rFonts w:ascii="宋体" w:hAnsi="宋体"/>
          <w:kern w:val="2"/>
          <w:sz w:val="18"/>
          <w:szCs w:val="18"/>
        </w:rPr>
      </w:pPr>
    </w:p>
    <w:p>
      <w:pPr>
        <w:jc w:val="center"/>
        <w:rPr>
          <w:rFonts w:ascii="宋体" w:hAnsi="宋体" w:eastAsia="宋体" w:cs="宋体"/>
          <w:sz w:val="24"/>
          <w:szCs w:val="24"/>
          <w:lang w:bidi="ar"/>
        </w:rPr>
      </w:pPr>
      <w:r>
        <w:rPr>
          <w:rFonts w:ascii="宋体" w:hAnsi="宋体" w:eastAsia="宋体" w:cs="宋体"/>
          <w:sz w:val="24"/>
          <w:szCs w:val="24"/>
          <w:lang w:bidi="ar"/>
        </w:rPr>
        <w:drawing>
          <wp:inline distT="0" distB="0" distL="114300" distR="114300">
            <wp:extent cx="3721735" cy="2378710"/>
            <wp:effectExtent l="0" t="0" r="12065" b="1397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1"/>
                    <a:stretch>
                      <a:fillRect/>
                    </a:stretch>
                  </pic:blipFill>
                  <pic:spPr>
                    <a:xfrm>
                      <a:off x="0" y="0"/>
                      <a:ext cx="3721735" cy="2378710"/>
                    </a:xfrm>
                    <a:prstGeom prst="rect">
                      <a:avLst/>
                    </a:prstGeom>
                    <a:noFill/>
                    <a:ln w="9525">
                      <a:noFill/>
                    </a:ln>
                  </pic:spPr>
                </pic:pic>
              </a:graphicData>
            </a:graphic>
          </wp:inline>
        </w:drawing>
      </w:r>
    </w:p>
    <w:p>
      <w:pPr>
        <w:pStyle w:val="3"/>
        <w:spacing w:after="0" w:line="240" w:lineRule="atLeast"/>
        <w:jc w:val="center"/>
        <w:rPr>
          <w:rFonts w:ascii="宋体" w:hAnsi="宋体"/>
          <w:sz w:val="15"/>
          <w:szCs w:val="15"/>
        </w:rPr>
      </w:pPr>
      <w:r>
        <w:rPr>
          <w:rFonts w:hint="eastAsia" w:ascii="宋体" w:hAnsi="宋体"/>
          <w:sz w:val="15"/>
          <w:szCs w:val="15"/>
        </w:rPr>
        <w:t>图3   互联网行业不同职位需求量和工资的比较</w:t>
      </w:r>
    </w:p>
    <w:p>
      <w:pPr>
        <w:jc w:val="center"/>
        <w:rPr>
          <w:rFonts w:ascii="宋体" w:hAnsi="宋体" w:eastAsia="宋体" w:cs="宋体"/>
          <w:sz w:val="24"/>
          <w:szCs w:val="24"/>
          <w:lang w:bidi="ar"/>
        </w:rPr>
      </w:pP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职位也是影响薪资的重要因素。以工资的高低排列依次为移动开发、产品经理、后端开发、前端开发、测试、视觉设计、运营、市场营销、销售和编辑（见图三）。从整体来看，技术要求越高的岗位薪资一般也越高。因此，努力提高专业能力应是所有从业人员努力的目标。</w:t>
      </w:r>
    </w:p>
    <w:p>
      <w:pPr>
        <w:pStyle w:val="23"/>
        <w:numPr>
          <w:ilvl w:val="1"/>
          <w:numId w:val="1"/>
        </w:numPr>
        <w:ind w:left="119" w:hanging="119"/>
        <w:rPr>
          <w:rFonts w:ascii="宋体" w:hAnsi="宋体"/>
          <w:kern w:val="2"/>
          <w:sz w:val="18"/>
          <w:szCs w:val="18"/>
        </w:rPr>
      </w:pPr>
      <w:r>
        <w:rPr>
          <w:rFonts w:hint="eastAsia" w:ascii="黑体" w:hAnsi="黑体" w:eastAsia="黑体"/>
          <w:sz w:val="18"/>
          <w:szCs w:val="18"/>
        </w:rPr>
        <w:t>不同方向薪资</w:t>
      </w:r>
    </w:p>
    <w:p>
      <w:pPr>
        <w:jc w:val="center"/>
        <w:rPr>
          <w:rFonts w:ascii="宋体" w:hAnsi="宋体" w:eastAsia="宋体" w:cs="宋体"/>
          <w:sz w:val="24"/>
          <w:szCs w:val="24"/>
          <w:lang w:bidi="ar"/>
        </w:rPr>
      </w:pPr>
      <w:r>
        <w:rPr>
          <w:rFonts w:ascii="宋体" w:hAnsi="宋体" w:eastAsia="宋体" w:cs="宋体"/>
          <w:sz w:val="24"/>
          <w:szCs w:val="24"/>
          <w:lang w:bidi="ar"/>
        </w:rPr>
        <w:drawing>
          <wp:inline distT="0" distB="0" distL="114300" distR="114300">
            <wp:extent cx="4032885" cy="2608580"/>
            <wp:effectExtent l="0" t="0" r="5715" b="12700"/>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2"/>
                    <a:stretch>
                      <a:fillRect/>
                    </a:stretch>
                  </pic:blipFill>
                  <pic:spPr>
                    <a:xfrm>
                      <a:off x="0" y="0"/>
                      <a:ext cx="4032885" cy="2608580"/>
                    </a:xfrm>
                    <a:prstGeom prst="rect">
                      <a:avLst/>
                    </a:prstGeom>
                    <a:noFill/>
                    <a:ln w="9525">
                      <a:noFill/>
                    </a:ln>
                  </pic:spPr>
                </pic:pic>
              </a:graphicData>
            </a:graphic>
          </wp:inline>
        </w:drawing>
      </w:r>
    </w:p>
    <w:p>
      <w:pPr>
        <w:pStyle w:val="3"/>
        <w:spacing w:after="0" w:line="240" w:lineRule="atLeast"/>
        <w:jc w:val="center"/>
        <w:rPr>
          <w:rFonts w:ascii="宋体" w:hAnsi="宋体"/>
          <w:sz w:val="15"/>
          <w:szCs w:val="15"/>
        </w:rPr>
      </w:pPr>
      <w:r>
        <w:rPr>
          <w:rFonts w:hint="eastAsia" w:ascii="宋体" w:hAnsi="宋体"/>
          <w:sz w:val="15"/>
          <w:szCs w:val="15"/>
        </w:rPr>
        <w:t>图4   互联网行业最热前二十方向的热度比较</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金融方面的互联网金融和电子商务都一马当先（见图四）。但论增长率，企业服务和医疗的公司增长速度最高，电子商务增速明显放缓。各个细分行业薪资差不太多，信息安全，金融，数据服务，游戏和硬件，成为薪资排名的top5。选择不同的行业将决定你发展前景，应着眼于发展趋势而不只是盯着现有规模。</w:t>
      </w:r>
    </w:p>
    <w:p>
      <w:pPr>
        <w:pStyle w:val="21"/>
        <w:spacing w:line="240" w:lineRule="auto"/>
        <w:ind w:left="0" w:firstLine="0" w:firstLineChars="0"/>
        <w:rPr>
          <w:rFonts w:ascii="宋体" w:hAnsi="宋体"/>
          <w:kern w:val="2"/>
          <w:sz w:val="18"/>
          <w:szCs w:val="18"/>
        </w:rPr>
      </w:pPr>
    </w:p>
    <w:p>
      <w:pPr>
        <w:pStyle w:val="2"/>
        <w:numPr>
          <w:ilvl w:val="0"/>
          <w:numId w:val="1"/>
        </w:numPr>
        <w:rPr>
          <w:rFonts w:ascii="黑体" w:hAnsi="黑体" w:eastAsia="黑体"/>
          <w:szCs w:val="21"/>
        </w:rPr>
      </w:pPr>
      <w:r>
        <w:rPr>
          <w:rFonts w:hint="eastAsia" w:ascii="黑体" w:hAnsi="黑体" w:eastAsia="黑体"/>
          <w:szCs w:val="21"/>
        </w:rPr>
        <w:t>分析结果</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互联网行业整体薪资水平相较于其他行业有很大优势。但具体而言，不同城市、职位和方向仍是薪资很大的影响因素，从数据来看，一线城市薪资较高但消费水平相应也较高，而二线城市可能薪资相较于消费水平更加有吸引力。在职位方面，越是技术要求高的职位整体薪资水平就更高。不同的行业薪资水平不同但发展前景的优先级应高于现有规模。</w:t>
      </w:r>
    </w:p>
    <w:p>
      <w:pPr>
        <w:pStyle w:val="2"/>
        <w:rPr>
          <w:rFonts w:ascii="黑体" w:hAnsi="黑体" w:eastAsia="黑体"/>
          <w:szCs w:val="21"/>
        </w:rPr>
      </w:pPr>
    </w:p>
    <w:p>
      <w:pPr>
        <w:pStyle w:val="2"/>
        <w:numPr>
          <w:ilvl w:val="0"/>
          <w:numId w:val="1"/>
        </w:numPr>
        <w:rPr>
          <w:rFonts w:ascii="黑体" w:hAnsi="黑体" w:eastAsia="黑体"/>
          <w:szCs w:val="21"/>
        </w:rPr>
      </w:pPr>
      <w:r>
        <w:rPr>
          <w:rFonts w:hint="eastAsia" w:ascii="黑体" w:hAnsi="黑体" w:eastAsia="黑体"/>
          <w:szCs w:val="21"/>
        </w:rPr>
        <w:t>分析方法</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首先将互联网行业整体薪资水平与其他行业进行对比，总结出互联网行业发展的趋势。然后细化到不同城市、不同职位和不同行业，比较其薪资或者是热度，给不同从业者一些参考，最后进行总结。</w:t>
      </w:r>
    </w:p>
    <w:p>
      <w:pPr>
        <w:pStyle w:val="21"/>
        <w:spacing w:line="240" w:lineRule="auto"/>
        <w:ind w:left="0" w:firstLine="360" w:firstLineChars="0"/>
        <w:rPr>
          <w:rFonts w:ascii="宋体" w:hAnsi="宋体"/>
          <w:kern w:val="2"/>
          <w:sz w:val="18"/>
          <w:szCs w:val="18"/>
        </w:rPr>
      </w:pPr>
    </w:p>
    <w:p>
      <w:pPr>
        <w:pStyle w:val="2"/>
        <w:numPr>
          <w:ilvl w:val="0"/>
          <w:numId w:val="1"/>
        </w:numPr>
        <w:rPr>
          <w:rFonts w:ascii="黑体" w:hAnsi="黑体" w:eastAsia="黑体"/>
          <w:szCs w:val="21"/>
        </w:rPr>
      </w:pPr>
      <w:r>
        <w:rPr>
          <w:rFonts w:hint="eastAsia" w:ascii="黑体" w:hAnsi="黑体" w:eastAsia="黑体"/>
          <w:szCs w:val="21"/>
        </w:rPr>
        <w:t>结论</w:t>
      </w:r>
    </w:p>
    <w:p>
      <w:pPr>
        <w:pStyle w:val="21"/>
        <w:spacing w:line="240" w:lineRule="auto"/>
        <w:ind w:left="0" w:firstLine="360" w:firstLineChars="0"/>
        <w:rPr>
          <w:rFonts w:ascii="宋体" w:hAnsi="宋体"/>
          <w:kern w:val="2"/>
          <w:sz w:val="18"/>
          <w:szCs w:val="18"/>
        </w:rPr>
      </w:pPr>
      <w:r>
        <w:rPr>
          <w:rFonts w:hint="eastAsia" w:ascii="宋体" w:hAnsi="宋体"/>
          <w:kern w:val="2"/>
          <w:sz w:val="18"/>
          <w:szCs w:val="18"/>
        </w:rPr>
        <w:t>作为近年来就业形势最好的行业之一，互联网行业已经成为我国提供新增就业机会的主要力量，并吸引了 各行各业的优秀人才跨界发展。[2]和其他传统服务业或实体产业的跳槽意愿相比，互联网行业的期望求职者并非仅仅来自于行业内部。在宏观经济形势下趋近平稳的大背景下，互联网行业广阔的发展前景、优厚的福利待遇、人性化的组织管理模式等鲜明特点，吸引了来自各行各业的优秀人才。未来随着我国经济新动能的不断发展壮大，以及“互联网 +”与各行各业的深度融合，IT互联网行业的人才虹吸效应或将会进一步凸显。从业者不应只着眼于眼前薪资，全力提升自身技术能力、提高自我竞争力、把握行业机会，才是成功之道。</w:t>
      </w:r>
    </w:p>
    <w:p>
      <w:pPr>
        <w:pStyle w:val="21"/>
        <w:spacing w:line="240" w:lineRule="auto"/>
        <w:ind w:left="0" w:firstLine="360" w:firstLineChars="0"/>
        <w:rPr>
          <w:rFonts w:ascii="宋体" w:hAnsi="宋体"/>
          <w:kern w:val="2"/>
          <w:sz w:val="18"/>
          <w:szCs w:val="18"/>
        </w:rPr>
      </w:pPr>
    </w:p>
    <w:p>
      <w:pPr>
        <w:pStyle w:val="21"/>
        <w:spacing w:line="240" w:lineRule="auto"/>
        <w:ind w:left="0" w:firstLine="0" w:firstLineChars="0"/>
        <w:rPr>
          <w:b/>
          <w:color w:val="FF0000"/>
          <w:sz w:val="18"/>
          <w:szCs w:val="18"/>
        </w:rPr>
      </w:pPr>
    </w:p>
    <w:p>
      <w:pPr>
        <w:pStyle w:val="21"/>
        <w:spacing w:line="240" w:lineRule="auto"/>
        <w:ind w:left="0" w:firstLine="0" w:firstLineChars="0"/>
        <w:rPr>
          <w:b/>
          <w:color w:val="FF0000"/>
          <w:sz w:val="18"/>
          <w:szCs w:val="18"/>
        </w:rPr>
      </w:pPr>
    </w:p>
    <w:p>
      <w:pPr>
        <w:pStyle w:val="21"/>
        <w:spacing w:line="240" w:lineRule="auto"/>
        <w:ind w:left="0" w:firstLine="0" w:firstLineChars="0"/>
        <w:rPr>
          <w:b/>
          <w:color w:val="FF0000"/>
          <w:sz w:val="18"/>
          <w:szCs w:val="18"/>
        </w:rPr>
      </w:pPr>
      <w:bookmarkStart w:id="0" w:name="_GoBack"/>
      <w:bookmarkEnd w:id="0"/>
    </w:p>
    <w:p>
      <w:pPr>
        <w:pStyle w:val="21"/>
        <w:spacing w:line="240" w:lineRule="auto"/>
        <w:ind w:left="0" w:firstLine="0" w:firstLineChars="0"/>
        <w:rPr>
          <w:b/>
          <w:color w:val="FF0000"/>
          <w:sz w:val="18"/>
          <w:szCs w:val="18"/>
        </w:rPr>
      </w:pPr>
    </w:p>
    <w:p>
      <w:pPr>
        <w:pStyle w:val="21"/>
        <w:ind w:left="333" w:leftChars="34" w:firstLineChars="0"/>
        <w:jc w:val="left"/>
        <w:rPr>
          <w:rFonts w:hAnsi="宋体"/>
          <w:b/>
          <w:sz w:val="18"/>
          <w:szCs w:val="18"/>
        </w:rPr>
      </w:pPr>
      <w:r>
        <w:rPr>
          <w:rFonts w:hint="eastAsia" w:hAnsi="宋体"/>
          <w:b/>
          <w:sz w:val="18"/>
          <w:szCs w:val="18"/>
        </w:rPr>
        <w:t>参考文献</w:t>
      </w:r>
    </w:p>
    <w:p>
      <w:pPr>
        <w:pStyle w:val="21"/>
        <w:ind w:left="333" w:leftChars="34" w:firstLineChars="0"/>
        <w:jc w:val="left"/>
        <w:rPr>
          <w:rFonts w:hAnsi="宋体"/>
          <w:b/>
          <w:sz w:val="18"/>
          <w:szCs w:val="18"/>
        </w:rPr>
      </w:pPr>
    </w:p>
    <w:p>
      <w:pPr>
        <w:numPr>
          <w:ilvl w:val="0"/>
          <w:numId w:val="2"/>
        </w:numPr>
        <w:jc w:val="both"/>
        <w:rPr>
          <w:rFonts w:ascii="Times New Roman" w:hAnsi="Times New Roman" w:eastAsia="宋体"/>
          <w:sz w:val="18"/>
          <w:szCs w:val="18"/>
        </w:rPr>
      </w:pPr>
      <w:r>
        <w:rPr>
          <w:rFonts w:hint="eastAsia" w:ascii="Times New Roman" w:hAnsi="Times New Roman" w:eastAsia="宋体"/>
          <w:sz w:val="18"/>
          <w:szCs w:val="18"/>
        </w:rPr>
        <w:t>郭丽清, 蓝康伟, 朱思霖,等. 基于大数据的互联网行业人才薪资影响因素分析[J]. 计算机时代, 2020, No.332(02):15-18+23.</w:t>
      </w:r>
    </w:p>
    <w:p>
      <w:pPr>
        <w:numPr>
          <w:ilvl w:val="0"/>
          <w:numId w:val="2"/>
        </w:numPr>
        <w:jc w:val="both"/>
        <w:rPr>
          <w:rFonts w:ascii="Times New Roman" w:hAnsi="Times New Roman" w:eastAsia="宋体"/>
          <w:sz w:val="18"/>
          <w:szCs w:val="18"/>
        </w:rPr>
      </w:pPr>
      <w:r>
        <w:rPr>
          <w:rFonts w:hint="eastAsia" w:ascii="Times New Roman" w:hAnsi="Times New Roman" w:eastAsia="宋体"/>
          <w:sz w:val="18"/>
          <w:szCs w:val="18"/>
        </w:rPr>
        <w:t>杨淇. 2016年互联网行业用工薪酬报告[J]. 职业, 2017, 01(No.313):49-50.</w:t>
      </w:r>
    </w:p>
    <w:p>
      <w:pPr>
        <w:numPr>
          <w:ilvl w:val="0"/>
          <w:numId w:val="2"/>
        </w:numPr>
        <w:jc w:val="left"/>
        <w:rPr>
          <w:rFonts w:ascii="Times New Roman" w:hAnsi="Times New Roman" w:eastAsia="宋体"/>
          <w:sz w:val="18"/>
          <w:szCs w:val="18"/>
        </w:rPr>
      </w:pPr>
      <w:r>
        <w:rPr>
          <w:rFonts w:hint="eastAsia" w:ascii="Times New Roman" w:hAnsi="Times New Roman" w:eastAsia="宋体"/>
          <w:sz w:val="18"/>
          <w:szCs w:val="18"/>
        </w:rPr>
        <w:t>国研网.信息产业年度数据[DB/OL]</w:t>
      </w:r>
      <w:r>
        <w:rPr>
          <w:rFonts w:hint="eastAsia" w:ascii="Times New Roman" w:hAnsi="Times New Roman" w:eastAsia="宋体"/>
          <w:sz w:val="18"/>
          <w:szCs w:val="18"/>
          <w:lang w:val="en-US" w:eastAsia="zh-CN"/>
        </w:rPr>
        <w:t>.(2021.4.7) [2021.4.7].</w:t>
      </w:r>
      <w:r>
        <w:fldChar w:fldCharType="begin"/>
      </w:r>
      <w:r>
        <w:instrText xml:space="preserve"> HYPERLINK "http://data.drcnet.com.cn/dataTable?id=72&amp;structureId=617" </w:instrText>
      </w:r>
      <w:r>
        <w:fldChar w:fldCharType="separate"/>
      </w:r>
      <w:r>
        <w:rPr>
          <w:rFonts w:hint="eastAsia" w:ascii="Times New Roman" w:hAnsi="Times New Roman" w:eastAsia="宋体"/>
          <w:sz w:val="18"/>
          <w:szCs w:val="18"/>
        </w:rPr>
        <w:t>http://data.drcnet.com.cn/dataTable?id=72&amp;structureId=617</w:t>
      </w:r>
      <w:r>
        <w:rPr>
          <w:rFonts w:hint="eastAsia" w:ascii="Times New Roman" w:hAnsi="Times New Roman" w:eastAsia="宋体"/>
          <w:sz w:val="18"/>
          <w:szCs w:val="18"/>
        </w:rPr>
        <w:fldChar w:fldCharType="end"/>
      </w:r>
    </w:p>
    <w:p>
      <w:pPr>
        <w:rPr>
          <w:rFonts w:ascii="宋体" w:hAnsi="宋体" w:eastAsia="宋体"/>
          <w:b/>
          <w:color w:val="FF0000"/>
          <w:sz w:val="21"/>
          <w:szCs w:val="21"/>
        </w:rPr>
      </w:pPr>
    </w:p>
    <w:sectPr>
      <w:headerReference r:id="rId7" w:type="even"/>
      <w:type w:val="continuous"/>
      <w:pgSz w:w="11906" w:h="16838"/>
      <w:pgMar w:top="1440" w:right="1800" w:bottom="1440" w:left="1800" w:header="708" w:footer="708"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rPr>
        <w:rFonts w:ascii="宋体" w:hAnsi="宋体"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0"/>
      <w:jc w:val="left"/>
      <w:rPr>
        <w:rFonts w:ascii="宋体" w:hAnsi="宋体" w:eastAsia="宋体"/>
        <w:sz w:val="15"/>
        <w:szCs w:val="15"/>
      </w:rPr>
    </w:pPr>
    <w:r>
      <w:rPr>
        <w:rFonts w:hint="eastAsia" w:ascii="宋体" w:hAnsi="宋体" w:eastAsia="宋体"/>
        <w:sz w:val="15"/>
        <w:szCs w:val="15"/>
      </w:rPr>
      <w:t xml:space="preserve">                                                                              </w:t>
    </w:r>
  </w:p>
  <w:p>
    <w:pPr>
      <w:pStyle w:val="6"/>
      <w:spacing w:after="0"/>
      <w:jc w:val="left"/>
      <w:rPr>
        <w:rFonts w:ascii="宋体" w:hAnsi="宋体" w:eastAsia="宋体"/>
        <w:sz w:val="15"/>
        <w:szCs w:val="15"/>
      </w:rPr>
    </w:pPr>
  </w:p>
  <w:p>
    <w:pPr>
      <w:pStyle w:val="6"/>
      <w:spacing w:after="0"/>
      <w:jc w:val="left"/>
      <w:rPr>
        <w:rFonts w:ascii="宋体" w:hAnsi="宋体" w:eastAsia="宋体"/>
        <w:sz w:val="15"/>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p>
  <w:p>
    <w:pPr>
      <w:pStyle w:val="6"/>
      <w:pBdr>
        <w:bottom w:val="single" w:color="auto" w:sz="6" w:space="0"/>
      </w:pBdr>
      <w:spacing w:after="0"/>
      <w:jc w:val="left"/>
      <w:rPr>
        <w:rFonts w:ascii="Times New Roman" w:hAnsi="Times New Roman" w:eastAsia="仿宋"/>
      </w:rPr>
    </w:pPr>
  </w:p>
  <w:p>
    <w:pPr>
      <w:pStyle w:val="6"/>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sz w:val="15"/>
        <w:szCs w:val="15"/>
      </w:rPr>
    </w:pPr>
    <w:r>
      <w:rPr>
        <w:rFonts w:hint="eastAsia" w:ascii="宋体" w:hAnsi="宋体" w:eastAsia="宋体"/>
        <w:sz w:val="15"/>
        <w:szCs w:val="15"/>
      </w:rPr>
      <w:t xml:space="preserve">                                                 </w:t>
    </w:r>
  </w:p>
  <w:p>
    <w:pPr>
      <w:pStyle w:val="6"/>
      <w:jc w:val="left"/>
      <w:rPr>
        <w:rFonts w:ascii="宋体" w:hAnsi="宋体" w:eastAsia="宋体"/>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8A35B78"/>
    <w:multiLevelType w:val="singleLevel"/>
    <w:tmpl w:val="58A35B7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evenAndOddHeaders w:val="1"/>
  <w:drawingGridHorizontalSpacing w:val="11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0380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0570"/>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14B04"/>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C0BE1"/>
    <w:rsid w:val="00DE25C1"/>
    <w:rsid w:val="00DF66AD"/>
    <w:rsid w:val="00DF6899"/>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95F1821"/>
    <w:rsid w:val="0B8160C8"/>
    <w:rsid w:val="15F264FE"/>
    <w:rsid w:val="1D98281D"/>
    <w:rsid w:val="241671C3"/>
    <w:rsid w:val="24903351"/>
    <w:rsid w:val="27D5172C"/>
    <w:rsid w:val="288C301B"/>
    <w:rsid w:val="29CD1879"/>
    <w:rsid w:val="2A136221"/>
    <w:rsid w:val="2BD30166"/>
    <w:rsid w:val="33621B91"/>
    <w:rsid w:val="38B75B73"/>
    <w:rsid w:val="3AC05A4F"/>
    <w:rsid w:val="3BFC2917"/>
    <w:rsid w:val="435B79EB"/>
    <w:rsid w:val="4A1E3323"/>
    <w:rsid w:val="4B27224E"/>
    <w:rsid w:val="4CA14097"/>
    <w:rsid w:val="52E34FE4"/>
    <w:rsid w:val="533B3115"/>
    <w:rsid w:val="60586B98"/>
    <w:rsid w:val="6C1E2F2E"/>
    <w:rsid w:val="6DBB7DE5"/>
    <w:rsid w:val="728975EE"/>
    <w:rsid w:val="77B462C0"/>
    <w:rsid w:val="7AE97DF9"/>
    <w:rsid w:val="7B5A0B42"/>
    <w:rsid w:val="7D23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qFormat/>
    <w:uiPriority w:val="0"/>
    <w:pPr>
      <w:widowControl w:val="0"/>
      <w:adjustRightInd/>
      <w:snapToGrid/>
      <w:spacing w:after="0"/>
    </w:pPr>
    <w:rPr>
      <w:rFonts w:ascii="Times New Roman" w:hAnsi="Times New Roman" w:eastAsia="宋体"/>
      <w:kern w:val="2"/>
      <w:sz w:val="21"/>
      <w:szCs w:val="24"/>
    </w:rPr>
  </w:style>
  <w:style w:type="paragraph" w:styleId="3">
    <w:name w:val="Body Text"/>
    <w:basedOn w:val="1"/>
    <w:link w:val="15"/>
    <w:qFormat/>
    <w:uiPriority w:val="0"/>
    <w:pPr>
      <w:widowControl w:val="0"/>
      <w:adjustRightInd/>
      <w:snapToGrid/>
      <w:spacing w:after="120"/>
      <w:jc w:val="both"/>
    </w:pPr>
    <w:rPr>
      <w:rFonts w:ascii="Times New Roman" w:hAnsi="Times New Roman" w:eastAsia="宋体"/>
      <w:kern w:val="2"/>
      <w:sz w:val="21"/>
      <w:szCs w:val="24"/>
    </w:rPr>
  </w:style>
  <w:style w:type="paragraph" w:styleId="4">
    <w:name w:val="Balloon Text"/>
    <w:basedOn w:val="1"/>
    <w:link w:val="14"/>
    <w:unhideWhenUsed/>
    <w:qFormat/>
    <w:uiPriority w:val="99"/>
    <w:pPr>
      <w:spacing w:after="0"/>
    </w:pPr>
    <w:rPr>
      <w:sz w:val="18"/>
      <w:szCs w:val="18"/>
    </w:rPr>
  </w:style>
  <w:style w:type="paragraph" w:styleId="5">
    <w:name w:val="footer"/>
    <w:basedOn w:val="1"/>
    <w:link w:val="18"/>
    <w:unhideWhenUsed/>
    <w:qFormat/>
    <w:uiPriority w:val="99"/>
    <w:pPr>
      <w:tabs>
        <w:tab w:val="center" w:pos="4153"/>
        <w:tab w:val="right" w:pos="8306"/>
      </w:tabs>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jc w:val="center"/>
    </w:pPr>
    <w:rPr>
      <w:sz w:val="18"/>
      <w:szCs w:val="18"/>
    </w:rPr>
  </w:style>
  <w:style w:type="paragraph" w:styleId="7">
    <w:name w:val="Normal (Web)"/>
    <w:basedOn w:val="1"/>
    <w:semiHidden/>
    <w:unhideWhenUsed/>
    <w:qFormat/>
    <w:uiPriority w:val="99"/>
    <w:pPr>
      <w:spacing w:beforeAutospacing="1" w:after="0" w:afterAutospacing="1"/>
    </w:pPr>
    <w:rPr>
      <w:sz w:val="24"/>
    </w:rPr>
  </w:style>
  <w:style w:type="paragraph" w:styleId="8">
    <w:name w:val="annotation subject"/>
    <w:basedOn w:val="2"/>
    <w:next w:val="2"/>
    <w:link w:val="16"/>
    <w:unhideWhenUsed/>
    <w:qFormat/>
    <w:uiPriority w:val="99"/>
    <w:pPr>
      <w:widowControl/>
      <w:adjustRightInd w:val="0"/>
      <w:snapToGrid w:val="0"/>
      <w:spacing w:after="200"/>
    </w:pPr>
    <w:rPr>
      <w:rFonts w:ascii="Tahoma" w:hAnsi="Tahoma" w:eastAsia="微软雅黑"/>
      <w:b/>
      <w:bCs/>
      <w:kern w:val="0"/>
      <w:sz w:val="22"/>
      <w:szCs w:val="22"/>
    </w:rPr>
  </w:style>
  <w:style w:type="character" w:styleId="11">
    <w:name w:val="Hyperlink"/>
    <w:basedOn w:val="10"/>
    <w:unhideWhenUsed/>
    <w:qFormat/>
    <w:uiPriority w:val="99"/>
    <w:rPr>
      <w:color w:val="0000FF"/>
      <w:u w:val="single"/>
    </w:rPr>
  </w:style>
  <w:style w:type="character" w:styleId="12">
    <w:name w:val="annotation reference"/>
    <w:basedOn w:val="10"/>
    <w:semiHidden/>
    <w:qFormat/>
    <w:uiPriority w:val="0"/>
    <w:rPr>
      <w:sz w:val="21"/>
      <w:szCs w:val="21"/>
    </w:rPr>
  </w:style>
  <w:style w:type="character" w:customStyle="1" w:styleId="13">
    <w:name w:val="_Style 11"/>
    <w:basedOn w:val="10"/>
    <w:qFormat/>
    <w:uiPriority w:val="21"/>
    <w:rPr>
      <w:b/>
      <w:bCs/>
      <w:i/>
      <w:iCs/>
      <w:color w:val="4F81BD"/>
    </w:rPr>
  </w:style>
  <w:style w:type="character" w:customStyle="1" w:styleId="14">
    <w:name w:val="批注框文本 字符"/>
    <w:basedOn w:val="10"/>
    <w:link w:val="4"/>
    <w:semiHidden/>
    <w:qFormat/>
    <w:uiPriority w:val="99"/>
    <w:rPr>
      <w:rFonts w:ascii="Tahoma" w:hAnsi="Tahoma"/>
      <w:sz w:val="18"/>
      <w:szCs w:val="18"/>
    </w:rPr>
  </w:style>
  <w:style w:type="character" w:customStyle="1" w:styleId="15">
    <w:name w:val="正文文本 字符"/>
    <w:basedOn w:val="10"/>
    <w:link w:val="3"/>
    <w:qFormat/>
    <w:uiPriority w:val="0"/>
    <w:rPr>
      <w:rFonts w:ascii="Times New Roman" w:hAnsi="Times New Roman" w:eastAsia="宋体" w:cs="Times New Roman"/>
      <w:kern w:val="2"/>
      <w:sz w:val="21"/>
      <w:szCs w:val="24"/>
    </w:rPr>
  </w:style>
  <w:style w:type="character" w:customStyle="1" w:styleId="16">
    <w:name w:val="批注主题 字符"/>
    <w:basedOn w:val="17"/>
    <w:link w:val="8"/>
    <w:semiHidden/>
    <w:qFormat/>
    <w:uiPriority w:val="99"/>
    <w:rPr>
      <w:rFonts w:ascii="Tahoma" w:hAnsi="Tahoma" w:eastAsia="微软雅黑" w:cs="Times New Roman"/>
      <w:b/>
      <w:bCs/>
      <w:kern w:val="2"/>
      <w:sz w:val="22"/>
      <w:szCs w:val="22"/>
    </w:rPr>
  </w:style>
  <w:style w:type="character" w:customStyle="1" w:styleId="17">
    <w:name w:val="批注文字 字符"/>
    <w:basedOn w:val="10"/>
    <w:link w:val="2"/>
    <w:semiHidden/>
    <w:qFormat/>
    <w:uiPriority w:val="0"/>
    <w:rPr>
      <w:rFonts w:ascii="Times New Roman" w:hAnsi="Times New Roman" w:eastAsia="宋体" w:cs="Times New Roman"/>
      <w:kern w:val="2"/>
      <w:sz w:val="21"/>
      <w:szCs w:val="24"/>
    </w:rPr>
  </w:style>
  <w:style w:type="character" w:customStyle="1" w:styleId="18">
    <w:name w:val="页脚 字符"/>
    <w:basedOn w:val="10"/>
    <w:link w:val="5"/>
    <w:qFormat/>
    <w:uiPriority w:val="99"/>
    <w:rPr>
      <w:rFonts w:ascii="Tahoma" w:hAnsi="Tahoma"/>
      <w:sz w:val="18"/>
      <w:szCs w:val="18"/>
    </w:rPr>
  </w:style>
  <w:style w:type="character" w:customStyle="1" w:styleId="19">
    <w:name w:val="页眉 字符"/>
    <w:basedOn w:val="10"/>
    <w:link w:val="6"/>
    <w:qFormat/>
    <w:uiPriority w:val="99"/>
    <w:rPr>
      <w:rFonts w:ascii="Tahoma" w:hAnsi="Tahoma"/>
      <w:sz w:val="18"/>
      <w:szCs w:val="18"/>
    </w:rPr>
  </w:style>
  <w:style w:type="paragraph" w:customStyle="1" w:styleId="20">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1">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sz w:val="15"/>
      <w:szCs w:val="20"/>
    </w:rPr>
  </w:style>
  <w:style w:type="paragraph" w:styleId="22">
    <w:name w:val="List Paragraph"/>
    <w:basedOn w:val="1"/>
    <w:unhideWhenUsed/>
    <w:qFormat/>
    <w:uiPriority w:val="34"/>
    <w:pPr>
      <w:ind w:firstLine="420" w:firstLineChars="200"/>
    </w:pPr>
  </w:style>
  <w:style w:type="paragraph" w:customStyle="1" w:styleId="23">
    <w:name w:val="Depart.Correspond"/>
    <w:basedOn w:val="1"/>
    <w:qFormat/>
    <w:uiPriority w:val="0"/>
    <w:pPr>
      <w:adjustRightInd/>
      <w:snapToGrid/>
      <w:spacing w:after="0"/>
      <w:ind w:left="66" w:hanging="66" w:hangingChars="66"/>
      <w:jc w:val="both"/>
    </w:pPr>
    <w:rPr>
      <w:rFonts w:ascii="Times New Roman" w:hAnsi="Times New Roman" w:eastAsia="宋体"/>
      <w:iCs/>
      <w:sz w:val="16"/>
      <w:szCs w:val="20"/>
    </w:rPr>
  </w:style>
  <w:style w:type="paragraph" w:customStyle="1" w:styleId="24">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2454</Words>
  <Characters>2918</Characters>
  <Lines>22</Lines>
  <Paragraphs>6</Paragraphs>
  <TotalTime>4</TotalTime>
  <ScaleCrop>false</ScaleCrop>
  <LinksUpToDate>false</LinksUpToDate>
  <CharactersWithSpaces>2983</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2019-08-08T01:39:00Z</dcterms:created>
  <dc:creator>Administrator</dc:creator>
  <cp:lastModifiedBy>WPS_1615444017</cp:lastModifiedBy>
  <cp:lastPrinted>2019-07-11T06:22:00Z</cp:lastPrinted>
  <dcterms:modified xsi:type="dcterms:W3CDTF">2021-04-08T06:48:10Z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C591FC72FAC9410881CBC20465CE02EF</vt:lpwstr>
  </property>
</Properties>
</file>