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2B3" w:rsidRPr="00194077" w:rsidRDefault="00F54011">
      <w:pPr>
        <w:rPr>
          <w:rFonts w:ascii="黑体" w:eastAsia="黑体" w:hAnsi="黑体"/>
          <w:sz w:val="32"/>
          <w:szCs w:val="32"/>
        </w:rPr>
      </w:pPr>
      <w:r w:rsidRPr="00194077">
        <w:rPr>
          <w:rFonts w:ascii="黑体" w:eastAsia="黑体" w:hAnsi="黑体" w:hint="eastAsia"/>
          <w:sz w:val="32"/>
          <w:szCs w:val="32"/>
        </w:rPr>
        <w:t>近10年</w:t>
      </w:r>
      <w:r w:rsidR="00D5219C" w:rsidRPr="00194077">
        <w:rPr>
          <w:rFonts w:ascii="黑体" w:eastAsia="黑体" w:hAnsi="黑体" w:hint="eastAsia"/>
          <w:sz w:val="32"/>
          <w:szCs w:val="32"/>
        </w:rPr>
        <w:t>软件</w:t>
      </w:r>
      <w:r w:rsidR="001C18E7" w:rsidRPr="00194077">
        <w:rPr>
          <w:rFonts w:ascii="黑体" w:eastAsia="黑体" w:hAnsi="黑体" w:hint="eastAsia"/>
          <w:sz w:val="32"/>
          <w:szCs w:val="32"/>
        </w:rPr>
        <w:t>行业薪酬调查报告</w:t>
      </w:r>
    </w:p>
    <w:p w:rsidR="00D97F60" w:rsidRPr="00194077" w:rsidRDefault="00D97F60">
      <w:pPr>
        <w:rPr>
          <w:rFonts w:ascii="宋体" w:eastAsia="宋体" w:hAnsi="宋体"/>
          <w:szCs w:val="21"/>
          <w:vertAlign w:val="superscript"/>
        </w:rPr>
      </w:pPr>
      <w:r w:rsidRPr="00194077">
        <w:rPr>
          <w:rFonts w:ascii="宋体" w:eastAsia="宋体" w:hAnsi="宋体" w:hint="eastAsia"/>
          <w:b/>
          <w:szCs w:val="21"/>
        </w:rPr>
        <w:t>作者</w:t>
      </w:r>
      <w:r w:rsidR="001C7C0C" w:rsidRPr="00194077">
        <w:rPr>
          <w:rFonts w:ascii="宋体" w:eastAsia="宋体" w:hAnsi="宋体" w:hint="eastAsia"/>
          <w:b/>
          <w:szCs w:val="21"/>
        </w:rPr>
        <w:t>贾雯琪</w:t>
      </w:r>
      <w:r w:rsidRPr="00194077">
        <w:rPr>
          <w:rFonts w:ascii="宋体" w:eastAsia="宋体" w:hAnsi="宋体" w:hint="eastAsia"/>
          <w:szCs w:val="21"/>
          <w:vertAlign w:val="superscript"/>
        </w:rPr>
        <w:t>1</w:t>
      </w:r>
    </w:p>
    <w:p w:rsidR="00D97F60" w:rsidRPr="00194077" w:rsidRDefault="00D97F60">
      <w:pPr>
        <w:rPr>
          <w:rFonts w:ascii="仿宋" w:eastAsia="仿宋" w:hAnsi="仿宋"/>
          <w:sz w:val="18"/>
          <w:szCs w:val="18"/>
        </w:rPr>
      </w:pPr>
      <w:r w:rsidRPr="00194077">
        <w:rPr>
          <w:rFonts w:ascii="仿宋" w:eastAsia="仿宋" w:hAnsi="仿宋" w:hint="eastAsia"/>
          <w:sz w:val="18"/>
          <w:szCs w:val="18"/>
        </w:rPr>
        <w:t xml:space="preserve">1 </w:t>
      </w:r>
      <w:r w:rsidR="001C7C0C" w:rsidRPr="00194077">
        <w:rPr>
          <w:rFonts w:ascii="仿宋" w:eastAsia="仿宋" w:hAnsi="仿宋" w:hint="eastAsia"/>
          <w:sz w:val="18"/>
          <w:szCs w:val="18"/>
        </w:rPr>
        <w:t>大连理工大学</w:t>
      </w:r>
      <w:r w:rsidRPr="00194077">
        <w:rPr>
          <w:rFonts w:ascii="仿宋" w:eastAsia="仿宋" w:hAnsi="仿宋" w:hint="eastAsia"/>
          <w:sz w:val="18"/>
          <w:szCs w:val="18"/>
        </w:rPr>
        <w:t xml:space="preserve"> </w:t>
      </w:r>
      <w:r w:rsidR="001C7C0C" w:rsidRPr="00194077">
        <w:rPr>
          <w:rFonts w:ascii="仿宋" w:eastAsia="仿宋" w:hAnsi="仿宋" w:hint="eastAsia"/>
          <w:sz w:val="18"/>
          <w:szCs w:val="18"/>
        </w:rPr>
        <w:t>辽宁省</w:t>
      </w:r>
      <w:r w:rsidRPr="00194077">
        <w:rPr>
          <w:rFonts w:ascii="仿宋" w:eastAsia="仿宋" w:hAnsi="仿宋" w:hint="eastAsia"/>
          <w:sz w:val="18"/>
          <w:szCs w:val="18"/>
        </w:rPr>
        <w:t xml:space="preserve"> </w:t>
      </w:r>
      <w:r w:rsidR="001C7C0C" w:rsidRPr="00194077">
        <w:rPr>
          <w:rFonts w:ascii="仿宋" w:eastAsia="仿宋" w:hAnsi="仿宋" w:hint="eastAsia"/>
          <w:sz w:val="18"/>
          <w:szCs w:val="18"/>
        </w:rPr>
        <w:t>大连市</w:t>
      </w:r>
      <w:r w:rsidRPr="00194077">
        <w:rPr>
          <w:rFonts w:ascii="仿宋" w:eastAsia="仿宋" w:hAnsi="仿宋" w:hint="eastAsia"/>
          <w:sz w:val="18"/>
          <w:szCs w:val="18"/>
        </w:rPr>
        <w:t xml:space="preserve"> </w:t>
      </w:r>
      <w:r w:rsidR="00225C8B" w:rsidRPr="00194077">
        <w:rPr>
          <w:rFonts w:ascii="仿宋" w:eastAsia="仿宋" w:hAnsi="仿宋" w:hint="eastAsia"/>
          <w:sz w:val="18"/>
          <w:szCs w:val="18"/>
        </w:rPr>
        <w:t>116000</w:t>
      </w:r>
    </w:p>
    <w:p w:rsidR="00225C8B" w:rsidRDefault="00225C8B" w:rsidP="006E0671">
      <w:pPr>
        <w:spacing w:beforeLines="50" w:afterLines="50" w:line="220" w:lineRule="atLeast"/>
        <w:rPr>
          <w:rFonts w:ascii="仿宋" w:eastAsia="仿宋" w:hAnsi="仿宋"/>
          <w:sz w:val="18"/>
          <w:szCs w:val="18"/>
        </w:rPr>
      </w:pPr>
      <w:r w:rsidRPr="00194077">
        <w:rPr>
          <w:rFonts w:ascii="仿宋" w:eastAsia="仿宋" w:hAnsi="仿宋" w:hint="eastAsia"/>
          <w:b/>
          <w:sz w:val="18"/>
          <w:szCs w:val="18"/>
        </w:rPr>
        <w:t>摘 要</w:t>
      </w:r>
      <w:r w:rsidR="00A07416">
        <w:rPr>
          <w:rFonts w:ascii="仿宋" w:eastAsia="仿宋" w:hAnsi="仿宋" w:hint="eastAsia"/>
          <w:sz w:val="18"/>
          <w:szCs w:val="18"/>
        </w:rPr>
        <w:t xml:space="preserve">  </w:t>
      </w:r>
      <w:r w:rsidR="00A07416">
        <w:rPr>
          <w:rFonts w:ascii="仿宋" w:eastAsia="仿宋" w:hAnsi="仿宋" w:cs="Arial"/>
          <w:color w:val="333333"/>
          <w:sz w:val="18"/>
          <w:szCs w:val="18"/>
          <w:shd w:val="clear" w:color="auto" w:fill="FFFFFF"/>
        </w:rPr>
        <w:t>软件</w:t>
      </w:r>
      <w:r w:rsidR="00A07416">
        <w:rPr>
          <w:rFonts w:ascii="仿宋" w:eastAsia="仿宋" w:hAnsi="仿宋" w:cs="Arial" w:hint="eastAsia"/>
          <w:color w:val="333333"/>
          <w:sz w:val="18"/>
          <w:szCs w:val="18"/>
          <w:shd w:val="clear" w:color="auto" w:fill="FFFFFF"/>
        </w:rPr>
        <w:t>行</w:t>
      </w:r>
      <w:r w:rsidR="00A07416" w:rsidRPr="00A07416">
        <w:rPr>
          <w:rFonts w:ascii="仿宋" w:eastAsia="仿宋" w:hAnsi="仿宋" w:cs="Arial"/>
          <w:color w:val="333333"/>
          <w:sz w:val="18"/>
          <w:szCs w:val="18"/>
          <w:shd w:val="clear" w:color="auto" w:fill="FFFFFF"/>
        </w:rPr>
        <w:t>业是指利用计算机、通信网络等技术对信息进行生产、收集、处理、加工、存储、运输、检索和利用，并提供信息服务的业务活动，是关系国民经济和社会发展全局的基础性、战略性、先导性产业</w:t>
      </w:r>
      <w:r w:rsidR="00A07416">
        <w:rPr>
          <w:rFonts w:ascii="仿宋" w:eastAsia="仿宋" w:hAnsi="仿宋" w:cs="Arial"/>
          <w:color w:val="333333"/>
          <w:sz w:val="18"/>
          <w:szCs w:val="18"/>
          <w:shd w:val="clear" w:color="auto" w:fill="FFFFFF"/>
        </w:rPr>
        <w:t>。</w:t>
      </w:r>
      <w:r w:rsidR="00A07416">
        <w:rPr>
          <w:rFonts w:ascii="仿宋" w:eastAsia="仿宋" w:hAnsi="仿宋" w:cs="Arial" w:hint="eastAsia"/>
          <w:color w:val="333333"/>
          <w:sz w:val="18"/>
          <w:szCs w:val="18"/>
          <w:shd w:val="clear" w:color="auto" w:fill="FFFFFF"/>
        </w:rPr>
        <w:t>当前国内的软件行业快速蓬勃发展，薪酬变化也是呈现其发展的重要指标。</w:t>
      </w:r>
      <w:r w:rsidRPr="00194077">
        <w:rPr>
          <w:rFonts w:ascii="仿宋" w:eastAsia="仿宋" w:hAnsi="仿宋" w:hint="eastAsia"/>
          <w:sz w:val="18"/>
          <w:szCs w:val="18"/>
        </w:rPr>
        <w:t xml:space="preserve"> </w:t>
      </w:r>
    </w:p>
    <w:p w:rsidR="00363AD7" w:rsidRPr="00194077" w:rsidRDefault="00363AD7" w:rsidP="006E0671">
      <w:pPr>
        <w:spacing w:beforeLines="50" w:afterLines="50" w:line="220" w:lineRule="atLeast"/>
        <w:rPr>
          <w:rFonts w:ascii="仿宋" w:eastAsia="仿宋" w:hAnsi="仿宋"/>
          <w:sz w:val="18"/>
          <w:szCs w:val="18"/>
        </w:rPr>
      </w:pPr>
      <w:r>
        <w:rPr>
          <w:rFonts w:ascii="宋体" w:eastAsia="宋体" w:hAnsi="宋体" w:cs="Times New Roman" w:hint="eastAsia"/>
          <w:b/>
          <w:sz w:val="18"/>
          <w:szCs w:val="18"/>
        </w:rPr>
        <w:t xml:space="preserve">关键词：  </w:t>
      </w:r>
      <w:r>
        <w:rPr>
          <w:rFonts w:ascii="宋体" w:eastAsia="宋体" w:hAnsi="宋体" w:hint="eastAsia"/>
          <w:sz w:val="18"/>
          <w:szCs w:val="18"/>
        </w:rPr>
        <w:t>软件；薪酬</w:t>
      </w:r>
      <w:r>
        <w:rPr>
          <w:rFonts w:ascii="宋体" w:eastAsia="宋体" w:hAnsi="宋体" w:cs="Times New Roman" w:hint="eastAsia"/>
          <w:sz w:val="18"/>
          <w:szCs w:val="18"/>
        </w:rPr>
        <w:t>；</w:t>
      </w:r>
      <w:r>
        <w:rPr>
          <w:rFonts w:ascii="宋体" w:eastAsia="宋体" w:hAnsi="宋体" w:hint="eastAsia"/>
          <w:sz w:val="18"/>
          <w:szCs w:val="18"/>
        </w:rPr>
        <w:t>人才</w:t>
      </w:r>
    </w:p>
    <w:p w:rsidR="00225C8B" w:rsidRPr="00194077" w:rsidRDefault="001C18E7" w:rsidP="00225C8B">
      <w:pPr>
        <w:pStyle w:val="a5"/>
        <w:numPr>
          <w:ilvl w:val="0"/>
          <w:numId w:val="1"/>
        </w:numPr>
      </w:pPr>
      <w:r w:rsidRPr="00194077">
        <w:rPr>
          <w:rFonts w:ascii="黑体" w:eastAsia="黑体" w:hAnsi="黑体" w:hint="eastAsia"/>
          <w:szCs w:val="21"/>
        </w:rPr>
        <w:t>引</w:t>
      </w:r>
      <w:r w:rsidR="00F54011" w:rsidRPr="00194077">
        <w:rPr>
          <w:rFonts w:ascii="黑体" w:eastAsia="黑体" w:hAnsi="黑体" w:hint="eastAsia"/>
          <w:szCs w:val="21"/>
        </w:rPr>
        <w:t xml:space="preserve">  </w:t>
      </w:r>
      <w:r w:rsidRPr="00194077">
        <w:rPr>
          <w:rFonts w:ascii="黑体" w:eastAsia="黑体" w:hAnsi="黑体" w:hint="eastAsia"/>
          <w:szCs w:val="21"/>
        </w:rPr>
        <w:t>言</w:t>
      </w:r>
    </w:p>
    <w:p w:rsidR="003349BA" w:rsidRPr="00194077" w:rsidRDefault="006E7FBA" w:rsidP="00F826A1">
      <w:pPr>
        <w:pStyle w:val="a5"/>
        <w:ind w:firstLine="360"/>
        <w:rPr>
          <w:rFonts w:asciiTheme="minorEastAsia" w:eastAsiaTheme="minorEastAsia" w:hAnsiTheme="minorEastAsia"/>
          <w:sz w:val="18"/>
          <w:szCs w:val="18"/>
        </w:rPr>
      </w:pPr>
      <w:r w:rsidRPr="00194077">
        <w:rPr>
          <w:rFonts w:asciiTheme="minorEastAsia" w:eastAsiaTheme="minorEastAsia" w:hAnsiTheme="minorEastAsia" w:hint="eastAsia"/>
          <w:sz w:val="18"/>
          <w:szCs w:val="18"/>
          <w:shd w:val="clear" w:color="auto" w:fill="FFFFFF"/>
        </w:rPr>
        <w:t>软件（中国大陆及香港用语，台湾称作软体，英文：Software）是</w:t>
      </w:r>
      <w:r w:rsidR="00363AD7">
        <w:rPr>
          <w:rFonts w:asciiTheme="minorEastAsia" w:eastAsiaTheme="minorEastAsia" w:hAnsiTheme="minorEastAsia" w:hint="eastAsia"/>
          <w:sz w:val="18"/>
          <w:szCs w:val="18"/>
          <w:shd w:val="clear" w:color="auto" w:fill="FFFFFF"/>
        </w:rPr>
        <w:t>一系列按照特定顺序组织的计算机数据和指令的集合。</w:t>
      </w:r>
      <w:r w:rsidRPr="00194077">
        <w:rPr>
          <w:rFonts w:asciiTheme="minorEastAsia" w:eastAsiaTheme="minorEastAsia" w:hAnsiTheme="minorEastAsia" w:hint="eastAsia"/>
          <w:sz w:val="18"/>
          <w:szCs w:val="18"/>
          <w:shd w:val="clear" w:color="auto" w:fill="FFFFFF"/>
        </w:rPr>
        <w:t>中国</w:t>
      </w:r>
      <w:r w:rsidR="00363AD7">
        <w:rPr>
          <w:rFonts w:asciiTheme="minorEastAsia" w:eastAsiaTheme="minorEastAsia" w:hAnsiTheme="minorEastAsia" w:hint="eastAsia"/>
          <w:sz w:val="18"/>
          <w:szCs w:val="18"/>
          <w:shd w:val="clear" w:color="auto" w:fill="FFFFFF"/>
        </w:rPr>
        <w:t>近年来</w:t>
      </w:r>
      <w:r w:rsidRPr="00194077">
        <w:rPr>
          <w:rFonts w:asciiTheme="minorEastAsia" w:eastAsiaTheme="minorEastAsia" w:hAnsiTheme="minorEastAsia" w:hint="eastAsia"/>
          <w:sz w:val="18"/>
          <w:szCs w:val="18"/>
          <w:shd w:val="clear" w:color="auto" w:fill="FFFFFF"/>
        </w:rPr>
        <w:t>经济与科技实力快速提升，软</w:t>
      </w:r>
      <w:r w:rsidR="00363AD7">
        <w:rPr>
          <w:rFonts w:asciiTheme="minorEastAsia" w:eastAsiaTheme="minorEastAsia" w:hAnsiTheme="minorEastAsia" w:hint="eastAsia"/>
          <w:sz w:val="18"/>
          <w:szCs w:val="18"/>
          <w:shd w:val="clear" w:color="auto" w:fill="FFFFFF"/>
        </w:rPr>
        <w:t>件产业也因此得到了普及和推广，在工业生产、日常生活方面的应用越来越多</w:t>
      </w:r>
      <w:r w:rsidRPr="00194077">
        <w:rPr>
          <w:rFonts w:asciiTheme="minorEastAsia" w:eastAsiaTheme="minorEastAsia" w:hAnsiTheme="minorEastAsia" w:hint="eastAsia"/>
          <w:sz w:val="18"/>
          <w:szCs w:val="18"/>
          <w:shd w:val="clear" w:color="auto" w:fill="FFFFFF"/>
        </w:rPr>
        <w:t>。特别是近10年来，我国软件和信息技术服务产业规模迅速扩大，技术水平显著提升，已发展成为战略新兴产业的重要组成部份。2017-2019年中国软件行业企业数量逐年增加，2019年中国软件行业共有企业40857个，较2018年增加了3081个；2020年1-10月年中国软件行业共有企业40187个，预计未来将继续保持增长。</w:t>
      </w:r>
      <w:r w:rsidR="00B943EA" w:rsidRPr="00194077">
        <w:rPr>
          <w:rFonts w:asciiTheme="minorEastAsia" w:eastAsiaTheme="minorEastAsia" w:hAnsiTheme="minorEastAsia" w:hint="eastAsia"/>
          <w:sz w:val="18"/>
          <w:szCs w:val="18"/>
          <w:shd w:val="clear" w:color="auto" w:fill="FFFFFF"/>
        </w:rPr>
        <w:t>同时近年来，中国软件业务收入持续增长，2019年中国软件业务收入达71768亿元，较2018年增加了9859亿元，同比增长率达15.92%，</w:t>
      </w:r>
      <w:r w:rsidR="00D5219C" w:rsidRPr="00194077">
        <w:rPr>
          <w:rFonts w:asciiTheme="minorEastAsia" w:eastAsiaTheme="minorEastAsia" w:hAnsiTheme="minorEastAsia" w:hint="eastAsia"/>
          <w:sz w:val="18"/>
          <w:szCs w:val="18"/>
          <w:shd w:val="clear" w:color="auto" w:fill="FFFFFF"/>
        </w:rPr>
        <w:t>2020年1-10月中国软件业务收入为65542亿元，同比增长11.7%</w:t>
      </w:r>
      <w:r w:rsidR="00B943EA" w:rsidRPr="00194077">
        <w:rPr>
          <w:rFonts w:asciiTheme="minorEastAsia" w:eastAsiaTheme="minorEastAsia" w:hAnsiTheme="minorEastAsia" w:hint="eastAsia"/>
          <w:sz w:val="18"/>
          <w:szCs w:val="18"/>
          <w:shd w:val="clear" w:color="auto" w:fill="FFFFFF"/>
        </w:rPr>
        <w:t>，已超2018年全年业务收入总额[1]</w:t>
      </w:r>
      <w:r w:rsidR="00D5219C" w:rsidRPr="00194077">
        <w:rPr>
          <w:rFonts w:asciiTheme="minorEastAsia" w:eastAsiaTheme="minorEastAsia" w:hAnsiTheme="minorEastAsia" w:hint="eastAsia"/>
          <w:sz w:val="18"/>
          <w:szCs w:val="18"/>
          <w:shd w:val="clear" w:color="auto" w:fill="FFFFFF"/>
        </w:rPr>
        <w:t>。</w:t>
      </w:r>
      <w:r w:rsidR="003349BA" w:rsidRPr="00194077">
        <w:rPr>
          <w:rFonts w:asciiTheme="minorEastAsia" w:eastAsiaTheme="minorEastAsia" w:hAnsiTheme="minorEastAsia" w:hint="eastAsia"/>
          <w:sz w:val="18"/>
          <w:szCs w:val="18"/>
        </w:rPr>
        <w:t>因此</w:t>
      </w:r>
      <w:r w:rsidR="00F56A0E" w:rsidRPr="00194077">
        <w:rPr>
          <w:rFonts w:asciiTheme="minorEastAsia" w:eastAsiaTheme="minorEastAsia" w:hAnsiTheme="minorEastAsia" w:cs="Arial"/>
          <w:sz w:val="18"/>
          <w:szCs w:val="18"/>
          <w:shd w:val="clear" w:color="auto" w:fill="FFFFFF"/>
        </w:rPr>
        <w:t>从事计算机、网络、通讯等信息领域的技术人才</w:t>
      </w:r>
      <w:r w:rsidR="003349BA" w:rsidRPr="00194077">
        <w:rPr>
          <w:rFonts w:asciiTheme="minorEastAsia" w:eastAsiaTheme="minorEastAsia" w:hAnsiTheme="minorEastAsia" w:hint="eastAsia"/>
          <w:sz w:val="18"/>
          <w:szCs w:val="18"/>
        </w:rPr>
        <w:t>也成为</w:t>
      </w:r>
      <w:r w:rsidR="00F56A0E" w:rsidRPr="00194077">
        <w:rPr>
          <w:rFonts w:asciiTheme="minorEastAsia" w:eastAsiaTheme="minorEastAsia" w:hAnsiTheme="minorEastAsia" w:hint="eastAsia"/>
          <w:sz w:val="18"/>
          <w:szCs w:val="18"/>
        </w:rPr>
        <w:t>各产业竞相争夺的资源，其中薪酬，即包括工资、补贴、津贴、养老保险、医疗保险以及其它各项福利的收入，成为吸引人才的主要手段</w:t>
      </w:r>
      <w:r w:rsidR="003349BA" w:rsidRPr="00194077">
        <w:rPr>
          <w:rFonts w:asciiTheme="minorEastAsia" w:eastAsiaTheme="minorEastAsia" w:hAnsiTheme="minorEastAsia" w:hint="eastAsia"/>
          <w:sz w:val="18"/>
          <w:szCs w:val="18"/>
        </w:rPr>
        <w:t>，</w:t>
      </w:r>
      <w:r w:rsidR="00F56A0E" w:rsidRPr="00194077">
        <w:rPr>
          <w:rFonts w:asciiTheme="minorEastAsia" w:eastAsiaTheme="minorEastAsia" w:hAnsiTheme="minorEastAsia" w:hint="eastAsia"/>
          <w:sz w:val="18"/>
          <w:szCs w:val="18"/>
        </w:rPr>
        <w:t>考虑到近10年来IT行业从收入到薪酬等各方面指标均有</w:t>
      </w:r>
      <w:r w:rsidR="00D5219C" w:rsidRPr="00194077">
        <w:rPr>
          <w:rFonts w:asciiTheme="minorEastAsia" w:eastAsiaTheme="minorEastAsia" w:hAnsiTheme="minorEastAsia" w:hint="eastAsia"/>
          <w:sz w:val="18"/>
          <w:szCs w:val="18"/>
        </w:rPr>
        <w:t>明显变化。</w:t>
      </w:r>
      <w:r w:rsidR="00F56A0E" w:rsidRPr="00194077">
        <w:rPr>
          <w:rFonts w:asciiTheme="minorEastAsia" w:eastAsiaTheme="minorEastAsia" w:hAnsiTheme="minorEastAsia" w:hint="eastAsia"/>
          <w:sz w:val="18"/>
          <w:szCs w:val="18"/>
        </w:rPr>
        <w:t>本文将</w:t>
      </w:r>
      <w:r w:rsidR="00D5219C" w:rsidRPr="00194077">
        <w:rPr>
          <w:rFonts w:asciiTheme="minorEastAsia" w:eastAsiaTheme="minorEastAsia" w:hAnsiTheme="minorEastAsia" w:hint="eastAsia"/>
          <w:sz w:val="18"/>
          <w:szCs w:val="18"/>
        </w:rPr>
        <w:t>收集2008年以来各数据库、统计机构、招聘网站及相关报告的数据</w:t>
      </w:r>
      <w:r w:rsidR="0004008F" w:rsidRPr="00194077">
        <w:rPr>
          <w:rFonts w:asciiTheme="minorEastAsia" w:eastAsiaTheme="minorEastAsia" w:hAnsiTheme="minorEastAsia" w:hint="eastAsia"/>
          <w:sz w:val="18"/>
          <w:szCs w:val="18"/>
        </w:rPr>
        <w:t>，</w:t>
      </w:r>
      <w:r w:rsidR="005A1983" w:rsidRPr="00194077">
        <w:rPr>
          <w:rFonts w:asciiTheme="minorEastAsia" w:eastAsiaTheme="minorEastAsia" w:hAnsiTheme="minorEastAsia" w:hint="eastAsia"/>
          <w:sz w:val="18"/>
          <w:szCs w:val="18"/>
        </w:rPr>
        <w:t>系统分析软件行业薪酬变化的</w:t>
      </w:r>
      <w:r w:rsidR="00D5219C" w:rsidRPr="00194077">
        <w:rPr>
          <w:rFonts w:asciiTheme="minorEastAsia" w:eastAsiaTheme="minorEastAsia" w:hAnsiTheme="minorEastAsia" w:hint="eastAsia"/>
          <w:sz w:val="18"/>
          <w:szCs w:val="18"/>
        </w:rPr>
        <w:t>基本特征</w:t>
      </w:r>
      <w:r w:rsidR="005A1983" w:rsidRPr="00194077">
        <w:rPr>
          <w:rFonts w:asciiTheme="minorEastAsia" w:eastAsiaTheme="minorEastAsia" w:hAnsiTheme="minorEastAsia" w:hint="eastAsia"/>
          <w:sz w:val="18"/>
          <w:szCs w:val="18"/>
        </w:rPr>
        <w:t>及背后的原因</w:t>
      </w:r>
      <w:r w:rsidR="00D5219C" w:rsidRPr="00194077">
        <w:rPr>
          <w:rFonts w:asciiTheme="minorEastAsia" w:eastAsiaTheme="minorEastAsia" w:hAnsiTheme="minorEastAsia" w:hint="eastAsia"/>
          <w:sz w:val="18"/>
          <w:szCs w:val="18"/>
        </w:rPr>
        <w:t>，</w:t>
      </w:r>
      <w:r w:rsidRPr="00194077">
        <w:rPr>
          <w:rFonts w:asciiTheme="minorEastAsia" w:eastAsiaTheme="minorEastAsia" w:hAnsiTheme="minorEastAsia" w:hint="eastAsia"/>
          <w:sz w:val="18"/>
          <w:szCs w:val="18"/>
        </w:rPr>
        <w:t>并基于此初步分析</w:t>
      </w:r>
      <w:r w:rsidR="005A1983" w:rsidRPr="00194077">
        <w:rPr>
          <w:rFonts w:asciiTheme="minorEastAsia" w:eastAsiaTheme="minorEastAsia" w:hAnsiTheme="minorEastAsia" w:hint="eastAsia"/>
          <w:sz w:val="18"/>
          <w:szCs w:val="18"/>
        </w:rPr>
        <w:t>软件行业市场的变化以及所反映出的中国整体市场在10年间的变化</w:t>
      </w:r>
      <w:r w:rsidRPr="00194077">
        <w:rPr>
          <w:rFonts w:asciiTheme="minorEastAsia" w:eastAsiaTheme="minorEastAsia" w:hAnsiTheme="minorEastAsia" w:hint="eastAsia"/>
          <w:sz w:val="18"/>
          <w:szCs w:val="18"/>
        </w:rPr>
        <w:t>，并对未来中国软件行业发展趋势做出预测。</w:t>
      </w:r>
    </w:p>
    <w:p w:rsidR="0004008F" w:rsidRPr="00194077" w:rsidRDefault="00755B44" w:rsidP="0004008F">
      <w:pPr>
        <w:pStyle w:val="a5"/>
        <w:numPr>
          <w:ilvl w:val="0"/>
          <w:numId w:val="1"/>
        </w:numPr>
        <w:rPr>
          <w:rFonts w:ascii="黑体" w:eastAsia="黑体" w:hAnsi="黑体"/>
        </w:rPr>
      </w:pPr>
      <w:r w:rsidRPr="00194077">
        <w:rPr>
          <w:rFonts w:ascii="黑体" w:eastAsia="黑体" w:hAnsi="黑体" w:hint="eastAsia"/>
        </w:rPr>
        <w:t>数据收集及</w:t>
      </w:r>
      <w:r w:rsidR="00E761AC" w:rsidRPr="00194077">
        <w:rPr>
          <w:rFonts w:ascii="黑体" w:eastAsia="黑体" w:hAnsi="黑体" w:hint="eastAsia"/>
        </w:rPr>
        <w:t>初步</w:t>
      </w:r>
      <w:r w:rsidRPr="00194077">
        <w:rPr>
          <w:rFonts w:ascii="黑体" w:eastAsia="黑体" w:hAnsi="黑体" w:hint="eastAsia"/>
        </w:rPr>
        <w:t>分析</w:t>
      </w:r>
    </w:p>
    <w:p w:rsidR="00755B44" w:rsidRPr="00194077" w:rsidRDefault="00F826A1" w:rsidP="00F826A1">
      <w:pPr>
        <w:pStyle w:val="a5"/>
        <w:ind w:firstLineChars="200" w:firstLine="360"/>
        <w:rPr>
          <w:rFonts w:asciiTheme="minorEastAsia" w:eastAsiaTheme="minorEastAsia" w:hAnsiTheme="minorEastAsia"/>
          <w:sz w:val="18"/>
          <w:szCs w:val="18"/>
        </w:rPr>
      </w:pPr>
      <w:r w:rsidRPr="00194077">
        <w:rPr>
          <w:rFonts w:asciiTheme="minorEastAsia" w:eastAsiaTheme="minorEastAsia" w:hAnsiTheme="minorEastAsia" w:hint="eastAsia"/>
          <w:sz w:val="18"/>
          <w:szCs w:val="18"/>
        </w:rPr>
        <w:t>本文收集国</w:t>
      </w:r>
      <w:proofErr w:type="gramStart"/>
      <w:r w:rsidRPr="00194077">
        <w:rPr>
          <w:rFonts w:asciiTheme="minorEastAsia" w:eastAsiaTheme="minorEastAsia" w:hAnsiTheme="minorEastAsia" w:hint="eastAsia"/>
          <w:sz w:val="18"/>
          <w:szCs w:val="18"/>
        </w:rPr>
        <w:t>研</w:t>
      </w:r>
      <w:proofErr w:type="gramEnd"/>
      <w:r w:rsidRPr="00194077">
        <w:rPr>
          <w:rFonts w:asciiTheme="minorEastAsia" w:eastAsiaTheme="minorEastAsia" w:hAnsiTheme="minorEastAsia" w:hint="eastAsia"/>
          <w:sz w:val="18"/>
          <w:szCs w:val="18"/>
        </w:rPr>
        <w:t>网2008年至2018年软件行业相关的数据进行研究，将中国境内各省区市、各类型企业、各软件园区</w:t>
      </w:r>
      <w:r w:rsidR="00013C6C" w:rsidRPr="00194077">
        <w:rPr>
          <w:rFonts w:asciiTheme="minorEastAsia" w:eastAsiaTheme="minorEastAsia" w:hAnsiTheme="minorEastAsia" w:hint="eastAsia"/>
          <w:sz w:val="18"/>
          <w:szCs w:val="18"/>
        </w:rPr>
        <w:t>在内的所有数据，将软件产品总收入、劳动者报酬作为分析指标，</w:t>
      </w:r>
      <w:r w:rsidR="00154B7B">
        <w:rPr>
          <w:rFonts w:asciiTheme="minorEastAsia" w:eastAsiaTheme="minorEastAsia" w:hAnsiTheme="minorEastAsia" w:hint="eastAsia"/>
          <w:sz w:val="18"/>
          <w:szCs w:val="18"/>
        </w:rPr>
        <w:t>列出每年数据，做出柱状图</w:t>
      </w:r>
      <w:r w:rsidR="00130DAC" w:rsidRPr="00194077">
        <w:rPr>
          <w:rFonts w:asciiTheme="minorEastAsia" w:eastAsiaTheme="minorEastAsia" w:hAnsiTheme="minorEastAsia" w:hint="eastAsia"/>
          <w:sz w:val="18"/>
          <w:szCs w:val="18"/>
        </w:rPr>
        <w:t>，</w:t>
      </w:r>
      <w:r w:rsidR="00013C6C" w:rsidRPr="00194077">
        <w:rPr>
          <w:rFonts w:asciiTheme="minorEastAsia" w:eastAsiaTheme="minorEastAsia" w:hAnsiTheme="minorEastAsia" w:hint="eastAsia"/>
          <w:sz w:val="18"/>
          <w:szCs w:val="18"/>
        </w:rPr>
        <w:t>进行详细分析。</w:t>
      </w:r>
    </w:p>
    <w:p w:rsidR="00642091" w:rsidRPr="00194077" w:rsidRDefault="00013C6C" w:rsidP="00642091">
      <w:pPr>
        <w:pStyle w:val="DepartCorrespond"/>
        <w:numPr>
          <w:ilvl w:val="1"/>
          <w:numId w:val="1"/>
        </w:numPr>
        <w:ind w:left="119" w:hanging="119"/>
        <w:rPr>
          <w:rFonts w:ascii="黑体" w:eastAsia="黑体" w:hAnsi="黑体"/>
          <w:sz w:val="18"/>
          <w:szCs w:val="18"/>
        </w:rPr>
      </w:pPr>
      <w:r w:rsidRPr="00194077">
        <w:rPr>
          <w:rFonts w:ascii="黑体" w:eastAsia="黑体" w:hAnsi="黑体" w:hint="eastAsia"/>
          <w:sz w:val="18"/>
          <w:szCs w:val="18"/>
        </w:rPr>
        <w:t>软件产品总收入</w:t>
      </w:r>
    </w:p>
    <w:p w:rsidR="00013C6C" w:rsidRPr="00194077" w:rsidRDefault="00642091" w:rsidP="00013C6C">
      <w:pPr>
        <w:pStyle w:val="DepartCorrespond"/>
        <w:ind w:left="420" w:firstLineChars="0" w:firstLine="0"/>
        <w:rPr>
          <w:rFonts w:ascii="黑体" w:eastAsia="黑体" w:hAnsi="黑体"/>
          <w:sz w:val="18"/>
          <w:szCs w:val="18"/>
        </w:rPr>
      </w:pPr>
      <w:r w:rsidRPr="00194077">
        <w:rPr>
          <w:rFonts w:ascii="黑体" w:eastAsia="黑体" w:hAnsi="黑体"/>
          <w:noProof/>
          <w:sz w:val="18"/>
          <w:szCs w:val="18"/>
        </w:rPr>
        <w:drawing>
          <wp:inline distT="0" distB="0" distL="0" distR="0">
            <wp:extent cx="5029200" cy="2400300"/>
            <wp:effectExtent l="19050" t="0" r="1905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42091" w:rsidRPr="006E0671" w:rsidRDefault="00642091" w:rsidP="00642091">
      <w:pPr>
        <w:pStyle w:val="DepartCorrespond"/>
        <w:ind w:left="119" w:firstLineChars="0" w:firstLine="0"/>
        <w:jc w:val="center"/>
        <w:rPr>
          <w:rFonts w:asciiTheme="minorEastAsia" w:eastAsiaTheme="minorEastAsia" w:hAnsiTheme="minorEastAsia"/>
          <w:sz w:val="18"/>
          <w:szCs w:val="18"/>
        </w:rPr>
      </w:pPr>
      <w:r w:rsidRPr="006E0671">
        <w:rPr>
          <w:rFonts w:asciiTheme="minorEastAsia" w:eastAsiaTheme="minorEastAsia" w:hAnsiTheme="minorEastAsia" w:hint="eastAsia"/>
          <w:sz w:val="18"/>
          <w:szCs w:val="18"/>
        </w:rPr>
        <w:t>图1 2008年至2018年中国软件产品收入</w:t>
      </w:r>
      <w:r w:rsidR="006E0828" w:rsidRPr="006E0671">
        <w:rPr>
          <w:rFonts w:asciiTheme="minorEastAsia" w:eastAsiaTheme="minorEastAsia" w:hAnsiTheme="minorEastAsia" w:hint="eastAsia"/>
          <w:sz w:val="18"/>
          <w:szCs w:val="18"/>
        </w:rPr>
        <w:t>[2]</w:t>
      </w:r>
    </w:p>
    <w:p w:rsidR="00642091" w:rsidRPr="00194077" w:rsidRDefault="00642091" w:rsidP="00642091">
      <w:pPr>
        <w:pStyle w:val="DepartCorrespond"/>
        <w:ind w:left="68" w:firstLineChars="0" w:hanging="68"/>
        <w:rPr>
          <w:rFonts w:asciiTheme="minorEastAsia" w:eastAsiaTheme="minorEastAsia" w:hAnsiTheme="minorEastAsia"/>
          <w:sz w:val="18"/>
          <w:szCs w:val="18"/>
        </w:rPr>
      </w:pPr>
      <w:r w:rsidRPr="00194077">
        <w:rPr>
          <w:rFonts w:ascii="黑体" w:eastAsia="黑体" w:hAnsi="黑体" w:hint="eastAsia"/>
          <w:sz w:val="18"/>
          <w:szCs w:val="18"/>
        </w:rPr>
        <w:tab/>
      </w:r>
      <w:r w:rsidRPr="00194077">
        <w:rPr>
          <w:rFonts w:ascii="黑体" w:eastAsia="黑体" w:hAnsi="黑体" w:hint="eastAsia"/>
          <w:sz w:val="18"/>
          <w:szCs w:val="18"/>
        </w:rPr>
        <w:tab/>
      </w:r>
      <w:r w:rsidRPr="00194077">
        <w:rPr>
          <w:rFonts w:asciiTheme="minorEastAsia" w:eastAsiaTheme="minorEastAsia" w:hAnsiTheme="minorEastAsia" w:hint="eastAsia"/>
          <w:sz w:val="18"/>
          <w:szCs w:val="18"/>
        </w:rPr>
        <w:t>中国软件行业从2008年至2018年，软件产品的收入基本呈线性增长的趋势</w:t>
      </w:r>
      <w:r w:rsidR="002A1F4B" w:rsidRPr="00194077">
        <w:rPr>
          <w:rFonts w:asciiTheme="minorEastAsia" w:eastAsiaTheme="minorEastAsia" w:hAnsiTheme="minorEastAsia" w:hint="eastAsia"/>
          <w:sz w:val="18"/>
          <w:szCs w:val="18"/>
        </w:rPr>
        <w:t>,</w:t>
      </w:r>
      <w:r w:rsidR="006E0828" w:rsidRPr="00194077">
        <w:rPr>
          <w:rFonts w:asciiTheme="minorEastAsia" w:eastAsiaTheme="minorEastAsia" w:hAnsiTheme="minorEastAsia" w:hint="eastAsia"/>
          <w:sz w:val="18"/>
          <w:szCs w:val="18"/>
        </w:rPr>
        <w:t>从2008年的22,947,695万元增长到2018年的172,785,598万元</w:t>
      </w:r>
      <w:r w:rsidR="00154B7B">
        <w:rPr>
          <w:rFonts w:asciiTheme="minorEastAsia" w:eastAsiaTheme="minorEastAsia" w:hAnsiTheme="minorEastAsia" w:hint="eastAsia"/>
          <w:sz w:val="18"/>
          <w:szCs w:val="18"/>
        </w:rPr>
        <w:t>(见图1)</w:t>
      </w:r>
      <w:r w:rsidR="006E0828" w:rsidRPr="00194077">
        <w:rPr>
          <w:rFonts w:asciiTheme="minorEastAsia" w:eastAsiaTheme="minorEastAsia" w:hAnsiTheme="minorEastAsia" w:hint="eastAsia"/>
          <w:sz w:val="18"/>
          <w:szCs w:val="18"/>
        </w:rPr>
        <w:t>，增长</w:t>
      </w:r>
      <w:r w:rsidR="002A1F4B" w:rsidRPr="00194077">
        <w:rPr>
          <w:rFonts w:asciiTheme="minorEastAsia" w:eastAsiaTheme="minorEastAsia" w:hAnsiTheme="minorEastAsia" w:hint="eastAsia"/>
          <w:sz w:val="18"/>
          <w:szCs w:val="18"/>
        </w:rPr>
        <w:t>趋势线</w:t>
      </w:r>
      <w:r w:rsidR="006E0828" w:rsidRPr="00194077">
        <w:rPr>
          <w:rFonts w:asciiTheme="minorEastAsia" w:eastAsiaTheme="minorEastAsia" w:hAnsiTheme="minorEastAsia" w:hint="eastAsia"/>
          <w:sz w:val="18"/>
          <w:szCs w:val="18"/>
        </w:rPr>
        <w:t>的</w:t>
      </w:r>
      <w:r w:rsidR="002A1F4B" w:rsidRPr="00194077">
        <w:rPr>
          <w:rFonts w:asciiTheme="minorEastAsia" w:eastAsiaTheme="minorEastAsia" w:hAnsiTheme="minorEastAsia" w:hint="eastAsia"/>
          <w:sz w:val="18"/>
          <w:szCs w:val="18"/>
        </w:rPr>
        <w:t>公式</w:t>
      </w:r>
      <w:r w:rsidR="006E0828" w:rsidRPr="00194077">
        <w:rPr>
          <w:rFonts w:asciiTheme="minorEastAsia" w:eastAsiaTheme="minorEastAsia" w:hAnsiTheme="minorEastAsia" w:hint="eastAsia"/>
          <w:sz w:val="18"/>
          <w:szCs w:val="18"/>
        </w:rPr>
        <w:t>约</w:t>
      </w:r>
      <w:r w:rsidR="002A1F4B" w:rsidRPr="00194077">
        <w:rPr>
          <w:rFonts w:asciiTheme="minorEastAsia" w:eastAsiaTheme="minorEastAsia" w:hAnsiTheme="minorEastAsia" w:hint="eastAsia"/>
          <w:sz w:val="18"/>
          <w:szCs w:val="18"/>
        </w:rPr>
        <w:t>为</w:t>
      </w:r>
      <w:r w:rsidR="00047E77" w:rsidRPr="00194077">
        <w:rPr>
          <w:rFonts w:asciiTheme="minorEastAsia" w:eastAsiaTheme="minorEastAsia" w:hAnsiTheme="minorEastAsia"/>
          <w:i/>
          <w:sz w:val="18"/>
          <w:szCs w:val="18"/>
        </w:rPr>
        <w:t>y = 2*10</w:t>
      </w:r>
      <w:r w:rsidR="00047E77" w:rsidRPr="00194077">
        <w:rPr>
          <w:rFonts w:asciiTheme="minorEastAsia" w:eastAsiaTheme="minorEastAsia" w:hAnsiTheme="minorEastAsia"/>
          <w:i/>
          <w:sz w:val="18"/>
          <w:szCs w:val="18"/>
          <w:vertAlign w:val="superscript"/>
        </w:rPr>
        <w:t>7</w:t>
      </w:r>
      <w:r w:rsidR="009031E5" w:rsidRPr="00194077">
        <w:rPr>
          <w:rFonts w:asciiTheme="minorEastAsia" w:eastAsiaTheme="minorEastAsia" w:hAnsiTheme="minorEastAsia"/>
          <w:i/>
          <w:sz w:val="18"/>
          <w:szCs w:val="18"/>
        </w:rPr>
        <w:t>x +</w:t>
      </w:r>
      <w:r w:rsidR="009031E5" w:rsidRPr="00194077">
        <w:rPr>
          <w:rFonts w:asciiTheme="minorEastAsia" w:eastAsiaTheme="minorEastAsia" w:hAnsiTheme="minorEastAsia" w:hint="eastAsia"/>
          <w:i/>
          <w:sz w:val="18"/>
          <w:szCs w:val="18"/>
        </w:rPr>
        <w:t xml:space="preserve"> </w:t>
      </w:r>
      <w:r w:rsidR="00047E77" w:rsidRPr="00194077">
        <w:rPr>
          <w:rFonts w:asciiTheme="minorEastAsia" w:eastAsiaTheme="minorEastAsia" w:hAnsiTheme="minorEastAsia"/>
          <w:i/>
          <w:sz w:val="18"/>
          <w:szCs w:val="18"/>
        </w:rPr>
        <w:t>2*10</w:t>
      </w:r>
      <w:r w:rsidR="002A1F4B" w:rsidRPr="00194077">
        <w:rPr>
          <w:rFonts w:asciiTheme="minorEastAsia" w:eastAsiaTheme="minorEastAsia" w:hAnsiTheme="minorEastAsia"/>
          <w:i/>
          <w:sz w:val="18"/>
          <w:szCs w:val="18"/>
          <w:vertAlign w:val="superscript"/>
        </w:rPr>
        <w:t>6</w:t>
      </w:r>
      <w:r w:rsidR="002A1F4B" w:rsidRPr="00194077">
        <w:rPr>
          <w:rFonts w:asciiTheme="minorEastAsia" w:eastAsiaTheme="minorEastAsia" w:hAnsiTheme="minorEastAsia"/>
          <w:i/>
          <w:sz w:val="18"/>
          <w:szCs w:val="18"/>
        </w:rPr>
        <w:t>，</w:t>
      </w:r>
      <w:r w:rsidR="002A1F4B" w:rsidRPr="00194077">
        <w:rPr>
          <w:rFonts w:asciiTheme="minorEastAsia" w:eastAsiaTheme="minorEastAsia" w:hAnsiTheme="minorEastAsia" w:hint="eastAsia"/>
          <w:sz w:val="18"/>
          <w:szCs w:val="18"/>
        </w:rPr>
        <w:t>即2008</w:t>
      </w:r>
      <w:r w:rsidR="002A1F4B" w:rsidRPr="00194077">
        <w:rPr>
          <w:rFonts w:asciiTheme="minorEastAsia" w:eastAsiaTheme="minorEastAsia" w:hAnsiTheme="minorEastAsia" w:hint="eastAsia"/>
          <w:sz w:val="18"/>
          <w:szCs w:val="18"/>
        </w:rPr>
        <w:lastRenderedPageBreak/>
        <w:t>年至2018年，软件产品</w:t>
      </w:r>
      <w:r w:rsidR="00047E77" w:rsidRPr="00194077">
        <w:rPr>
          <w:rFonts w:asciiTheme="minorEastAsia" w:eastAsiaTheme="minorEastAsia" w:hAnsiTheme="minorEastAsia" w:hint="eastAsia"/>
          <w:sz w:val="18"/>
          <w:szCs w:val="18"/>
        </w:rPr>
        <w:t>收入</w:t>
      </w:r>
      <w:r w:rsidR="002A1F4B" w:rsidRPr="00194077">
        <w:rPr>
          <w:rFonts w:asciiTheme="minorEastAsia" w:eastAsiaTheme="minorEastAsia" w:hAnsiTheme="minorEastAsia" w:hint="eastAsia"/>
          <w:sz w:val="18"/>
          <w:szCs w:val="18"/>
        </w:rPr>
        <w:t>平均</w:t>
      </w:r>
      <w:r w:rsidR="00047E77" w:rsidRPr="00194077">
        <w:rPr>
          <w:rFonts w:asciiTheme="minorEastAsia" w:eastAsiaTheme="minorEastAsia" w:hAnsiTheme="minorEastAsia" w:hint="eastAsia"/>
          <w:sz w:val="18"/>
          <w:szCs w:val="18"/>
        </w:rPr>
        <w:t>每年</w:t>
      </w:r>
      <w:r w:rsidR="002A1F4B" w:rsidRPr="00194077">
        <w:rPr>
          <w:rFonts w:asciiTheme="minorEastAsia" w:eastAsiaTheme="minorEastAsia" w:hAnsiTheme="minorEastAsia" w:hint="eastAsia"/>
          <w:sz w:val="18"/>
          <w:szCs w:val="18"/>
        </w:rPr>
        <w:t>增加</w:t>
      </w:r>
      <w:r w:rsidR="00047E77" w:rsidRPr="00194077">
        <w:rPr>
          <w:rFonts w:asciiTheme="minorEastAsia" w:eastAsiaTheme="minorEastAsia" w:hAnsiTheme="minorEastAsia" w:hint="eastAsia"/>
          <w:sz w:val="18"/>
          <w:szCs w:val="18"/>
        </w:rPr>
        <w:t>2000亿元，该公式的决定系数R</w:t>
      </w:r>
      <w:r w:rsidR="00047E77" w:rsidRPr="00194077">
        <w:rPr>
          <w:rFonts w:asciiTheme="minorEastAsia" w:eastAsiaTheme="minorEastAsia" w:hAnsiTheme="minorEastAsia" w:hint="eastAsia"/>
          <w:sz w:val="18"/>
          <w:szCs w:val="18"/>
          <w:vertAlign w:val="superscript"/>
        </w:rPr>
        <w:t>2</w:t>
      </w:r>
      <w:r w:rsidR="00047E77" w:rsidRPr="00194077">
        <w:rPr>
          <w:rFonts w:asciiTheme="minorEastAsia" w:eastAsiaTheme="minorEastAsia" w:hAnsiTheme="minorEastAsia" w:hint="eastAsia"/>
          <w:sz w:val="18"/>
          <w:szCs w:val="18"/>
        </w:rPr>
        <w:t>约为99.28%，即在软件产品收入的变差中，有99.28%可以由该公式表达的线性关系进行解释。</w:t>
      </w:r>
    </w:p>
    <w:p w:rsidR="00013C6C" w:rsidRPr="00194077" w:rsidRDefault="00013C6C" w:rsidP="00013C6C">
      <w:pPr>
        <w:pStyle w:val="DepartCorrespond"/>
        <w:numPr>
          <w:ilvl w:val="1"/>
          <w:numId w:val="1"/>
        </w:numPr>
        <w:ind w:left="119" w:hanging="119"/>
        <w:rPr>
          <w:rFonts w:ascii="黑体" w:eastAsia="黑体" w:hAnsi="黑体"/>
          <w:sz w:val="18"/>
          <w:szCs w:val="18"/>
        </w:rPr>
      </w:pPr>
      <w:r w:rsidRPr="00194077">
        <w:rPr>
          <w:rFonts w:ascii="黑体" w:eastAsia="黑体" w:hAnsi="黑体" w:hint="eastAsia"/>
          <w:sz w:val="18"/>
          <w:szCs w:val="18"/>
        </w:rPr>
        <w:t>劳动者报酬</w:t>
      </w:r>
    </w:p>
    <w:p w:rsidR="00047E77" w:rsidRPr="00194077" w:rsidRDefault="00047E77" w:rsidP="00047E77">
      <w:pPr>
        <w:pStyle w:val="DepartCorrespond"/>
        <w:ind w:left="420" w:firstLineChars="0" w:firstLine="0"/>
        <w:rPr>
          <w:rFonts w:ascii="黑体" w:eastAsia="黑体" w:hAnsi="黑体"/>
          <w:sz w:val="18"/>
          <w:szCs w:val="18"/>
        </w:rPr>
      </w:pPr>
      <w:r w:rsidRPr="00194077">
        <w:rPr>
          <w:rFonts w:ascii="黑体" w:eastAsia="黑体" w:hAnsi="黑体"/>
          <w:noProof/>
          <w:sz w:val="18"/>
          <w:szCs w:val="18"/>
        </w:rPr>
        <w:drawing>
          <wp:inline distT="0" distB="0" distL="0" distR="0">
            <wp:extent cx="5187950" cy="2914650"/>
            <wp:effectExtent l="19050" t="0" r="1270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E0671" w:rsidRPr="006E0671" w:rsidRDefault="006E0828" w:rsidP="006E0671">
      <w:pPr>
        <w:pStyle w:val="DepartCorrespond"/>
        <w:ind w:left="119" w:firstLineChars="0" w:firstLine="0"/>
        <w:jc w:val="center"/>
        <w:rPr>
          <w:rFonts w:asciiTheme="minorEastAsia" w:eastAsiaTheme="minorEastAsia" w:hAnsiTheme="minorEastAsia"/>
          <w:sz w:val="18"/>
          <w:szCs w:val="18"/>
        </w:rPr>
      </w:pPr>
      <w:r w:rsidRPr="006E0671">
        <w:rPr>
          <w:rFonts w:asciiTheme="minorEastAsia" w:eastAsiaTheme="minorEastAsia" w:hAnsiTheme="minorEastAsia" w:hint="eastAsia"/>
          <w:sz w:val="18"/>
          <w:szCs w:val="18"/>
        </w:rPr>
        <w:t>图2 2008年至2018年中国软件行业劳动者报酬[2]</w:t>
      </w:r>
    </w:p>
    <w:p w:rsidR="003349BA" w:rsidRPr="00194077" w:rsidRDefault="006E0828" w:rsidP="006E0828">
      <w:pPr>
        <w:rPr>
          <w:rFonts w:asciiTheme="minorEastAsia" w:hAnsiTheme="minorEastAsia"/>
          <w:sz w:val="18"/>
          <w:szCs w:val="18"/>
        </w:rPr>
      </w:pPr>
      <w:r w:rsidRPr="00194077">
        <w:rPr>
          <w:rFonts w:asciiTheme="minorEastAsia" w:hAnsiTheme="minorEastAsia" w:hint="eastAsia"/>
          <w:sz w:val="18"/>
          <w:szCs w:val="18"/>
        </w:rPr>
        <w:tab/>
        <w:t>中国软件行业从2008年至2018年，</w:t>
      </w:r>
      <w:r w:rsidR="009031E5" w:rsidRPr="00194077">
        <w:rPr>
          <w:rFonts w:asciiTheme="minorEastAsia" w:hAnsiTheme="minorEastAsia" w:hint="eastAsia"/>
          <w:sz w:val="18"/>
          <w:szCs w:val="18"/>
        </w:rPr>
        <w:t>中国软件行业劳动者报酬也同样呈线性增长</w:t>
      </w:r>
      <w:r w:rsidRPr="00194077">
        <w:rPr>
          <w:rFonts w:asciiTheme="minorEastAsia" w:hAnsiTheme="minorEastAsia" w:hint="eastAsia"/>
          <w:sz w:val="18"/>
          <w:szCs w:val="18"/>
        </w:rPr>
        <w:t>,从2008年的</w:t>
      </w:r>
      <w:r w:rsidR="009031E5" w:rsidRPr="00194077">
        <w:rPr>
          <w:rFonts w:asciiTheme="minorEastAsia" w:hAnsiTheme="minorEastAsia" w:hint="eastAsia"/>
          <w:sz w:val="18"/>
          <w:szCs w:val="18"/>
        </w:rPr>
        <w:t>10,029,460</w:t>
      </w:r>
      <w:r w:rsidRPr="00194077">
        <w:rPr>
          <w:rFonts w:asciiTheme="minorEastAsia" w:hAnsiTheme="minorEastAsia" w:hint="eastAsia"/>
          <w:sz w:val="18"/>
          <w:szCs w:val="18"/>
        </w:rPr>
        <w:t>万元增长到2018年的</w:t>
      </w:r>
      <w:r w:rsidR="009031E5" w:rsidRPr="00194077">
        <w:rPr>
          <w:rFonts w:asciiTheme="minorEastAsia" w:hAnsiTheme="minorEastAsia" w:hint="eastAsia"/>
          <w:sz w:val="18"/>
          <w:szCs w:val="18"/>
        </w:rPr>
        <w:t>94,779,838</w:t>
      </w:r>
      <w:r w:rsidRPr="00194077">
        <w:rPr>
          <w:rFonts w:asciiTheme="minorEastAsia" w:hAnsiTheme="minorEastAsia" w:hint="eastAsia"/>
          <w:sz w:val="18"/>
          <w:szCs w:val="18"/>
        </w:rPr>
        <w:t>万元</w:t>
      </w:r>
      <w:r w:rsidR="00154B7B">
        <w:rPr>
          <w:rFonts w:asciiTheme="minorEastAsia" w:hAnsiTheme="minorEastAsia" w:hint="eastAsia"/>
          <w:sz w:val="18"/>
          <w:szCs w:val="18"/>
        </w:rPr>
        <w:t>（见图2）</w:t>
      </w:r>
      <w:r w:rsidRPr="00194077">
        <w:rPr>
          <w:rFonts w:asciiTheme="minorEastAsia" w:hAnsiTheme="minorEastAsia" w:hint="eastAsia"/>
          <w:sz w:val="18"/>
          <w:szCs w:val="18"/>
        </w:rPr>
        <w:t>，增长趋势线的公式约为</w:t>
      </w:r>
      <w:r w:rsidR="009031E5" w:rsidRPr="00194077">
        <w:rPr>
          <w:rFonts w:asciiTheme="minorEastAsia" w:hAnsiTheme="minorEastAsia"/>
          <w:i/>
          <w:sz w:val="18"/>
          <w:szCs w:val="18"/>
        </w:rPr>
        <w:t xml:space="preserve">y = </w:t>
      </w:r>
      <w:r w:rsidR="009031E5" w:rsidRPr="00194077">
        <w:rPr>
          <w:rFonts w:asciiTheme="minorEastAsia" w:hAnsiTheme="minorEastAsia" w:hint="eastAsia"/>
          <w:i/>
          <w:sz w:val="18"/>
          <w:szCs w:val="18"/>
        </w:rPr>
        <w:t>8</w:t>
      </w:r>
      <w:r w:rsidRPr="00194077">
        <w:rPr>
          <w:rFonts w:asciiTheme="minorEastAsia" w:hAnsiTheme="minorEastAsia"/>
          <w:i/>
          <w:sz w:val="18"/>
          <w:szCs w:val="18"/>
        </w:rPr>
        <w:t>*</w:t>
      </w:r>
      <w:r w:rsidR="009031E5" w:rsidRPr="00194077">
        <w:rPr>
          <w:rFonts w:asciiTheme="minorEastAsia" w:hAnsiTheme="minorEastAsia" w:hint="eastAsia"/>
          <w:i/>
          <w:sz w:val="18"/>
          <w:szCs w:val="18"/>
        </w:rPr>
        <w:t>10</w:t>
      </w:r>
      <w:r w:rsidR="009031E5" w:rsidRPr="00194077">
        <w:rPr>
          <w:rFonts w:asciiTheme="minorEastAsia" w:hAnsiTheme="minorEastAsia" w:hint="eastAsia"/>
          <w:i/>
          <w:sz w:val="18"/>
          <w:szCs w:val="18"/>
          <w:vertAlign w:val="superscript"/>
        </w:rPr>
        <w:t>6</w:t>
      </w:r>
      <w:r w:rsidR="009031E5" w:rsidRPr="00194077">
        <w:rPr>
          <w:rFonts w:asciiTheme="minorEastAsia" w:hAnsiTheme="minorEastAsia"/>
          <w:i/>
          <w:sz w:val="18"/>
          <w:szCs w:val="18"/>
        </w:rPr>
        <w:t>x</w:t>
      </w:r>
      <w:r w:rsidR="009031E5" w:rsidRPr="00194077">
        <w:rPr>
          <w:rFonts w:asciiTheme="minorEastAsia" w:hAnsiTheme="minorEastAsia" w:hint="eastAsia"/>
          <w:i/>
          <w:sz w:val="18"/>
          <w:szCs w:val="18"/>
        </w:rPr>
        <w:t xml:space="preserve"> - 3</w:t>
      </w:r>
      <w:r w:rsidRPr="00194077">
        <w:rPr>
          <w:rFonts w:asciiTheme="minorEastAsia" w:hAnsiTheme="minorEastAsia"/>
          <w:i/>
          <w:sz w:val="18"/>
          <w:szCs w:val="18"/>
        </w:rPr>
        <w:t>*10</w:t>
      </w:r>
      <w:r w:rsidRPr="00194077">
        <w:rPr>
          <w:rFonts w:asciiTheme="minorEastAsia" w:hAnsiTheme="minorEastAsia"/>
          <w:i/>
          <w:sz w:val="18"/>
          <w:szCs w:val="18"/>
          <w:vertAlign w:val="superscript"/>
        </w:rPr>
        <w:t>6</w:t>
      </w:r>
      <w:r w:rsidRPr="00194077">
        <w:rPr>
          <w:rFonts w:asciiTheme="minorEastAsia" w:hAnsiTheme="minorEastAsia"/>
          <w:i/>
          <w:sz w:val="18"/>
          <w:szCs w:val="18"/>
        </w:rPr>
        <w:t>，</w:t>
      </w:r>
      <w:r w:rsidRPr="00194077">
        <w:rPr>
          <w:rFonts w:asciiTheme="minorEastAsia" w:hAnsiTheme="minorEastAsia" w:hint="eastAsia"/>
          <w:sz w:val="18"/>
          <w:szCs w:val="18"/>
        </w:rPr>
        <w:t>即2008年至2018年，</w:t>
      </w:r>
      <w:r w:rsidR="009031E5" w:rsidRPr="00194077">
        <w:rPr>
          <w:rFonts w:asciiTheme="minorEastAsia" w:hAnsiTheme="minorEastAsia" w:hint="eastAsia"/>
          <w:sz w:val="18"/>
          <w:szCs w:val="18"/>
        </w:rPr>
        <w:t>劳动者报酬</w:t>
      </w:r>
      <w:r w:rsidRPr="00194077">
        <w:rPr>
          <w:rFonts w:asciiTheme="minorEastAsia" w:hAnsiTheme="minorEastAsia" w:hint="eastAsia"/>
          <w:sz w:val="18"/>
          <w:szCs w:val="18"/>
        </w:rPr>
        <w:t>平均每年增加</w:t>
      </w:r>
      <w:r w:rsidR="009031E5" w:rsidRPr="00194077">
        <w:rPr>
          <w:rFonts w:asciiTheme="minorEastAsia" w:hAnsiTheme="minorEastAsia" w:hint="eastAsia"/>
          <w:sz w:val="18"/>
          <w:szCs w:val="18"/>
        </w:rPr>
        <w:t>800</w:t>
      </w:r>
      <w:r w:rsidRPr="00194077">
        <w:rPr>
          <w:rFonts w:asciiTheme="minorEastAsia" w:hAnsiTheme="minorEastAsia" w:hint="eastAsia"/>
          <w:sz w:val="18"/>
          <w:szCs w:val="18"/>
        </w:rPr>
        <w:t>亿元，该公式的决定系数R</w:t>
      </w:r>
      <w:r w:rsidRPr="00194077">
        <w:rPr>
          <w:rFonts w:asciiTheme="minorEastAsia" w:hAnsiTheme="minorEastAsia" w:hint="eastAsia"/>
          <w:sz w:val="18"/>
          <w:szCs w:val="18"/>
          <w:vertAlign w:val="superscript"/>
        </w:rPr>
        <w:t>2</w:t>
      </w:r>
      <w:r w:rsidRPr="00194077">
        <w:rPr>
          <w:rFonts w:asciiTheme="minorEastAsia" w:hAnsiTheme="minorEastAsia" w:hint="eastAsia"/>
          <w:sz w:val="18"/>
          <w:szCs w:val="18"/>
        </w:rPr>
        <w:t>约为</w:t>
      </w:r>
      <w:r w:rsidR="009031E5" w:rsidRPr="00194077">
        <w:rPr>
          <w:rFonts w:asciiTheme="minorEastAsia" w:hAnsiTheme="minorEastAsia" w:hint="eastAsia"/>
          <w:sz w:val="18"/>
          <w:szCs w:val="18"/>
        </w:rPr>
        <w:t>98.6</w:t>
      </w:r>
      <w:r w:rsidRPr="00194077">
        <w:rPr>
          <w:rFonts w:asciiTheme="minorEastAsia" w:hAnsiTheme="minorEastAsia" w:hint="eastAsia"/>
          <w:sz w:val="18"/>
          <w:szCs w:val="18"/>
        </w:rPr>
        <w:t>8%，即在软件产品收入的变差中，有</w:t>
      </w:r>
      <w:r w:rsidR="009031E5" w:rsidRPr="00194077">
        <w:rPr>
          <w:rFonts w:asciiTheme="minorEastAsia" w:hAnsiTheme="minorEastAsia" w:hint="eastAsia"/>
          <w:sz w:val="18"/>
          <w:szCs w:val="18"/>
        </w:rPr>
        <w:t>98.6</w:t>
      </w:r>
      <w:r w:rsidRPr="00194077">
        <w:rPr>
          <w:rFonts w:asciiTheme="minorEastAsia" w:hAnsiTheme="minorEastAsia" w:hint="eastAsia"/>
          <w:sz w:val="18"/>
          <w:szCs w:val="18"/>
        </w:rPr>
        <w:t>8%可以由该公式表达的线性关系进行解释。</w:t>
      </w:r>
    </w:p>
    <w:p w:rsidR="0004008F" w:rsidRPr="00194077" w:rsidRDefault="00E761AC" w:rsidP="0004008F">
      <w:pPr>
        <w:pStyle w:val="a5"/>
        <w:numPr>
          <w:ilvl w:val="0"/>
          <w:numId w:val="1"/>
        </w:numPr>
        <w:rPr>
          <w:rFonts w:ascii="黑体" w:eastAsia="黑体" w:hAnsi="黑体"/>
        </w:rPr>
      </w:pPr>
      <w:r w:rsidRPr="00194077">
        <w:rPr>
          <w:rFonts w:ascii="黑体" w:eastAsia="黑体" w:hAnsi="黑体" w:hint="eastAsia"/>
        </w:rPr>
        <w:t>分析结果</w:t>
      </w:r>
      <w:proofErr w:type="gramStart"/>
      <w:r w:rsidRPr="00194077">
        <w:rPr>
          <w:rFonts w:ascii="黑体" w:eastAsia="黑体" w:hAnsi="黑体" w:hint="eastAsia"/>
        </w:rPr>
        <w:t>及因素</w:t>
      </w:r>
      <w:proofErr w:type="gramEnd"/>
      <w:r w:rsidRPr="00194077">
        <w:rPr>
          <w:rFonts w:ascii="黑体" w:eastAsia="黑体" w:hAnsi="黑体" w:hint="eastAsia"/>
        </w:rPr>
        <w:t>探讨</w:t>
      </w:r>
    </w:p>
    <w:p w:rsidR="009031E5" w:rsidRPr="00194077" w:rsidRDefault="00154B7B" w:rsidP="00130DAC">
      <w:pPr>
        <w:pStyle w:val="a5"/>
        <w:ind w:firstLine="360"/>
        <w:rPr>
          <w:rFonts w:asciiTheme="minorEastAsia" w:eastAsiaTheme="minorEastAsia" w:hAnsiTheme="minorEastAsia"/>
          <w:sz w:val="18"/>
          <w:szCs w:val="18"/>
        </w:rPr>
      </w:pPr>
      <w:r>
        <w:rPr>
          <w:rFonts w:asciiTheme="minorEastAsia" w:eastAsiaTheme="minorEastAsia" w:hAnsiTheme="minorEastAsia" w:hint="eastAsia"/>
          <w:sz w:val="18"/>
          <w:szCs w:val="18"/>
        </w:rPr>
        <w:t>将软件产品收入和劳动者报酬综合分析（见图3）</w:t>
      </w:r>
      <w:r w:rsidR="00130DAC" w:rsidRPr="00194077">
        <w:rPr>
          <w:rFonts w:asciiTheme="minorEastAsia" w:eastAsiaTheme="minorEastAsia" w:hAnsiTheme="minorEastAsia" w:hint="eastAsia"/>
          <w:sz w:val="18"/>
          <w:szCs w:val="18"/>
        </w:rPr>
        <w:t>，可以看出虽然软件产品收入和劳动者报酬均呈现逐年增长的态势，但是软件产品收入</w:t>
      </w:r>
      <w:r w:rsidR="006E0671">
        <w:rPr>
          <w:rFonts w:asciiTheme="minorEastAsia" w:eastAsiaTheme="minorEastAsia" w:hAnsiTheme="minorEastAsia" w:hint="eastAsia"/>
          <w:sz w:val="18"/>
          <w:szCs w:val="18"/>
        </w:rPr>
        <w:t>的增长速率明显高于该行业劳动者报酬的增长速率，结合各方资料分析，大体分为外部和内部两个因素，外部因素包括劳动力市场供给情况、软件行业发展状况、国家相关的法律法规和政策，内部因素包括企业状况和企业员工。</w:t>
      </w:r>
    </w:p>
    <w:p w:rsidR="00130DAC" w:rsidRPr="00194077" w:rsidRDefault="00130DAC" w:rsidP="009031E5">
      <w:pPr>
        <w:pStyle w:val="a5"/>
        <w:ind w:left="360"/>
        <w:rPr>
          <w:rFonts w:asciiTheme="minorEastAsia" w:eastAsiaTheme="minorEastAsia" w:hAnsiTheme="minorEastAsia"/>
          <w:sz w:val="18"/>
          <w:szCs w:val="18"/>
        </w:rPr>
      </w:pPr>
      <w:r w:rsidRPr="00194077">
        <w:rPr>
          <w:rFonts w:asciiTheme="minorEastAsia" w:eastAsiaTheme="minorEastAsia" w:hAnsiTheme="minorEastAsia"/>
          <w:noProof/>
          <w:sz w:val="18"/>
          <w:szCs w:val="18"/>
        </w:rPr>
        <w:drawing>
          <wp:inline distT="0" distB="0" distL="0" distR="0">
            <wp:extent cx="5054600" cy="2813050"/>
            <wp:effectExtent l="19050" t="0" r="12700" b="63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E0671" w:rsidRPr="00194077" w:rsidRDefault="00130DAC" w:rsidP="006E0671">
      <w:pPr>
        <w:pStyle w:val="a5"/>
        <w:ind w:left="360"/>
        <w:jc w:val="center"/>
        <w:rPr>
          <w:rFonts w:asciiTheme="minorEastAsia" w:eastAsiaTheme="minorEastAsia" w:hAnsiTheme="minorEastAsia"/>
          <w:sz w:val="18"/>
          <w:szCs w:val="18"/>
        </w:rPr>
      </w:pPr>
      <w:r w:rsidRPr="00194077">
        <w:rPr>
          <w:rFonts w:asciiTheme="minorEastAsia" w:eastAsiaTheme="minorEastAsia" w:hAnsiTheme="minorEastAsia" w:hint="eastAsia"/>
          <w:sz w:val="18"/>
          <w:szCs w:val="18"/>
        </w:rPr>
        <w:t>图3 2008年至2018年软件产品收入和劳动者报酬对比</w:t>
      </w:r>
    </w:p>
    <w:p w:rsidR="002A1F4B" w:rsidRPr="00194077" w:rsidRDefault="002A1F4B" w:rsidP="002A1F4B">
      <w:pPr>
        <w:pStyle w:val="DepartCorrespond"/>
        <w:numPr>
          <w:ilvl w:val="1"/>
          <w:numId w:val="1"/>
        </w:numPr>
        <w:ind w:left="119" w:hanging="119"/>
        <w:rPr>
          <w:rFonts w:ascii="黑体" w:eastAsia="黑体" w:hAnsi="黑体"/>
          <w:sz w:val="18"/>
          <w:szCs w:val="18"/>
        </w:rPr>
      </w:pPr>
      <w:r w:rsidRPr="00194077">
        <w:rPr>
          <w:rFonts w:ascii="黑体" w:eastAsia="黑体" w:hAnsi="黑体" w:hint="eastAsia"/>
          <w:sz w:val="18"/>
          <w:szCs w:val="18"/>
        </w:rPr>
        <w:lastRenderedPageBreak/>
        <w:t>外部因</w:t>
      </w:r>
      <w:r w:rsidR="009031E5" w:rsidRPr="00194077">
        <w:rPr>
          <w:rFonts w:ascii="黑体" w:eastAsia="黑体" w:hAnsi="黑体" w:hint="eastAsia"/>
          <w:sz w:val="18"/>
          <w:szCs w:val="18"/>
        </w:rPr>
        <w:t>素</w:t>
      </w:r>
    </w:p>
    <w:p w:rsidR="002A1F4B" w:rsidRPr="00194077" w:rsidRDefault="00130DAC" w:rsidP="00047E77">
      <w:pPr>
        <w:pStyle w:val="DepartCorrespond"/>
        <w:numPr>
          <w:ilvl w:val="2"/>
          <w:numId w:val="1"/>
        </w:numPr>
        <w:ind w:firstLineChars="0"/>
        <w:rPr>
          <w:rFonts w:ascii="楷体" w:eastAsia="楷体" w:hAnsi="楷体"/>
          <w:sz w:val="18"/>
          <w:szCs w:val="18"/>
        </w:rPr>
      </w:pPr>
      <w:r w:rsidRPr="00194077">
        <w:rPr>
          <w:rFonts w:ascii="楷体" w:eastAsia="楷体" w:hAnsi="楷体" w:hint="eastAsia"/>
          <w:sz w:val="18"/>
          <w:szCs w:val="18"/>
        </w:rPr>
        <w:t>劳动力市场供给情况</w:t>
      </w:r>
    </w:p>
    <w:p w:rsidR="007B0BB4" w:rsidRPr="00194077" w:rsidRDefault="00E761AC" w:rsidP="00E761AC">
      <w:pPr>
        <w:pStyle w:val="aa"/>
        <w:shd w:val="clear" w:color="auto" w:fill="FFFFFF"/>
        <w:spacing w:before="0" w:beforeAutospacing="0" w:afterAutospacing="0"/>
        <w:ind w:firstLine="420"/>
        <w:rPr>
          <w:rFonts w:asciiTheme="minorEastAsia" w:eastAsiaTheme="minorEastAsia" w:hAnsiTheme="minorEastAsia"/>
          <w:sz w:val="18"/>
          <w:szCs w:val="18"/>
        </w:rPr>
      </w:pPr>
      <w:r w:rsidRPr="00194077">
        <w:rPr>
          <w:rFonts w:asciiTheme="minorEastAsia" w:eastAsiaTheme="minorEastAsia" w:hAnsiTheme="minorEastAsia" w:hint="eastAsia"/>
          <w:sz w:val="18"/>
          <w:szCs w:val="18"/>
        </w:rPr>
        <w:t>中国信息技术人才培养高峰论坛指出：未来5年我国信息化人才需求可达2000万人，每年至少需要近40万人以上的软件人才。近年来，各大高等院校、职业院校、培训机构通过新设软件课程、软件相关专业，扩大招生规模来抢占软件人才教育市场。但是我国每年虽然培养大量的软件学员，但培养出来的学员并非全部符合各大企业的需要，</w:t>
      </w:r>
      <w:r w:rsidR="00373168" w:rsidRPr="00194077">
        <w:rPr>
          <w:rFonts w:asciiTheme="minorEastAsia" w:eastAsiaTheme="minorEastAsia" w:hAnsiTheme="minorEastAsia" w:hint="eastAsia"/>
          <w:sz w:val="18"/>
          <w:szCs w:val="18"/>
        </w:rPr>
        <w:t>软件</w:t>
      </w:r>
      <w:r w:rsidRPr="00194077">
        <w:rPr>
          <w:rFonts w:asciiTheme="minorEastAsia" w:eastAsiaTheme="minorEastAsia" w:hAnsiTheme="minorEastAsia" w:hint="eastAsia"/>
          <w:sz w:val="18"/>
          <w:szCs w:val="18"/>
        </w:rPr>
        <w:t>人才缺口仍然非常大，出现“人才不适用”的巨大问题</w:t>
      </w:r>
      <w:r w:rsidR="00373168" w:rsidRPr="00194077">
        <w:rPr>
          <w:rFonts w:asciiTheme="minorEastAsia" w:eastAsiaTheme="minorEastAsia" w:hAnsiTheme="minorEastAsia" w:hint="eastAsia"/>
          <w:sz w:val="18"/>
          <w:szCs w:val="18"/>
        </w:rPr>
        <w:t>，且难以快速纠正。究其原因在于，</w:t>
      </w:r>
      <w:r w:rsidR="00373168" w:rsidRPr="00194077">
        <w:rPr>
          <w:rFonts w:asciiTheme="minorEastAsia" w:eastAsiaTheme="minorEastAsia" w:hAnsiTheme="minorEastAsia" w:hint="eastAsia"/>
          <w:sz w:val="18"/>
          <w:szCs w:val="18"/>
          <w:shd w:val="clear" w:color="auto" w:fill="FFFFFF"/>
        </w:rPr>
        <w:t>高等、职业院校设立的软件技术专业存在专业定位不准、脱离不了学术型框架；受师资、实</w:t>
      </w:r>
      <w:proofErr w:type="gramStart"/>
      <w:r w:rsidR="00373168" w:rsidRPr="00194077">
        <w:rPr>
          <w:rFonts w:asciiTheme="minorEastAsia" w:eastAsiaTheme="minorEastAsia" w:hAnsiTheme="minorEastAsia" w:hint="eastAsia"/>
          <w:sz w:val="18"/>
          <w:szCs w:val="18"/>
          <w:shd w:val="clear" w:color="auto" w:fill="FFFFFF"/>
        </w:rPr>
        <w:t>训环境</w:t>
      </w:r>
      <w:proofErr w:type="gramEnd"/>
      <w:r w:rsidR="00373168" w:rsidRPr="00194077">
        <w:rPr>
          <w:rFonts w:asciiTheme="minorEastAsia" w:eastAsiaTheme="minorEastAsia" w:hAnsiTheme="minorEastAsia" w:hint="eastAsia"/>
          <w:sz w:val="18"/>
          <w:szCs w:val="18"/>
          <w:shd w:val="clear" w:color="auto" w:fill="FFFFFF"/>
        </w:rPr>
        <w:t>等限制；培养的人才知识落后、实践技能不强，岗位适应能力差等问题，使得软件技术人才的培养同行业的发展和企业的人才需求产生了较大的错位，从而导致软件行业劳动者就业数量增速与软件产品收入增速存在较大差距。</w:t>
      </w:r>
    </w:p>
    <w:p w:rsidR="007B0BB4" w:rsidRPr="00194077" w:rsidRDefault="006E0671" w:rsidP="007B0BB4">
      <w:pPr>
        <w:pStyle w:val="DepartCorrespond"/>
        <w:numPr>
          <w:ilvl w:val="2"/>
          <w:numId w:val="1"/>
        </w:numPr>
        <w:ind w:firstLineChars="0"/>
        <w:rPr>
          <w:rFonts w:ascii="楷体" w:eastAsia="楷体" w:hAnsi="楷体"/>
          <w:sz w:val="18"/>
          <w:szCs w:val="18"/>
        </w:rPr>
      </w:pPr>
      <w:r>
        <w:rPr>
          <w:rFonts w:ascii="楷体" w:eastAsia="楷体" w:hAnsi="楷体" w:hint="eastAsia"/>
          <w:sz w:val="18"/>
          <w:szCs w:val="18"/>
        </w:rPr>
        <w:t>软件</w:t>
      </w:r>
      <w:r w:rsidR="00130DAC" w:rsidRPr="00194077">
        <w:rPr>
          <w:rFonts w:ascii="楷体" w:eastAsia="楷体" w:hAnsi="楷体" w:hint="eastAsia"/>
          <w:sz w:val="18"/>
          <w:szCs w:val="18"/>
        </w:rPr>
        <w:t>行业发展状况</w:t>
      </w:r>
    </w:p>
    <w:p w:rsidR="007B0BB4" w:rsidRPr="00194077" w:rsidRDefault="00891715" w:rsidP="00891715">
      <w:pPr>
        <w:pStyle w:val="DepartCorrespond"/>
        <w:ind w:left="0" w:firstLineChars="0" w:firstLine="420"/>
        <w:rPr>
          <w:rFonts w:asciiTheme="minorEastAsia" w:eastAsiaTheme="minorEastAsia" w:hAnsiTheme="minorEastAsia"/>
          <w:sz w:val="18"/>
          <w:szCs w:val="18"/>
        </w:rPr>
      </w:pPr>
      <w:r w:rsidRPr="00194077">
        <w:rPr>
          <w:rFonts w:asciiTheme="minorEastAsia" w:eastAsiaTheme="minorEastAsia" w:hAnsiTheme="minorEastAsia" w:cs="Arial"/>
          <w:sz w:val="18"/>
          <w:szCs w:val="18"/>
          <w:shd w:val="clear" w:color="auto" w:fill="FFFFFF"/>
        </w:rPr>
        <w:t>2008 年至</w:t>
      </w:r>
      <w:r w:rsidR="00EC35C2" w:rsidRPr="00194077">
        <w:rPr>
          <w:rFonts w:asciiTheme="minorEastAsia" w:eastAsiaTheme="minorEastAsia" w:hAnsiTheme="minorEastAsia" w:cs="Arial"/>
          <w:sz w:val="18"/>
          <w:szCs w:val="18"/>
          <w:shd w:val="clear" w:color="auto" w:fill="FFFFFF"/>
        </w:rPr>
        <w:t xml:space="preserve"> 2018</w:t>
      </w:r>
      <w:r w:rsidRPr="00194077">
        <w:rPr>
          <w:rFonts w:asciiTheme="minorEastAsia" w:eastAsiaTheme="minorEastAsia" w:hAnsiTheme="minorEastAsia" w:cs="Arial"/>
          <w:sz w:val="18"/>
          <w:szCs w:val="18"/>
          <w:shd w:val="clear" w:color="auto" w:fill="FFFFFF"/>
        </w:rPr>
        <w:t xml:space="preserve"> 年间，中国软件行业市场总量保持快速增长的趋势，</w:t>
      </w:r>
      <w:r w:rsidR="00EC35C2" w:rsidRPr="00194077">
        <w:rPr>
          <w:rFonts w:asciiTheme="minorEastAsia" w:eastAsiaTheme="minorEastAsia" w:hAnsiTheme="minorEastAsia" w:hint="eastAsia"/>
          <w:sz w:val="18"/>
          <w:szCs w:val="18"/>
          <w:shd w:val="clear" w:color="auto" w:fill="FFFFFF"/>
        </w:rPr>
        <w:t>软件产品开发和系统集成业务一直是软件行业收入占比最高的两大类业务，合计收入占比一直保持在全行业的50%以上，同时</w:t>
      </w:r>
      <w:r w:rsidRPr="00194077">
        <w:rPr>
          <w:rFonts w:asciiTheme="minorEastAsia" w:eastAsiaTheme="minorEastAsia" w:hAnsiTheme="minorEastAsia" w:cs="Arial"/>
          <w:sz w:val="18"/>
          <w:szCs w:val="18"/>
          <w:shd w:val="clear" w:color="auto" w:fill="FFFFFF"/>
        </w:rPr>
        <w:t>随着新一代信息技术加速渗透到经济和社会生活的各个领域， 软件产业呈现出网络化、服务化、平台化、融合化新趋势。目前，新一代信息技术正在转向软件主导，软件在信息产业中的贡献不断增加。</w:t>
      </w:r>
    </w:p>
    <w:p w:rsidR="00130DAC" w:rsidRPr="00194077" w:rsidRDefault="00130DAC" w:rsidP="00047E77">
      <w:pPr>
        <w:pStyle w:val="DepartCorrespond"/>
        <w:numPr>
          <w:ilvl w:val="2"/>
          <w:numId w:val="1"/>
        </w:numPr>
        <w:ind w:firstLineChars="0"/>
        <w:rPr>
          <w:rFonts w:ascii="楷体" w:eastAsia="楷体" w:hAnsi="楷体"/>
          <w:sz w:val="18"/>
          <w:szCs w:val="18"/>
        </w:rPr>
      </w:pPr>
      <w:r w:rsidRPr="00194077">
        <w:rPr>
          <w:rFonts w:ascii="楷体" w:eastAsia="楷体" w:hAnsi="楷体" w:hint="eastAsia"/>
          <w:sz w:val="18"/>
          <w:szCs w:val="18"/>
        </w:rPr>
        <w:t>国家相关的法律法规和政策</w:t>
      </w:r>
    </w:p>
    <w:p w:rsidR="007B0BB4" w:rsidRPr="00194077" w:rsidRDefault="00891715" w:rsidP="00891715">
      <w:pPr>
        <w:pStyle w:val="DepartCorrespond"/>
        <w:ind w:left="0" w:firstLineChars="0" w:firstLine="420"/>
        <w:rPr>
          <w:rFonts w:asciiTheme="minorEastAsia" w:eastAsiaTheme="minorEastAsia" w:hAnsiTheme="minorEastAsia"/>
          <w:sz w:val="18"/>
          <w:szCs w:val="18"/>
        </w:rPr>
      </w:pPr>
      <w:r w:rsidRPr="00194077">
        <w:rPr>
          <w:rFonts w:asciiTheme="minorEastAsia" w:eastAsiaTheme="minorEastAsia" w:hAnsiTheme="minorEastAsia" w:cs="Arial"/>
          <w:sz w:val="18"/>
          <w:szCs w:val="18"/>
          <w:shd w:val="clear" w:color="auto" w:fill="FFFFFF"/>
        </w:rPr>
        <w:t>《中国制造 2025》、《积极推进“互联网+”行动的指导意见》和《加快推进网络信息技术自主创新》等国策的深入推进和落实，将会对</w:t>
      </w:r>
      <w:r w:rsidR="00EC35C2" w:rsidRPr="00194077">
        <w:rPr>
          <w:rFonts w:asciiTheme="minorEastAsia" w:eastAsiaTheme="minorEastAsia" w:hAnsiTheme="minorEastAsia" w:cs="Arial" w:hint="eastAsia"/>
          <w:sz w:val="18"/>
          <w:szCs w:val="18"/>
          <w:shd w:val="clear" w:color="auto" w:fill="FFFFFF"/>
        </w:rPr>
        <w:t>软件</w:t>
      </w:r>
      <w:r w:rsidRPr="00194077">
        <w:rPr>
          <w:rFonts w:asciiTheme="minorEastAsia" w:eastAsiaTheme="minorEastAsia" w:hAnsiTheme="minorEastAsia" w:cs="Arial"/>
          <w:sz w:val="18"/>
          <w:szCs w:val="18"/>
          <w:shd w:val="clear" w:color="auto" w:fill="FFFFFF"/>
        </w:rPr>
        <w:t>产业变革产生深远影响，国民经济各个领域对软件产业的需求将更加强劲，尤其是对操作系统、数据库等基础软件、行业应用软件、大数据软件产生更高、更广泛的需求。</w:t>
      </w:r>
    </w:p>
    <w:p w:rsidR="00047E77" w:rsidRPr="00194077" w:rsidRDefault="006E0828" w:rsidP="00047E77">
      <w:pPr>
        <w:pStyle w:val="DepartCorrespond"/>
        <w:numPr>
          <w:ilvl w:val="1"/>
          <w:numId w:val="1"/>
        </w:numPr>
        <w:ind w:firstLineChars="0"/>
        <w:rPr>
          <w:rFonts w:ascii="黑体" w:eastAsia="黑体" w:hAnsi="黑体"/>
          <w:sz w:val="18"/>
          <w:szCs w:val="18"/>
        </w:rPr>
      </w:pPr>
      <w:r w:rsidRPr="00194077">
        <w:rPr>
          <w:rFonts w:ascii="黑体" w:eastAsia="黑体" w:hAnsi="黑体" w:hint="eastAsia"/>
          <w:sz w:val="18"/>
          <w:szCs w:val="18"/>
        </w:rPr>
        <w:t>内部因素</w:t>
      </w:r>
    </w:p>
    <w:p w:rsidR="000A438E" w:rsidRPr="00194077" w:rsidRDefault="00EC35C2" w:rsidP="000A438E">
      <w:pPr>
        <w:pStyle w:val="DepartCorrespond"/>
        <w:numPr>
          <w:ilvl w:val="2"/>
          <w:numId w:val="1"/>
        </w:numPr>
        <w:ind w:firstLineChars="0"/>
        <w:rPr>
          <w:rFonts w:ascii="楷体" w:eastAsia="楷体" w:hAnsi="楷体"/>
          <w:sz w:val="18"/>
          <w:szCs w:val="18"/>
        </w:rPr>
      </w:pPr>
      <w:r w:rsidRPr="00194077">
        <w:rPr>
          <w:rFonts w:ascii="楷体" w:eastAsia="楷体" w:hAnsi="楷体" w:hint="eastAsia"/>
          <w:sz w:val="18"/>
          <w:szCs w:val="18"/>
        </w:rPr>
        <w:t>企业</w:t>
      </w:r>
      <w:r w:rsidR="000A438E" w:rsidRPr="00194077">
        <w:rPr>
          <w:rFonts w:ascii="楷体" w:eastAsia="楷体" w:hAnsi="楷体" w:hint="eastAsia"/>
          <w:sz w:val="18"/>
          <w:szCs w:val="18"/>
        </w:rPr>
        <w:t>状况</w:t>
      </w:r>
    </w:p>
    <w:p w:rsidR="007B0BB4" w:rsidRPr="00194077" w:rsidRDefault="000A438E" w:rsidP="000A438E">
      <w:pPr>
        <w:pStyle w:val="a6"/>
        <w:ind w:firstLine="420"/>
        <w:rPr>
          <w:rFonts w:asciiTheme="minorEastAsia" w:eastAsiaTheme="minorEastAsia" w:hAnsiTheme="minorEastAsia"/>
          <w:sz w:val="18"/>
          <w:szCs w:val="18"/>
        </w:rPr>
      </w:pPr>
      <w:r w:rsidRPr="00194077">
        <w:rPr>
          <w:rFonts w:asciiTheme="minorEastAsia" w:eastAsiaTheme="minorEastAsia" w:hAnsiTheme="minorEastAsia" w:cs="Helvetica"/>
          <w:sz w:val="18"/>
          <w:szCs w:val="18"/>
          <w:shd w:val="clear" w:color="auto" w:fill="FFFFFF"/>
        </w:rPr>
        <w:t>软件技术发展日新月异，更新较快，软件企业为了不断创新，会考虑“低流”，从外面补充新鲜血液</w:t>
      </w:r>
      <w:r w:rsidRPr="00194077">
        <w:rPr>
          <w:rFonts w:asciiTheme="minorEastAsia" w:eastAsiaTheme="minorEastAsia" w:hAnsiTheme="minorEastAsia" w:cs="Helvetica"/>
          <w:spacing w:val="20"/>
          <w:sz w:val="18"/>
          <w:szCs w:val="18"/>
          <w:shd w:val="clear" w:color="auto" w:fill="FFFFFF"/>
        </w:rPr>
        <w:t>，</w:t>
      </w:r>
      <w:r w:rsidRPr="00194077">
        <w:rPr>
          <w:rFonts w:asciiTheme="minorEastAsia" w:eastAsiaTheme="minorEastAsia" w:hAnsiTheme="minorEastAsia" w:cs="Helvetica"/>
          <w:sz w:val="18"/>
          <w:szCs w:val="18"/>
          <w:shd w:val="clear" w:color="auto" w:fill="FFFFFF"/>
        </w:rPr>
        <w:t>对保持企业活力和加快新老员工更替有积极促进效应。</w:t>
      </w:r>
      <w:r w:rsidRPr="00194077">
        <w:rPr>
          <w:rFonts w:asciiTheme="minorEastAsia" w:eastAsiaTheme="minorEastAsia" w:hAnsiTheme="minorEastAsia" w:cs="Helvetica" w:hint="eastAsia"/>
          <w:sz w:val="18"/>
          <w:szCs w:val="18"/>
          <w:shd w:val="clear" w:color="auto" w:fill="FFFFFF"/>
        </w:rPr>
        <w:t>但是</w:t>
      </w:r>
      <w:r w:rsidRPr="00194077">
        <w:rPr>
          <w:rFonts w:asciiTheme="minorEastAsia" w:eastAsiaTheme="minorEastAsia" w:hAnsiTheme="minorEastAsia"/>
          <w:sz w:val="18"/>
          <w:szCs w:val="18"/>
        </w:rPr>
        <w:t>国内软件企业呈现梯形样式，分为小型、中型和大型。大多数软件企业仍是中小企业，不同企业的</w:t>
      </w:r>
      <w:r w:rsidRPr="00194077">
        <w:rPr>
          <w:rFonts w:asciiTheme="minorEastAsia" w:eastAsiaTheme="minorEastAsia" w:hAnsiTheme="minorEastAsia" w:hint="eastAsia"/>
          <w:sz w:val="18"/>
          <w:szCs w:val="18"/>
        </w:rPr>
        <w:t>工</w:t>
      </w:r>
      <w:r w:rsidRPr="00194077">
        <w:rPr>
          <w:rFonts w:asciiTheme="minorEastAsia" w:eastAsiaTheme="minorEastAsia" w:hAnsiTheme="minorEastAsia"/>
          <w:sz w:val="18"/>
          <w:szCs w:val="18"/>
        </w:rPr>
        <w:t>作</w:t>
      </w:r>
      <w:r w:rsidRPr="00194077">
        <w:rPr>
          <w:rFonts w:asciiTheme="minorEastAsia" w:eastAsiaTheme="minorEastAsia" w:hAnsiTheme="minorEastAsia" w:hint="eastAsia"/>
          <w:sz w:val="18"/>
          <w:szCs w:val="18"/>
        </w:rPr>
        <w:t>环</w:t>
      </w:r>
      <w:r w:rsidRPr="00194077">
        <w:rPr>
          <w:rFonts w:asciiTheme="minorEastAsia" w:eastAsiaTheme="minorEastAsia" w:hAnsiTheme="minorEastAsia"/>
          <w:sz w:val="18"/>
          <w:szCs w:val="18"/>
        </w:rPr>
        <w:t>境、发展方向以及薪酬待遇的差别，加速了软件人才的流动频率</w:t>
      </w:r>
      <w:r w:rsidRPr="00194077">
        <w:rPr>
          <w:rFonts w:asciiTheme="minorEastAsia" w:eastAsiaTheme="minorEastAsia" w:hAnsiTheme="minorEastAsia" w:hint="eastAsia"/>
          <w:sz w:val="18"/>
          <w:szCs w:val="18"/>
        </w:rPr>
        <w:t>[3]</w:t>
      </w:r>
      <w:r w:rsidRPr="00194077">
        <w:rPr>
          <w:rFonts w:asciiTheme="minorEastAsia" w:eastAsiaTheme="minorEastAsia" w:hAnsiTheme="minorEastAsia"/>
          <w:sz w:val="18"/>
          <w:szCs w:val="18"/>
        </w:rPr>
        <w:t>。</w:t>
      </w:r>
      <w:r w:rsidRPr="00194077">
        <w:rPr>
          <w:rFonts w:asciiTheme="minorEastAsia" w:eastAsiaTheme="minorEastAsia" w:hAnsiTheme="minorEastAsia" w:hint="eastAsia"/>
          <w:sz w:val="18"/>
          <w:szCs w:val="18"/>
        </w:rPr>
        <w:t>因此，薪酬制度成为企业吸引和留住员工</w:t>
      </w:r>
      <w:r w:rsidR="00194077">
        <w:rPr>
          <w:rFonts w:asciiTheme="minorEastAsia" w:eastAsiaTheme="minorEastAsia" w:hAnsiTheme="minorEastAsia" w:hint="eastAsia"/>
          <w:sz w:val="18"/>
          <w:szCs w:val="18"/>
        </w:rPr>
        <w:t>的主要手段之一，以华为企业为例，</w:t>
      </w:r>
      <w:r w:rsidR="00194077">
        <w:rPr>
          <w:rFonts w:ascii="Segoe UI" w:hAnsi="Segoe UI" w:cs="Segoe UI"/>
          <w:color w:val="222222"/>
          <w:sz w:val="19"/>
          <w:szCs w:val="19"/>
          <w:shd w:val="clear" w:color="auto" w:fill="FFFFFF"/>
        </w:rPr>
        <w:t>实行的是基于岗位责任和价值贡献的分配体系，建立了</w:t>
      </w:r>
      <w:r w:rsidR="00194077">
        <w:rPr>
          <w:rFonts w:ascii="Segoe UI" w:hAnsi="Segoe UI" w:cs="Segoe UI"/>
          <w:color w:val="222222"/>
          <w:sz w:val="19"/>
          <w:szCs w:val="19"/>
          <w:shd w:val="clear" w:color="auto" w:fill="FFFFFF"/>
        </w:rPr>
        <w:t>“</w:t>
      </w:r>
      <w:r w:rsidR="00194077">
        <w:rPr>
          <w:rFonts w:ascii="Segoe UI" w:hAnsi="Segoe UI" w:cs="Segoe UI"/>
          <w:color w:val="222222"/>
          <w:sz w:val="19"/>
          <w:szCs w:val="19"/>
          <w:shd w:val="clear" w:color="auto" w:fill="FFFFFF"/>
        </w:rPr>
        <w:t>以岗定级、以级定薪、人岗匹配、易岗易薪</w:t>
      </w:r>
      <w:r w:rsidR="00194077">
        <w:rPr>
          <w:rFonts w:ascii="Segoe UI" w:hAnsi="Segoe UI" w:cs="Segoe UI"/>
          <w:color w:val="222222"/>
          <w:sz w:val="19"/>
          <w:szCs w:val="19"/>
          <w:shd w:val="clear" w:color="auto" w:fill="FFFFFF"/>
        </w:rPr>
        <w:t>”</w:t>
      </w:r>
      <w:r w:rsidR="00194077">
        <w:rPr>
          <w:rFonts w:ascii="Segoe UI" w:hAnsi="Segoe UI" w:cs="Segoe UI"/>
          <w:color w:val="222222"/>
          <w:sz w:val="19"/>
          <w:szCs w:val="19"/>
          <w:shd w:val="clear" w:color="auto" w:fill="FFFFFF"/>
        </w:rPr>
        <w:t>的薪酬制度。</w:t>
      </w:r>
    </w:p>
    <w:p w:rsidR="007D3DB7" w:rsidRPr="00194077" w:rsidRDefault="00EC35C2" w:rsidP="00891715">
      <w:pPr>
        <w:pStyle w:val="DepartCorrespond"/>
        <w:numPr>
          <w:ilvl w:val="2"/>
          <w:numId w:val="1"/>
        </w:numPr>
        <w:ind w:firstLineChars="0"/>
        <w:rPr>
          <w:rFonts w:ascii="楷体" w:eastAsia="楷体" w:hAnsi="楷体"/>
          <w:sz w:val="18"/>
          <w:szCs w:val="18"/>
        </w:rPr>
      </w:pPr>
      <w:r w:rsidRPr="00194077">
        <w:rPr>
          <w:rFonts w:ascii="楷体" w:eastAsia="楷体" w:hAnsi="楷体" w:hint="eastAsia"/>
          <w:sz w:val="18"/>
          <w:szCs w:val="18"/>
        </w:rPr>
        <w:t>企业员工</w:t>
      </w:r>
    </w:p>
    <w:p w:rsidR="00891715" w:rsidRPr="00D00AAA" w:rsidRDefault="00D00AAA" w:rsidP="00D00AAA">
      <w:pPr>
        <w:ind w:firstLine="360"/>
        <w:rPr>
          <w:rFonts w:asciiTheme="minorEastAsia" w:hAnsiTheme="minorEastAsia"/>
          <w:sz w:val="18"/>
          <w:szCs w:val="18"/>
        </w:rPr>
      </w:pPr>
      <w:r w:rsidRPr="00D00AAA">
        <w:rPr>
          <w:rFonts w:asciiTheme="minorEastAsia" w:hAnsiTheme="minorEastAsia" w:hint="eastAsia"/>
          <w:sz w:val="18"/>
          <w:szCs w:val="18"/>
        </w:rPr>
        <w:t>当前各互联网企业</w:t>
      </w:r>
      <w:proofErr w:type="gramStart"/>
      <w:r w:rsidRPr="00D00AAA">
        <w:rPr>
          <w:rFonts w:asciiTheme="minorEastAsia" w:hAnsiTheme="minorEastAsia" w:hint="eastAsia"/>
          <w:sz w:val="18"/>
          <w:szCs w:val="18"/>
        </w:rPr>
        <w:t>在</w:t>
      </w:r>
      <w:r>
        <w:rPr>
          <w:rFonts w:asciiTheme="minorEastAsia" w:hAnsiTheme="minorEastAsia" w:hint="eastAsia"/>
          <w:sz w:val="18"/>
          <w:szCs w:val="18"/>
        </w:rPr>
        <w:t>在员工</w:t>
      </w:r>
      <w:proofErr w:type="gramEnd"/>
      <w:r>
        <w:rPr>
          <w:rFonts w:asciiTheme="minorEastAsia" w:hAnsiTheme="minorEastAsia" w:hint="eastAsia"/>
          <w:sz w:val="18"/>
          <w:szCs w:val="18"/>
        </w:rPr>
        <w:t>培训经费上普遍投入较低，而且较大强度的工作，较快速度的变化，</w:t>
      </w:r>
      <w:proofErr w:type="gramStart"/>
      <w:r>
        <w:rPr>
          <w:rFonts w:asciiTheme="minorEastAsia" w:hAnsiTheme="minorEastAsia" w:hint="eastAsia"/>
          <w:sz w:val="18"/>
          <w:szCs w:val="18"/>
        </w:rPr>
        <w:t>也队各</w:t>
      </w:r>
      <w:proofErr w:type="gramEnd"/>
      <w:r>
        <w:rPr>
          <w:rFonts w:asciiTheme="minorEastAsia" w:hAnsiTheme="minorEastAsia" w:hint="eastAsia"/>
          <w:sz w:val="18"/>
          <w:szCs w:val="18"/>
        </w:rPr>
        <w:t>大企业员工造成不小的压力，不断跳槽到更高薪水和岗位的公司也是当前大多数员工的选择。</w:t>
      </w:r>
    </w:p>
    <w:p w:rsidR="0004008F" w:rsidRDefault="0004008F" w:rsidP="0004008F">
      <w:pPr>
        <w:pStyle w:val="a5"/>
        <w:numPr>
          <w:ilvl w:val="0"/>
          <w:numId w:val="1"/>
        </w:numPr>
        <w:rPr>
          <w:rFonts w:ascii="黑体" w:eastAsia="黑体" w:hAnsi="黑体"/>
        </w:rPr>
      </w:pPr>
      <w:r w:rsidRPr="00194077">
        <w:rPr>
          <w:rFonts w:ascii="黑体" w:eastAsia="黑体" w:hAnsi="黑体" w:hint="eastAsia"/>
        </w:rPr>
        <w:t>结</w:t>
      </w:r>
      <w:r w:rsidR="00154B7B">
        <w:rPr>
          <w:rFonts w:ascii="黑体" w:eastAsia="黑体" w:hAnsi="黑体" w:hint="eastAsia"/>
        </w:rPr>
        <w:t xml:space="preserve">  </w:t>
      </w:r>
      <w:r w:rsidRPr="00194077">
        <w:rPr>
          <w:rFonts w:ascii="黑体" w:eastAsia="黑体" w:hAnsi="黑体" w:hint="eastAsia"/>
        </w:rPr>
        <w:t>论</w:t>
      </w:r>
    </w:p>
    <w:p w:rsidR="00D00AAA" w:rsidRPr="00D00AAA" w:rsidRDefault="00A07416" w:rsidP="00A07416">
      <w:pPr>
        <w:pStyle w:val="a5"/>
        <w:ind w:firstLine="360"/>
        <w:rPr>
          <w:rFonts w:asciiTheme="minorEastAsia" w:eastAsiaTheme="minorEastAsia" w:hAnsiTheme="minorEastAsia"/>
          <w:sz w:val="18"/>
          <w:szCs w:val="18"/>
        </w:rPr>
      </w:pPr>
      <w:r>
        <w:rPr>
          <w:rFonts w:asciiTheme="minorEastAsia" w:eastAsiaTheme="minorEastAsia" w:hAnsiTheme="minorEastAsia" w:hint="eastAsia"/>
          <w:sz w:val="18"/>
          <w:szCs w:val="18"/>
        </w:rPr>
        <w:t>近年来，我国软件行业虽然在各方面持续向好发展，但是在薪酬制度、人才使用，人才流动失衡等方面依旧存在不小的问题，这也恰恰证明我国软件行业总体水平仍处在初级阶段，与世界先进水平仍然存在差距，故更需要加强对软件市场的监管和软件企业和精英人才的培育。</w:t>
      </w:r>
    </w:p>
    <w:p w:rsidR="0004008F" w:rsidRPr="00194077" w:rsidRDefault="0004008F" w:rsidP="0004008F">
      <w:pPr>
        <w:pStyle w:val="a5"/>
        <w:numPr>
          <w:ilvl w:val="0"/>
          <w:numId w:val="1"/>
        </w:numPr>
        <w:rPr>
          <w:rFonts w:ascii="黑体" w:eastAsia="黑体" w:hAnsi="黑体"/>
        </w:rPr>
      </w:pPr>
      <w:r w:rsidRPr="00194077">
        <w:rPr>
          <w:rFonts w:ascii="黑体" w:eastAsia="黑体" w:hAnsi="黑体" w:hint="eastAsia"/>
        </w:rPr>
        <w:t>参考文献</w:t>
      </w:r>
    </w:p>
    <w:p w:rsidR="00B943EA" w:rsidRPr="00194077" w:rsidRDefault="00B943EA" w:rsidP="00B943EA">
      <w:pPr>
        <w:pStyle w:val="a5"/>
        <w:ind w:left="360"/>
        <w:rPr>
          <w:rFonts w:asciiTheme="minorEastAsia" w:eastAsiaTheme="minorEastAsia" w:hAnsiTheme="minorEastAsia"/>
          <w:sz w:val="18"/>
          <w:szCs w:val="18"/>
        </w:rPr>
      </w:pPr>
      <w:r w:rsidRPr="00194077">
        <w:rPr>
          <w:rFonts w:asciiTheme="minorEastAsia" w:eastAsiaTheme="minorEastAsia" w:hAnsiTheme="minorEastAsia" w:hint="eastAsia"/>
          <w:sz w:val="18"/>
          <w:szCs w:val="18"/>
        </w:rPr>
        <w:t xml:space="preserve">[1] </w:t>
      </w:r>
      <w:r w:rsidR="00755B44" w:rsidRPr="00194077">
        <w:rPr>
          <w:rFonts w:asciiTheme="minorEastAsia" w:eastAsiaTheme="minorEastAsia" w:hAnsiTheme="minorEastAsia" w:hint="eastAsia"/>
          <w:sz w:val="18"/>
          <w:szCs w:val="18"/>
        </w:rPr>
        <w:t>中国产业信息</w:t>
      </w:r>
      <w:r w:rsidRPr="00194077">
        <w:rPr>
          <w:rFonts w:asciiTheme="minorEastAsia" w:eastAsiaTheme="minorEastAsia" w:hAnsiTheme="minorEastAsia" w:hint="eastAsia"/>
          <w:sz w:val="18"/>
          <w:szCs w:val="18"/>
        </w:rPr>
        <w:t>.</w:t>
      </w:r>
      <w:r w:rsidRPr="00194077">
        <w:rPr>
          <w:rFonts w:asciiTheme="minorEastAsia" w:eastAsiaTheme="minorEastAsia" w:hAnsiTheme="minorEastAsia"/>
          <w:sz w:val="18"/>
          <w:szCs w:val="18"/>
        </w:rPr>
        <w:t>20</w:t>
      </w:r>
      <w:r w:rsidRPr="00194077">
        <w:rPr>
          <w:rFonts w:asciiTheme="minorEastAsia" w:eastAsiaTheme="minorEastAsia" w:hAnsiTheme="minorEastAsia" w:hint="eastAsia"/>
          <w:sz w:val="18"/>
          <w:szCs w:val="18"/>
        </w:rPr>
        <w:t>21</w:t>
      </w:r>
      <w:r w:rsidRPr="00194077">
        <w:rPr>
          <w:rFonts w:asciiTheme="minorEastAsia" w:eastAsiaTheme="minorEastAsia" w:hAnsiTheme="minorEastAsia"/>
          <w:sz w:val="18"/>
          <w:szCs w:val="18"/>
        </w:rPr>
        <w:t>-202</w:t>
      </w:r>
      <w:r w:rsidRPr="00194077">
        <w:rPr>
          <w:rFonts w:asciiTheme="minorEastAsia" w:eastAsiaTheme="minorEastAsia" w:hAnsiTheme="minorEastAsia" w:hint="eastAsia"/>
          <w:sz w:val="18"/>
          <w:szCs w:val="18"/>
        </w:rPr>
        <w:t>7</w:t>
      </w:r>
      <w:r w:rsidRPr="00194077">
        <w:rPr>
          <w:rFonts w:asciiTheme="minorEastAsia" w:eastAsiaTheme="minorEastAsia" w:hAnsiTheme="minorEastAsia"/>
          <w:sz w:val="18"/>
          <w:szCs w:val="18"/>
        </w:rPr>
        <w:t>年中国</w:t>
      </w:r>
      <w:r w:rsidRPr="00194077">
        <w:rPr>
          <w:rFonts w:asciiTheme="minorEastAsia" w:eastAsiaTheme="minorEastAsia" w:hAnsiTheme="minorEastAsia" w:hint="eastAsia"/>
          <w:sz w:val="18"/>
          <w:szCs w:val="18"/>
        </w:rPr>
        <w:t>软件行业市场发展潜力</w:t>
      </w:r>
      <w:r w:rsidRPr="00194077">
        <w:rPr>
          <w:rFonts w:asciiTheme="minorEastAsia" w:eastAsiaTheme="minorEastAsia" w:hAnsiTheme="minorEastAsia"/>
          <w:sz w:val="18"/>
          <w:szCs w:val="18"/>
        </w:rPr>
        <w:t>及投资</w:t>
      </w:r>
      <w:r w:rsidRPr="00194077">
        <w:rPr>
          <w:rFonts w:asciiTheme="minorEastAsia" w:eastAsiaTheme="minorEastAsia" w:hAnsiTheme="minorEastAsia" w:hint="eastAsia"/>
          <w:sz w:val="18"/>
          <w:szCs w:val="18"/>
        </w:rPr>
        <w:t>盈利</w:t>
      </w:r>
      <w:r w:rsidRPr="00194077">
        <w:rPr>
          <w:rFonts w:asciiTheme="minorEastAsia" w:eastAsiaTheme="minorEastAsia" w:hAnsiTheme="minorEastAsia"/>
          <w:sz w:val="18"/>
          <w:szCs w:val="18"/>
        </w:rPr>
        <w:t>分析报告</w:t>
      </w:r>
      <w:r w:rsidRPr="00194077">
        <w:rPr>
          <w:rFonts w:asciiTheme="minorEastAsia" w:eastAsiaTheme="minorEastAsia" w:hAnsiTheme="minorEastAsia" w:hint="eastAsia"/>
          <w:sz w:val="18"/>
          <w:szCs w:val="18"/>
        </w:rPr>
        <w:t>[R].</w:t>
      </w:r>
      <w:r w:rsidR="00755B44" w:rsidRPr="00194077">
        <w:rPr>
          <w:rFonts w:asciiTheme="minorEastAsia" w:eastAsiaTheme="minorEastAsia" w:hAnsiTheme="minorEastAsia" w:hint="eastAsia"/>
          <w:sz w:val="18"/>
          <w:szCs w:val="18"/>
        </w:rPr>
        <w:t>[</w:t>
      </w:r>
      <w:r w:rsidRPr="00194077">
        <w:rPr>
          <w:rFonts w:asciiTheme="minorEastAsia" w:eastAsiaTheme="minorEastAsia" w:hAnsiTheme="minorEastAsia" w:hint="eastAsia"/>
          <w:sz w:val="18"/>
          <w:szCs w:val="18"/>
        </w:rPr>
        <w:t>2020</w:t>
      </w:r>
      <w:r w:rsidR="00013C6C" w:rsidRPr="00194077">
        <w:rPr>
          <w:rFonts w:asciiTheme="minorEastAsia" w:eastAsiaTheme="minorEastAsia" w:hAnsiTheme="minorEastAsia" w:hint="eastAsia"/>
          <w:sz w:val="18"/>
          <w:szCs w:val="18"/>
        </w:rPr>
        <w:t>]</w:t>
      </w:r>
      <w:r w:rsidRPr="00194077">
        <w:rPr>
          <w:rFonts w:asciiTheme="minorEastAsia" w:eastAsiaTheme="minorEastAsia" w:hAnsiTheme="minorEastAsia" w:hint="eastAsia"/>
          <w:sz w:val="18"/>
          <w:szCs w:val="18"/>
        </w:rPr>
        <w:t>.</w:t>
      </w:r>
    </w:p>
    <w:p w:rsidR="006E0828" w:rsidRPr="00194077" w:rsidRDefault="00B943EA" w:rsidP="006E0828">
      <w:pPr>
        <w:pStyle w:val="a5"/>
        <w:rPr>
          <w:rFonts w:asciiTheme="minorEastAsia" w:eastAsiaTheme="minorEastAsia" w:hAnsiTheme="minorEastAsia"/>
          <w:sz w:val="18"/>
          <w:szCs w:val="18"/>
        </w:rPr>
      </w:pPr>
      <w:r w:rsidRPr="00194077">
        <w:rPr>
          <w:rFonts w:asciiTheme="minorEastAsia" w:eastAsiaTheme="minorEastAsia" w:hAnsiTheme="minorEastAsia" w:hint="eastAsia"/>
          <w:sz w:val="18"/>
          <w:szCs w:val="18"/>
        </w:rPr>
        <w:tab/>
      </w:r>
      <w:hyperlink r:id="rId10" w:history="1">
        <w:r w:rsidR="006E0828" w:rsidRPr="00194077">
          <w:rPr>
            <w:rStyle w:val="a8"/>
            <w:rFonts w:asciiTheme="minorEastAsia" w:eastAsiaTheme="minorEastAsia" w:hAnsiTheme="minorEastAsia"/>
            <w:color w:val="auto"/>
            <w:sz w:val="18"/>
            <w:szCs w:val="18"/>
          </w:rPr>
          <w:t>https://www.chyxx.com/research/201802/612887.html</w:t>
        </w:r>
      </w:hyperlink>
    </w:p>
    <w:p w:rsidR="006E0828" w:rsidRPr="00194077" w:rsidRDefault="006E0828" w:rsidP="006E0828">
      <w:pPr>
        <w:pStyle w:val="a5"/>
        <w:ind w:firstLineChars="200" w:firstLine="360"/>
      </w:pPr>
      <w:r w:rsidRPr="00194077">
        <w:rPr>
          <w:rFonts w:asciiTheme="minorEastAsia" w:eastAsiaTheme="minorEastAsia" w:hAnsiTheme="minorEastAsia" w:hint="eastAsia"/>
          <w:sz w:val="18"/>
          <w:szCs w:val="18"/>
        </w:rPr>
        <w:t>[2]国</w:t>
      </w:r>
      <w:proofErr w:type="gramStart"/>
      <w:r w:rsidRPr="00194077">
        <w:rPr>
          <w:rFonts w:asciiTheme="minorEastAsia" w:eastAsiaTheme="minorEastAsia" w:hAnsiTheme="minorEastAsia" w:hint="eastAsia"/>
          <w:sz w:val="18"/>
          <w:szCs w:val="18"/>
        </w:rPr>
        <w:t>研</w:t>
      </w:r>
      <w:proofErr w:type="gramEnd"/>
      <w:r w:rsidRPr="00194077">
        <w:rPr>
          <w:rFonts w:asciiTheme="minorEastAsia" w:eastAsiaTheme="minorEastAsia" w:hAnsiTheme="minorEastAsia" w:hint="eastAsia"/>
          <w:sz w:val="18"/>
          <w:szCs w:val="18"/>
        </w:rPr>
        <w:t>网.信息产业数据库[DB/OL].[2018].</w:t>
      </w:r>
      <w:r w:rsidRPr="00194077">
        <w:rPr>
          <w:rFonts w:asciiTheme="minorEastAsia" w:eastAsiaTheme="minorEastAsia" w:hAnsiTheme="minorEastAsia"/>
          <w:sz w:val="18"/>
          <w:szCs w:val="18"/>
        </w:rPr>
        <w:t xml:space="preserve"> </w:t>
      </w:r>
      <w:hyperlink r:id="rId11" w:history="1">
        <w:r w:rsidRPr="00194077">
          <w:rPr>
            <w:rStyle w:val="a8"/>
            <w:rFonts w:asciiTheme="minorEastAsia" w:eastAsiaTheme="minorEastAsia" w:hAnsiTheme="minorEastAsia"/>
            <w:color w:val="auto"/>
            <w:sz w:val="18"/>
            <w:szCs w:val="18"/>
          </w:rPr>
          <w:t>http://data.drcnet.com.cn</w:t>
        </w:r>
      </w:hyperlink>
    </w:p>
    <w:p w:rsidR="000A438E" w:rsidRPr="00194077" w:rsidRDefault="000A438E" w:rsidP="00194077">
      <w:pPr>
        <w:pStyle w:val="a5"/>
        <w:ind w:left="360"/>
        <w:rPr>
          <w:rFonts w:asciiTheme="minorEastAsia" w:eastAsiaTheme="minorEastAsia" w:hAnsiTheme="minorEastAsia"/>
          <w:sz w:val="18"/>
          <w:szCs w:val="18"/>
        </w:rPr>
      </w:pPr>
      <w:r w:rsidRPr="00194077">
        <w:rPr>
          <w:rFonts w:asciiTheme="minorEastAsia" w:eastAsiaTheme="minorEastAsia" w:hAnsiTheme="minorEastAsia" w:hint="eastAsia"/>
          <w:sz w:val="18"/>
          <w:szCs w:val="18"/>
        </w:rPr>
        <w:t>[3]吴明.</w:t>
      </w:r>
      <w:r w:rsidR="00194077" w:rsidRPr="00194077">
        <w:rPr>
          <w:rFonts w:asciiTheme="minorEastAsia" w:eastAsiaTheme="minorEastAsia" w:hAnsiTheme="minorEastAsia" w:hint="eastAsia"/>
          <w:sz w:val="18"/>
          <w:szCs w:val="18"/>
        </w:rPr>
        <w:t>《软件人才流动是柄双刃剑》，中国经济时报-中国经济新闻网.</w:t>
      </w:r>
      <w:proofErr w:type="gramStart"/>
      <w:r w:rsidR="00194077" w:rsidRPr="00194077">
        <w:rPr>
          <w:rFonts w:asciiTheme="minorEastAsia" w:eastAsiaTheme="minorEastAsia" w:hAnsiTheme="minorEastAsia" w:hint="eastAsia"/>
          <w:sz w:val="18"/>
          <w:szCs w:val="18"/>
        </w:rPr>
        <w:t>2004-01-16(A01).</w:t>
      </w:r>
      <w:proofErr w:type="gramEnd"/>
      <w:r w:rsidR="00194077" w:rsidRPr="00194077">
        <w:t xml:space="preserve"> </w:t>
      </w:r>
      <w:hyperlink r:id="rId12" w:history="1">
        <w:r w:rsidR="00194077" w:rsidRPr="00194077">
          <w:rPr>
            <w:rStyle w:val="a8"/>
            <w:rFonts w:asciiTheme="minorEastAsia" w:eastAsiaTheme="minorEastAsia" w:hAnsiTheme="minorEastAsia"/>
            <w:color w:val="auto"/>
            <w:sz w:val="18"/>
            <w:szCs w:val="18"/>
          </w:rPr>
          <w:t>http://lib.cet.com.cn/paper/szb_con/79582.html</w:t>
        </w:r>
      </w:hyperlink>
    </w:p>
    <w:sectPr w:rsidR="000A438E" w:rsidRPr="00194077" w:rsidSect="00F672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6C0" w:rsidRDefault="008716C0" w:rsidP="00D97F60">
      <w:r>
        <w:separator/>
      </w:r>
    </w:p>
  </w:endnote>
  <w:endnote w:type="continuationSeparator" w:id="0">
    <w:p w:rsidR="008716C0" w:rsidRDefault="008716C0" w:rsidP="00D97F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6C0" w:rsidRDefault="008716C0" w:rsidP="00D97F60">
      <w:r>
        <w:separator/>
      </w:r>
    </w:p>
  </w:footnote>
  <w:footnote w:type="continuationSeparator" w:id="0">
    <w:p w:rsidR="008716C0" w:rsidRDefault="008716C0" w:rsidP="00D97F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7F60"/>
    <w:rsid w:val="00013C6C"/>
    <w:rsid w:val="0004008F"/>
    <w:rsid w:val="00047E77"/>
    <w:rsid w:val="00066129"/>
    <w:rsid w:val="000A438E"/>
    <w:rsid w:val="000E63EC"/>
    <w:rsid w:val="00130DAC"/>
    <w:rsid w:val="00154B7B"/>
    <w:rsid w:val="00194077"/>
    <w:rsid w:val="001C18E7"/>
    <w:rsid w:val="001C7C0C"/>
    <w:rsid w:val="00225C8B"/>
    <w:rsid w:val="002A1F4B"/>
    <w:rsid w:val="002C777D"/>
    <w:rsid w:val="002F26F4"/>
    <w:rsid w:val="003349BA"/>
    <w:rsid w:val="003524A9"/>
    <w:rsid w:val="00363AD7"/>
    <w:rsid w:val="00373168"/>
    <w:rsid w:val="00523BD0"/>
    <w:rsid w:val="005A1983"/>
    <w:rsid w:val="005B1351"/>
    <w:rsid w:val="005D29D2"/>
    <w:rsid w:val="005D7843"/>
    <w:rsid w:val="006133EB"/>
    <w:rsid w:val="00642091"/>
    <w:rsid w:val="006E0671"/>
    <w:rsid w:val="006E0828"/>
    <w:rsid w:val="006E7FBA"/>
    <w:rsid w:val="00755B44"/>
    <w:rsid w:val="007B0BB4"/>
    <w:rsid w:val="007D3DB7"/>
    <w:rsid w:val="008716C0"/>
    <w:rsid w:val="00891715"/>
    <w:rsid w:val="009031E5"/>
    <w:rsid w:val="00917DEF"/>
    <w:rsid w:val="0099033A"/>
    <w:rsid w:val="009A56C5"/>
    <w:rsid w:val="00A07416"/>
    <w:rsid w:val="00AA2D06"/>
    <w:rsid w:val="00B46F3A"/>
    <w:rsid w:val="00B943EA"/>
    <w:rsid w:val="00BE6B15"/>
    <w:rsid w:val="00C1468C"/>
    <w:rsid w:val="00CB7956"/>
    <w:rsid w:val="00D00AAA"/>
    <w:rsid w:val="00D5219C"/>
    <w:rsid w:val="00D97F60"/>
    <w:rsid w:val="00DD2E91"/>
    <w:rsid w:val="00E17BED"/>
    <w:rsid w:val="00E761AC"/>
    <w:rsid w:val="00EC35C2"/>
    <w:rsid w:val="00F54011"/>
    <w:rsid w:val="00F56A0E"/>
    <w:rsid w:val="00F658DE"/>
    <w:rsid w:val="00F672B3"/>
    <w:rsid w:val="00F75223"/>
    <w:rsid w:val="00F826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2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7F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7F60"/>
    <w:rPr>
      <w:sz w:val="18"/>
      <w:szCs w:val="18"/>
    </w:rPr>
  </w:style>
  <w:style w:type="paragraph" w:styleId="a4">
    <w:name w:val="footer"/>
    <w:basedOn w:val="a"/>
    <w:link w:val="Char0"/>
    <w:uiPriority w:val="99"/>
    <w:semiHidden/>
    <w:unhideWhenUsed/>
    <w:rsid w:val="00D97F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7F60"/>
    <w:rPr>
      <w:sz w:val="18"/>
      <w:szCs w:val="18"/>
    </w:rPr>
  </w:style>
  <w:style w:type="character" w:customStyle="1" w:styleId="Char1">
    <w:name w:val="批注文字 Char"/>
    <w:basedOn w:val="a0"/>
    <w:link w:val="a5"/>
    <w:semiHidden/>
    <w:rsid w:val="00225C8B"/>
    <w:rPr>
      <w:rFonts w:ascii="Times New Roman" w:eastAsia="宋体" w:hAnsi="Times New Roman" w:cs="Times New Roman"/>
      <w:szCs w:val="24"/>
    </w:rPr>
  </w:style>
  <w:style w:type="paragraph" w:styleId="a5">
    <w:name w:val="annotation text"/>
    <w:basedOn w:val="a"/>
    <w:link w:val="Char1"/>
    <w:semiHidden/>
    <w:qFormat/>
    <w:rsid w:val="00225C8B"/>
    <w:pPr>
      <w:jc w:val="left"/>
    </w:pPr>
    <w:rPr>
      <w:rFonts w:ascii="Times New Roman" w:eastAsia="宋体" w:hAnsi="Times New Roman" w:cs="Times New Roman"/>
      <w:szCs w:val="24"/>
    </w:rPr>
  </w:style>
  <w:style w:type="character" w:customStyle="1" w:styleId="Char10">
    <w:name w:val="批注文字 Char1"/>
    <w:basedOn w:val="a0"/>
    <w:link w:val="a5"/>
    <w:uiPriority w:val="99"/>
    <w:semiHidden/>
    <w:rsid w:val="00225C8B"/>
  </w:style>
  <w:style w:type="paragraph" w:customStyle="1" w:styleId="DepartCorrespond">
    <w:name w:val="Depart.Correspond"/>
    <w:basedOn w:val="a"/>
    <w:qFormat/>
    <w:rsid w:val="00225C8B"/>
    <w:pPr>
      <w:widowControl/>
      <w:ind w:left="66" w:hangingChars="66" w:hanging="66"/>
    </w:pPr>
    <w:rPr>
      <w:rFonts w:ascii="Times New Roman" w:eastAsia="宋体" w:hAnsi="Times New Roman" w:cs="Times New Roman"/>
      <w:iCs/>
      <w:kern w:val="0"/>
      <w:sz w:val="16"/>
      <w:szCs w:val="20"/>
    </w:rPr>
  </w:style>
  <w:style w:type="character" w:customStyle="1" w:styleId="Char2">
    <w:name w:val="正文文本 Char"/>
    <w:basedOn w:val="a0"/>
    <w:link w:val="a6"/>
    <w:rsid w:val="00225C8B"/>
    <w:rPr>
      <w:rFonts w:ascii="Times New Roman" w:eastAsia="宋体" w:hAnsi="Times New Roman" w:cs="Times New Roman"/>
      <w:szCs w:val="24"/>
    </w:rPr>
  </w:style>
  <w:style w:type="paragraph" w:styleId="a6">
    <w:name w:val="Body Text"/>
    <w:basedOn w:val="a"/>
    <w:link w:val="Char2"/>
    <w:qFormat/>
    <w:rsid w:val="00225C8B"/>
    <w:pPr>
      <w:spacing w:after="120"/>
    </w:pPr>
    <w:rPr>
      <w:rFonts w:ascii="Times New Roman" w:eastAsia="宋体" w:hAnsi="Times New Roman" w:cs="Times New Roman"/>
      <w:szCs w:val="24"/>
    </w:rPr>
  </w:style>
  <w:style w:type="character" w:customStyle="1" w:styleId="Char11">
    <w:name w:val="正文文本 Char1"/>
    <w:basedOn w:val="a0"/>
    <w:link w:val="a6"/>
    <w:uiPriority w:val="99"/>
    <w:semiHidden/>
    <w:rsid w:val="00225C8B"/>
  </w:style>
  <w:style w:type="paragraph" w:styleId="a7">
    <w:name w:val="Balloon Text"/>
    <w:basedOn w:val="a"/>
    <w:link w:val="Char3"/>
    <w:uiPriority w:val="99"/>
    <w:semiHidden/>
    <w:unhideWhenUsed/>
    <w:rsid w:val="00013C6C"/>
    <w:rPr>
      <w:sz w:val="18"/>
      <w:szCs w:val="18"/>
    </w:rPr>
  </w:style>
  <w:style w:type="character" w:customStyle="1" w:styleId="Char3">
    <w:name w:val="批注框文本 Char"/>
    <w:basedOn w:val="a0"/>
    <w:link w:val="a7"/>
    <w:uiPriority w:val="99"/>
    <w:semiHidden/>
    <w:rsid w:val="00013C6C"/>
    <w:rPr>
      <w:sz w:val="18"/>
      <w:szCs w:val="18"/>
    </w:rPr>
  </w:style>
  <w:style w:type="character" w:styleId="a8">
    <w:name w:val="Hyperlink"/>
    <w:basedOn w:val="a0"/>
    <w:uiPriority w:val="99"/>
    <w:unhideWhenUsed/>
    <w:rsid w:val="006E0828"/>
    <w:rPr>
      <w:color w:val="0000FF" w:themeColor="hyperlink"/>
      <w:u w:val="single"/>
    </w:rPr>
  </w:style>
  <w:style w:type="paragraph" w:styleId="a9">
    <w:name w:val="List Paragraph"/>
    <w:basedOn w:val="a"/>
    <w:uiPriority w:val="34"/>
    <w:qFormat/>
    <w:rsid w:val="007B0BB4"/>
    <w:pPr>
      <w:ind w:firstLineChars="200" w:firstLine="420"/>
    </w:pPr>
  </w:style>
  <w:style w:type="paragraph" w:styleId="aa">
    <w:name w:val="Normal (Web)"/>
    <w:basedOn w:val="a"/>
    <w:uiPriority w:val="99"/>
    <w:unhideWhenUsed/>
    <w:rsid w:val="00E761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37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lib.cet.com.cn/paper/szb_con/7958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drcnet.com.cn/" TargetMode="External"/><Relationship Id="rId5" Type="http://schemas.openxmlformats.org/officeDocument/2006/relationships/footnotes" Target="footnotes.xml"/><Relationship Id="rId10" Type="http://schemas.openxmlformats.org/officeDocument/2006/relationships/hyperlink" Target="https://www.chyxx.com/research/201802/612887.html"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23398;&#20064;\&#22823;&#19977;&#19979;\IT&#20262;&#29702;&#19982;&#20174;&#19994;&#32032;&#20859;\&#36164;&#26009;\&#22269;&#30740;&#25968;&#25454;_&#20449;&#24687;&#20135;&#19994;_20214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23398;&#20064;\&#22823;&#19977;&#19979;\IT&#20262;&#29702;&#19982;&#20174;&#19994;&#32032;&#20859;\&#36164;&#26009;\&#22269;&#30740;&#25968;&#25454;_&#20449;&#24687;&#20135;&#19994;_202143.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D:\&#23398;&#20064;\&#22823;&#19977;&#19979;\IT&#20262;&#29702;&#19982;&#20174;&#19994;&#32032;&#20859;\&#36164;&#26009;\&#22269;&#30740;&#25968;&#25454;_&#20449;&#24687;&#20135;&#19994;_2021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1"/>
  <c:chart>
    <c:autoTitleDeleted val="1"/>
    <c:plotArea>
      <c:layout>
        <c:manualLayout>
          <c:layoutTarget val="inner"/>
          <c:xMode val="edge"/>
          <c:yMode val="edge"/>
          <c:x val="0.13789921918755971"/>
          <c:y val="0.12018855736159366"/>
          <c:w val="0.858444131433719"/>
          <c:h val="0.76519231104981211"/>
        </c:manualLayout>
      </c:layout>
      <c:barChart>
        <c:barDir val="col"/>
        <c:grouping val="clustered"/>
        <c:ser>
          <c:idx val="0"/>
          <c:order val="0"/>
          <c:tx>
            <c:v>软件产品收入</c:v>
          </c:tx>
          <c:dLbls>
            <c:dLbl>
              <c:idx val="10"/>
              <c:layout>
                <c:manualLayout>
                  <c:x val="1.353637901861258E-2"/>
                  <c:y val="-3.9911308203991192E-2"/>
                </c:manualLayout>
              </c:layout>
              <c:dLblPos val="outEnd"/>
              <c:showVal val="1"/>
            </c:dLbl>
            <c:dLblPos val="outEnd"/>
            <c:showVal val="1"/>
          </c:dLbls>
          <c:trendline>
            <c:trendlineType val="linear"/>
            <c:forward val="2"/>
          </c:trendline>
          <c:cat>
            <c:strRef>
              <c:f>Sheet1!$A$4:$A$14</c:f>
              <c:strCache>
                <c:ptCount val="11"/>
                <c:pt idx="0">
                  <c:v>2008年</c:v>
                </c:pt>
                <c:pt idx="1">
                  <c:v>2009年</c:v>
                </c:pt>
                <c:pt idx="2">
                  <c:v>2010年</c:v>
                </c:pt>
                <c:pt idx="3">
                  <c:v>2011年</c:v>
                </c:pt>
                <c:pt idx="4">
                  <c:v>2012年</c:v>
                </c:pt>
                <c:pt idx="5">
                  <c:v>2013年</c:v>
                </c:pt>
                <c:pt idx="6">
                  <c:v>2014年</c:v>
                </c:pt>
                <c:pt idx="7">
                  <c:v>2015年</c:v>
                </c:pt>
                <c:pt idx="8">
                  <c:v>2016年</c:v>
                </c:pt>
                <c:pt idx="9">
                  <c:v>2017年</c:v>
                </c:pt>
                <c:pt idx="10">
                  <c:v>2018年</c:v>
                </c:pt>
              </c:strCache>
            </c:strRef>
          </c:cat>
          <c:val>
            <c:numRef>
              <c:f>Sheet1!$B$4:$B$14</c:f>
              <c:numCache>
                <c:formatCode>_ * #,##0_ ;_ * \-#,##0_ ;_ * "-"??_ ;_ @_ </c:formatCode>
                <c:ptCount val="11"/>
                <c:pt idx="0">
                  <c:v>22947695</c:v>
                </c:pt>
                <c:pt idx="1">
                  <c:v>34220246</c:v>
                </c:pt>
                <c:pt idx="2">
                  <c:v>49305320</c:v>
                </c:pt>
                <c:pt idx="3">
                  <c:v>61921546</c:v>
                </c:pt>
                <c:pt idx="4">
                  <c:v>78572419</c:v>
                </c:pt>
                <c:pt idx="5">
                  <c:v>98768381</c:v>
                </c:pt>
                <c:pt idx="6">
                  <c:v>121984962</c:v>
                </c:pt>
                <c:pt idx="7">
                  <c:v>136561432</c:v>
                </c:pt>
                <c:pt idx="8">
                  <c:v>150278252</c:v>
                </c:pt>
                <c:pt idx="9">
                  <c:v>169835725</c:v>
                </c:pt>
                <c:pt idx="10">
                  <c:v>173785598</c:v>
                </c:pt>
              </c:numCache>
            </c:numRef>
          </c:val>
        </c:ser>
        <c:axId val="177560960"/>
        <c:axId val="177599616"/>
      </c:barChart>
      <c:catAx>
        <c:axId val="177560960"/>
        <c:scaling>
          <c:orientation val="minMax"/>
        </c:scaling>
        <c:axPos val="b"/>
        <c:majorTickMark val="none"/>
        <c:tickLblPos val="nextTo"/>
        <c:crossAx val="177599616"/>
        <c:crosses val="autoZero"/>
        <c:auto val="1"/>
        <c:lblAlgn val="ctr"/>
        <c:lblOffset val="100"/>
      </c:catAx>
      <c:valAx>
        <c:axId val="177599616"/>
        <c:scaling>
          <c:orientation val="minMax"/>
        </c:scaling>
        <c:axPos val="l"/>
        <c:majorGridlines/>
        <c:numFmt formatCode="_ * #,##0_ ;_ * \-#,##0_ ;_ * &quot;-&quot;??_ ;_ @_ " sourceLinked="1"/>
        <c:majorTickMark val="none"/>
        <c:tickLblPos val="nextTo"/>
        <c:crossAx val="177560960"/>
        <c:crosses val="autoZero"/>
        <c:crossBetween val="between"/>
      </c:valAx>
    </c:plotArea>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style val="1"/>
  <c:chart>
    <c:autoTitleDeleted val="1"/>
    <c:plotArea>
      <c:layout>
        <c:manualLayout>
          <c:layoutTarget val="inner"/>
          <c:xMode val="edge"/>
          <c:yMode val="edge"/>
          <c:x val="0.11094096977715184"/>
          <c:y val="0.10647067357786306"/>
          <c:w val="0.86918549815419677"/>
          <c:h val="0.81095239979424483"/>
        </c:manualLayout>
      </c:layout>
      <c:barChart>
        <c:barDir val="col"/>
        <c:grouping val="clustered"/>
        <c:ser>
          <c:idx val="0"/>
          <c:order val="0"/>
          <c:tx>
            <c:v>劳动者报酬</c:v>
          </c:tx>
          <c:dLbls>
            <c:dLbl>
              <c:idx val="0"/>
              <c:layout>
                <c:manualLayout>
                  <c:x val="0"/>
                  <c:y val="2.2321428571428582E-2"/>
                </c:manualLayout>
              </c:layout>
              <c:dLblPos val="outEnd"/>
              <c:showVal val="1"/>
            </c:dLbl>
            <c:numFmt formatCode="#,##0_);\(#,##0\)" sourceLinked="0"/>
            <c:dLblPos val="outEnd"/>
            <c:showVal val="1"/>
          </c:dLbls>
          <c:trendline>
            <c:trendlineType val="linear"/>
          </c:trendline>
          <c:cat>
            <c:strRef>
              <c:f>Sheet1!$A$4:$A$14</c:f>
              <c:strCache>
                <c:ptCount val="11"/>
                <c:pt idx="0">
                  <c:v>2008年</c:v>
                </c:pt>
                <c:pt idx="1">
                  <c:v>2009年</c:v>
                </c:pt>
                <c:pt idx="2">
                  <c:v>2010年</c:v>
                </c:pt>
                <c:pt idx="3">
                  <c:v>2011年</c:v>
                </c:pt>
                <c:pt idx="4">
                  <c:v>2012年</c:v>
                </c:pt>
                <c:pt idx="5">
                  <c:v>2013年</c:v>
                </c:pt>
                <c:pt idx="6">
                  <c:v>2014年</c:v>
                </c:pt>
                <c:pt idx="7">
                  <c:v>2015年</c:v>
                </c:pt>
                <c:pt idx="8">
                  <c:v>2016年</c:v>
                </c:pt>
                <c:pt idx="9">
                  <c:v>2017年</c:v>
                </c:pt>
                <c:pt idx="10">
                  <c:v>2018年</c:v>
                </c:pt>
              </c:strCache>
            </c:strRef>
          </c:cat>
          <c:val>
            <c:numRef>
              <c:f>Sheet1!$C$4:$C$14</c:f>
              <c:numCache>
                <c:formatCode>General</c:formatCode>
                <c:ptCount val="11"/>
                <c:pt idx="0">
                  <c:v>10029460</c:v>
                </c:pt>
                <c:pt idx="1">
                  <c:v>14198259</c:v>
                </c:pt>
                <c:pt idx="2">
                  <c:v>20863262</c:v>
                </c:pt>
                <c:pt idx="3">
                  <c:v>28523736</c:v>
                </c:pt>
                <c:pt idx="4">
                  <c:v>37492846</c:v>
                </c:pt>
                <c:pt idx="5">
                  <c:v>47060921</c:v>
                </c:pt>
                <c:pt idx="6">
                  <c:v>57531358</c:v>
                </c:pt>
                <c:pt idx="7">
                  <c:v>59396494</c:v>
                </c:pt>
                <c:pt idx="8">
                  <c:v>69158814</c:v>
                </c:pt>
                <c:pt idx="9">
                  <c:v>84011570</c:v>
                </c:pt>
                <c:pt idx="10">
                  <c:v>94779838</c:v>
                </c:pt>
              </c:numCache>
            </c:numRef>
          </c:val>
        </c:ser>
        <c:dLbls>
          <c:showVal val="1"/>
        </c:dLbls>
        <c:axId val="231463936"/>
        <c:axId val="231515648"/>
      </c:barChart>
      <c:catAx>
        <c:axId val="231463936"/>
        <c:scaling>
          <c:orientation val="minMax"/>
        </c:scaling>
        <c:axPos val="b"/>
        <c:tickLblPos val="nextTo"/>
        <c:crossAx val="231515648"/>
        <c:crosses val="autoZero"/>
        <c:auto val="1"/>
        <c:lblAlgn val="ctr"/>
        <c:lblOffset val="100"/>
      </c:catAx>
      <c:valAx>
        <c:axId val="231515648"/>
        <c:scaling>
          <c:orientation val="minMax"/>
        </c:scaling>
        <c:axPos val="l"/>
        <c:majorGridlines/>
        <c:numFmt formatCode="General" sourceLinked="1"/>
        <c:tickLblPos val="nextTo"/>
        <c:crossAx val="231463936"/>
        <c:crosses val="autoZero"/>
        <c:crossBetween val="between"/>
      </c:valAx>
    </c:plotArea>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style val="1"/>
  <c:chart>
    <c:plotArea>
      <c:layout>
        <c:manualLayout>
          <c:layoutTarget val="inner"/>
          <c:xMode val="edge"/>
          <c:yMode val="edge"/>
          <c:x val="0.19920176059453243"/>
          <c:y val="9.7696850393701018E-2"/>
          <c:w val="0.76989936300097472"/>
          <c:h val="0.7011450131233613"/>
        </c:manualLayout>
      </c:layout>
      <c:lineChart>
        <c:grouping val="standard"/>
        <c:ser>
          <c:idx val="0"/>
          <c:order val="0"/>
          <c:tx>
            <c:v>软件产品收入</c:v>
          </c:tx>
          <c:marker>
            <c:symbol val="none"/>
          </c:marker>
          <c:trendline>
            <c:trendlineType val="linear"/>
          </c:trendline>
          <c:cat>
            <c:strRef>
              <c:f>Sheet1!$A$4:$A$14</c:f>
              <c:strCache>
                <c:ptCount val="11"/>
                <c:pt idx="0">
                  <c:v>2008年</c:v>
                </c:pt>
                <c:pt idx="1">
                  <c:v>2009年</c:v>
                </c:pt>
                <c:pt idx="2">
                  <c:v>2010年</c:v>
                </c:pt>
                <c:pt idx="3">
                  <c:v>2011年</c:v>
                </c:pt>
                <c:pt idx="4">
                  <c:v>2012年</c:v>
                </c:pt>
                <c:pt idx="5">
                  <c:v>2013年</c:v>
                </c:pt>
                <c:pt idx="6">
                  <c:v>2014年</c:v>
                </c:pt>
                <c:pt idx="7">
                  <c:v>2015年</c:v>
                </c:pt>
                <c:pt idx="8">
                  <c:v>2016年</c:v>
                </c:pt>
                <c:pt idx="9">
                  <c:v>2017年</c:v>
                </c:pt>
                <c:pt idx="10">
                  <c:v>2018年</c:v>
                </c:pt>
              </c:strCache>
            </c:strRef>
          </c:cat>
          <c:val>
            <c:numRef>
              <c:f>Sheet1!$B$4:$B$14</c:f>
              <c:numCache>
                <c:formatCode>_ * #,##0_ ;_ * \-#,##0_ ;_ * "-"??_ ;_ @_ </c:formatCode>
                <c:ptCount val="11"/>
                <c:pt idx="0">
                  <c:v>22947695</c:v>
                </c:pt>
                <c:pt idx="1">
                  <c:v>34220246</c:v>
                </c:pt>
                <c:pt idx="2">
                  <c:v>49305320</c:v>
                </c:pt>
                <c:pt idx="3">
                  <c:v>61921546</c:v>
                </c:pt>
                <c:pt idx="4">
                  <c:v>78572419</c:v>
                </c:pt>
                <c:pt idx="5">
                  <c:v>98768381</c:v>
                </c:pt>
                <c:pt idx="6">
                  <c:v>121984962</c:v>
                </c:pt>
                <c:pt idx="7">
                  <c:v>136561432</c:v>
                </c:pt>
                <c:pt idx="8">
                  <c:v>150278252</c:v>
                </c:pt>
                <c:pt idx="9">
                  <c:v>169835725</c:v>
                </c:pt>
                <c:pt idx="10">
                  <c:v>173785598</c:v>
                </c:pt>
              </c:numCache>
            </c:numRef>
          </c:val>
        </c:ser>
        <c:ser>
          <c:idx val="1"/>
          <c:order val="1"/>
          <c:tx>
            <c:v>劳动者报酬</c:v>
          </c:tx>
          <c:marker>
            <c:symbol val="none"/>
          </c:marker>
          <c:trendline>
            <c:trendlineType val="linear"/>
          </c:trendline>
          <c:cat>
            <c:strRef>
              <c:f>Sheet1!$A$4:$A$14</c:f>
              <c:strCache>
                <c:ptCount val="11"/>
                <c:pt idx="0">
                  <c:v>2008年</c:v>
                </c:pt>
                <c:pt idx="1">
                  <c:v>2009年</c:v>
                </c:pt>
                <c:pt idx="2">
                  <c:v>2010年</c:v>
                </c:pt>
                <c:pt idx="3">
                  <c:v>2011年</c:v>
                </c:pt>
                <c:pt idx="4">
                  <c:v>2012年</c:v>
                </c:pt>
                <c:pt idx="5">
                  <c:v>2013年</c:v>
                </c:pt>
                <c:pt idx="6">
                  <c:v>2014年</c:v>
                </c:pt>
                <c:pt idx="7">
                  <c:v>2015年</c:v>
                </c:pt>
                <c:pt idx="8">
                  <c:v>2016年</c:v>
                </c:pt>
                <c:pt idx="9">
                  <c:v>2017年</c:v>
                </c:pt>
                <c:pt idx="10">
                  <c:v>2018年</c:v>
                </c:pt>
              </c:strCache>
            </c:strRef>
          </c:cat>
          <c:val>
            <c:numRef>
              <c:f>Sheet1!$C$4:$C$14</c:f>
              <c:numCache>
                <c:formatCode>General</c:formatCode>
                <c:ptCount val="11"/>
                <c:pt idx="0">
                  <c:v>10029460</c:v>
                </c:pt>
                <c:pt idx="1">
                  <c:v>14198259</c:v>
                </c:pt>
                <c:pt idx="2">
                  <c:v>20863262</c:v>
                </c:pt>
                <c:pt idx="3">
                  <c:v>28523736</c:v>
                </c:pt>
                <c:pt idx="4">
                  <c:v>37492846</c:v>
                </c:pt>
                <c:pt idx="5">
                  <c:v>47060921</c:v>
                </c:pt>
                <c:pt idx="6">
                  <c:v>57531358</c:v>
                </c:pt>
                <c:pt idx="7">
                  <c:v>59396494</c:v>
                </c:pt>
                <c:pt idx="8">
                  <c:v>69158814</c:v>
                </c:pt>
                <c:pt idx="9">
                  <c:v>84011570</c:v>
                </c:pt>
                <c:pt idx="10">
                  <c:v>94779838</c:v>
                </c:pt>
              </c:numCache>
            </c:numRef>
          </c:val>
        </c:ser>
        <c:marker val="1"/>
        <c:axId val="239607168"/>
        <c:axId val="240013696"/>
      </c:lineChart>
      <c:catAx>
        <c:axId val="239607168"/>
        <c:scaling>
          <c:orientation val="minMax"/>
        </c:scaling>
        <c:axPos val="b"/>
        <c:tickLblPos val="nextTo"/>
        <c:crossAx val="240013696"/>
        <c:crosses val="autoZero"/>
        <c:auto val="1"/>
        <c:lblAlgn val="ctr"/>
        <c:lblOffset val="100"/>
      </c:catAx>
      <c:valAx>
        <c:axId val="240013696"/>
        <c:scaling>
          <c:orientation val="minMax"/>
        </c:scaling>
        <c:axPos val="l"/>
        <c:majorGridlines/>
        <c:numFmt formatCode="_ * #,##0_ ;_ * \-#,##0_ ;_ * &quot;-&quot;??_ ;_ @_ " sourceLinked="1"/>
        <c:tickLblPos val="nextTo"/>
        <c:crossAx val="239607168"/>
        <c:crosses val="autoZero"/>
        <c:crossBetween val="between"/>
      </c:valAx>
    </c:plotArea>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0.12406</cdr:x>
      <cdr:y>0</cdr:y>
    </cdr:from>
    <cdr:to>
      <cdr:x>0.25884</cdr:x>
      <cdr:y>0.11356</cdr:y>
    </cdr:to>
    <cdr:sp macro="" textlink="">
      <cdr:nvSpPr>
        <cdr:cNvPr id="2" name="TextBox 1"/>
        <cdr:cNvSpPr txBox="1"/>
      </cdr:nvSpPr>
      <cdr:spPr>
        <a:xfrm xmlns:a="http://schemas.openxmlformats.org/drawingml/2006/main">
          <a:off x="623918" y="0"/>
          <a:ext cx="677831"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100"/>
            <a:t>(</a:t>
          </a:r>
          <a:r>
            <a:rPr lang="zh-CN" altLang="en-US" sz="1100"/>
            <a:t>万元</a:t>
          </a:r>
          <a:r>
            <a:rPr lang="en-US" altLang="zh-CN" sz="1100"/>
            <a:t>)</a:t>
          </a:r>
          <a:endParaRPr lang="zh-CN" alt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0.08912</cdr:x>
      <cdr:y>0.01539</cdr:y>
    </cdr:from>
    <cdr:to>
      <cdr:x>0.19662</cdr:x>
      <cdr:y>0.10268</cdr:y>
    </cdr:to>
    <cdr:sp macro="" textlink="">
      <cdr:nvSpPr>
        <cdr:cNvPr id="2" name="TextBox 1"/>
        <cdr:cNvSpPr txBox="1"/>
      </cdr:nvSpPr>
      <cdr:spPr>
        <a:xfrm xmlns:a="http://schemas.openxmlformats.org/drawingml/2006/main">
          <a:off x="470055" y="43771"/>
          <a:ext cx="566988" cy="2483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100"/>
            <a:t>(</a:t>
          </a:r>
          <a:r>
            <a:rPr lang="zh-CN" altLang="en-US" sz="1100"/>
            <a:t>万元</a:t>
          </a:r>
          <a:r>
            <a:rPr lang="en-US" altLang="zh-CN" sz="1100"/>
            <a:t>)</a:t>
          </a:r>
          <a:endParaRPr lang="zh-CN" alt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0.73876</cdr:x>
      <cdr:y>0.04861</cdr:y>
    </cdr:from>
    <cdr:to>
      <cdr:x>0.92978</cdr:x>
      <cdr:y>0.12963</cdr:y>
    </cdr:to>
    <cdr:sp macro="" textlink="">
      <cdr:nvSpPr>
        <cdr:cNvPr id="2" name="TextBox 1"/>
        <cdr:cNvSpPr txBox="1"/>
      </cdr:nvSpPr>
      <cdr:spPr>
        <a:xfrm xmlns:a="http://schemas.openxmlformats.org/drawingml/2006/main">
          <a:off x="3340100" y="133350"/>
          <a:ext cx="863600" cy="2222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0.71629</cdr:x>
      <cdr:y>0.06481</cdr:y>
    </cdr:from>
    <cdr:to>
      <cdr:x>0.9677</cdr:x>
      <cdr:y>0.13889</cdr:y>
    </cdr:to>
    <cdr:sp macro="" textlink="">
      <cdr:nvSpPr>
        <cdr:cNvPr id="3" name="TextBox 2"/>
        <cdr:cNvSpPr txBox="1"/>
      </cdr:nvSpPr>
      <cdr:spPr>
        <a:xfrm xmlns:a="http://schemas.openxmlformats.org/drawingml/2006/main">
          <a:off x="3238500" y="177800"/>
          <a:ext cx="1136650" cy="203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100"/>
            <a:t>软件产品收入</a:t>
          </a:r>
        </a:p>
      </cdr:txBody>
    </cdr:sp>
  </cdr:relSizeAnchor>
  <cdr:relSizeAnchor xmlns:cdr="http://schemas.openxmlformats.org/drawingml/2006/chartDrawing">
    <cdr:from>
      <cdr:x>0.73315</cdr:x>
      <cdr:y>0.48148</cdr:y>
    </cdr:from>
    <cdr:to>
      <cdr:x>0.93539</cdr:x>
      <cdr:y>0.81481</cdr:y>
    </cdr:to>
    <cdr:sp macro="" textlink="">
      <cdr:nvSpPr>
        <cdr:cNvPr id="4" name="TextBox 3"/>
        <cdr:cNvSpPr txBox="1"/>
      </cdr:nvSpPr>
      <cdr:spPr>
        <a:xfrm xmlns:a="http://schemas.openxmlformats.org/drawingml/2006/main">
          <a:off x="3314700" y="13208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0.72331</cdr:x>
      <cdr:y>0.39583</cdr:y>
    </cdr:from>
    <cdr:to>
      <cdr:x>0.98596</cdr:x>
      <cdr:y>0.49074</cdr:y>
    </cdr:to>
    <cdr:sp macro="" textlink="">
      <cdr:nvSpPr>
        <cdr:cNvPr id="5" name="TextBox 4"/>
        <cdr:cNvSpPr txBox="1"/>
      </cdr:nvSpPr>
      <cdr:spPr>
        <a:xfrm xmlns:a="http://schemas.openxmlformats.org/drawingml/2006/main">
          <a:off x="3270250" y="1085850"/>
          <a:ext cx="1187450" cy="2603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100"/>
            <a:t>劳动者报酬</a:t>
          </a:r>
        </a:p>
      </cdr:txBody>
    </cdr:sp>
  </cdr:relSizeAnchor>
  <cdr:relSizeAnchor xmlns:cdr="http://schemas.openxmlformats.org/drawingml/2006/chartDrawing">
    <cdr:from>
      <cdr:x>0.16854</cdr:x>
      <cdr:y>0.01157</cdr:y>
    </cdr:from>
    <cdr:to>
      <cdr:x>0.30478</cdr:x>
      <cdr:y>0.08102</cdr:y>
    </cdr:to>
    <cdr:sp macro="" textlink="">
      <cdr:nvSpPr>
        <cdr:cNvPr id="6" name="TextBox 5"/>
        <cdr:cNvSpPr txBox="1"/>
      </cdr:nvSpPr>
      <cdr:spPr>
        <a:xfrm xmlns:a="http://schemas.openxmlformats.org/drawingml/2006/main">
          <a:off x="762000" y="31750"/>
          <a:ext cx="615950" cy="190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100"/>
            <a:t>(</a:t>
          </a:r>
          <a:r>
            <a:rPr lang="zh-CN" altLang="en-US" sz="1100"/>
            <a:t>万元</a:t>
          </a:r>
          <a:r>
            <a:rPr lang="en-US" altLang="zh-CN" sz="1100"/>
            <a:t>)</a:t>
          </a:r>
          <a:endParaRPr lang="zh-CN" altLang="en-US" sz="11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cp:lastPrinted>2021-04-05T09:36:00Z</cp:lastPrinted>
  <dcterms:created xsi:type="dcterms:W3CDTF">2021-04-01T06:18:00Z</dcterms:created>
  <dcterms:modified xsi:type="dcterms:W3CDTF">2021-04-05T09:41:00Z</dcterms:modified>
</cp:coreProperties>
</file>