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before="360" w:beforeLines="100" w:after="360" w:afterLines="100" w:line="360" w:lineRule="auto"/>
        <w:jc w:val="center"/>
        <w:rPr>
          <w:rFonts w:hint="eastAsia" w:ascii="黑体" w:hAnsi="黑体" w:eastAsia="黑体" w:cs="Times New Roman"/>
          <w:kern w:val="0"/>
          <w:sz w:val="32"/>
          <w:szCs w:val="32"/>
        </w:rPr>
      </w:pPr>
      <w:r>
        <w:rPr>
          <w:rFonts w:hint="eastAsia" w:ascii="黑体" w:hAnsi="黑体" w:eastAsia="黑体" w:cs="Times New Roman"/>
          <w:kern w:val="0"/>
          <w:sz w:val="32"/>
          <w:szCs w:val="32"/>
        </w:rPr>
        <w:t>有关IT行业薪酬变化的数据分析</w:t>
      </w:r>
    </w:p>
    <w:p>
      <w:pPr>
        <w:widowControl/>
        <w:adjustRightInd w:val="0"/>
        <w:snapToGrid w:val="0"/>
        <w:spacing w:after="0" w:line="360" w:lineRule="auto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赵浩然</w:t>
      </w:r>
    </w:p>
    <w:p>
      <w:pPr>
        <w:widowControl/>
        <w:adjustRightInd w:val="0"/>
        <w:snapToGrid w:val="0"/>
        <w:spacing w:after="0" w:line="220" w:lineRule="atLeast"/>
        <w:jc w:val="left"/>
        <w:rPr>
          <w:rFonts w:hint="eastAsia" w:ascii="仿宋" w:hAnsi="仿宋" w:eastAsia="仿宋" w:cs="Times New Roman"/>
          <w:kern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Times New Roman"/>
          <w:kern w:val="0"/>
          <w:sz w:val="18"/>
          <w:szCs w:val="18"/>
          <w:lang w:val="en-US" w:eastAsia="zh-CN"/>
        </w:rPr>
        <w:t>大连理工大学软件学院</w:t>
      </w:r>
    </w:p>
    <w:p>
      <w:pPr>
        <w:widowControl/>
        <w:adjustRightInd w:val="0"/>
        <w:snapToGrid w:val="0"/>
        <w:spacing w:after="0" w:line="220" w:lineRule="atLeast"/>
        <w:jc w:val="left"/>
        <w:rPr>
          <w:rFonts w:hint="eastAsia" w:ascii="仿宋" w:hAnsi="仿宋" w:eastAsia="仿宋" w:cs="Times New Roman"/>
          <w:kern w:val="0"/>
          <w:sz w:val="18"/>
          <w:szCs w:val="18"/>
          <w:lang w:val="en-US" w:eastAsia="zh-CN"/>
        </w:rPr>
      </w:pPr>
    </w:p>
    <w:p>
      <w:pPr>
        <w:widowControl/>
        <w:adjustRightInd w:val="0"/>
        <w:snapToGrid w:val="0"/>
        <w:spacing w:before="180" w:beforeLines="50" w:after="180" w:afterLines="50" w:line="220" w:lineRule="atLeast"/>
        <w:jc w:val="left"/>
        <w:rPr>
          <w:rFonts w:hint="default" w:ascii="仿宋" w:hAnsi="仿宋" w:eastAsia="仿宋" w:cs="仿宋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Times New Roman"/>
          <w:b/>
          <w:kern w:val="0"/>
          <w:sz w:val="18"/>
          <w:szCs w:val="18"/>
        </w:rPr>
        <w:t>摘 要</w:t>
      </w:r>
      <w:r>
        <w:rPr>
          <w:rFonts w:hint="eastAsia" w:ascii="仿宋" w:hAnsi="仿宋" w:eastAsia="仿宋" w:cs="Times New Roman"/>
          <w:b/>
          <w:kern w:val="0"/>
          <w:sz w:val="18"/>
          <w:szCs w:val="18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随着科技的迅速发展，计算机的普及及对人类生活的渗透，越来越多的高校 开设“计算机科学技术”专业及其他相关专业，使其成为了全国热门专业之一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当前IT行业发展迅速，潜力也是无穷的，从业者的薪资待遇也是随之不断攀升，就软件开发而言，现在是信息技术时代，软件人才的需求成比列增长，但是合格的软件开发人才却存在着大的缺口，因此软件开发行业是技术能力的试金石，只要能力过关，后期的发展不会太差的。因为具备较强的专业性的，决定了IT从业人员的独特性，特别是想软件开发，网络营销等方向对于从业人员的要求都是比较高的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而为了留住高技术的人才，IT行业的薪酬一般是不会低的。而IT行业的从业人员的薪酬也像其他职业一样随着经济的发展而增加，但是现在这个社会对于技术的需要也就导致了IT行业的薪酬的变化远远超过其他的职业。本文将分析近几年的各大热门职业的薪酬，并展望之后IT行业的发展趋势。</w:t>
      </w:r>
    </w:p>
    <w:p>
      <w:pPr>
        <w:widowControl/>
        <w:adjustRightInd w:val="0"/>
        <w:snapToGrid w:val="0"/>
        <w:spacing w:before="180" w:beforeLines="50" w:after="180" w:afterLines="50" w:line="220" w:lineRule="atLeast"/>
        <w:jc w:val="left"/>
        <w:rPr>
          <w:rFonts w:hint="eastAsia" w:ascii="宋体" w:hAnsi="宋体" w:eastAsia="宋体" w:cs="Times New Roman"/>
          <w:b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Times New Roman"/>
          <w:b/>
          <w:kern w:val="0"/>
          <w:sz w:val="18"/>
          <w:szCs w:val="18"/>
        </w:rPr>
        <w:t>关键词：</w:t>
      </w:r>
      <w:r>
        <w:rPr>
          <w:rFonts w:hint="eastAsia" w:ascii="宋体" w:hAnsi="宋体" w:eastAsia="宋体" w:cs="Times New Roman"/>
          <w:b w:val="0"/>
          <w:bCs/>
          <w:kern w:val="0"/>
          <w:sz w:val="18"/>
          <w:szCs w:val="18"/>
          <w:lang w:val="en-US" w:eastAsia="zh-CN"/>
        </w:rPr>
        <w:t xml:space="preserve"> IT行业；薪酬；变化</w:t>
      </w:r>
    </w:p>
    <w:p>
      <w:pPr>
        <w:widowControl/>
        <w:adjustRightInd w:val="0"/>
        <w:snapToGrid w:val="0"/>
        <w:spacing w:after="0" w:line="220" w:lineRule="atLeast"/>
        <w:jc w:val="left"/>
        <w:rPr>
          <w:rFonts w:hint="eastAsia" w:ascii="宋体" w:hAnsi="宋体" w:eastAsia="宋体"/>
          <w:b w:val="0"/>
          <w:bCs/>
          <w:sz w:val="18"/>
          <w:szCs w:val="18"/>
          <w:lang w:val="en-US" w:eastAsia="zh-CN"/>
        </w:rPr>
      </w:pPr>
    </w:p>
    <w:p>
      <w:pPr>
        <w:widowControl/>
        <w:adjustRightInd w:val="0"/>
        <w:snapToGrid w:val="0"/>
        <w:spacing w:after="0" w:line="220" w:lineRule="atLeast"/>
        <w:jc w:val="left"/>
        <w:rPr>
          <w:rFonts w:hint="eastAsia" w:ascii="宋体" w:hAnsi="宋体" w:eastAsia="宋体"/>
          <w:b w:val="0"/>
          <w:bCs/>
          <w:sz w:val="18"/>
          <w:szCs w:val="18"/>
          <w:lang w:val="en-US" w:eastAsia="zh-CN"/>
        </w:rPr>
      </w:pPr>
    </w:p>
    <w:p>
      <w:pPr>
        <w:widowControl/>
        <w:adjustRightInd w:val="0"/>
        <w:snapToGrid w:val="0"/>
        <w:spacing w:after="0" w:line="220" w:lineRule="atLeast"/>
        <w:jc w:val="left"/>
        <w:rPr>
          <w:rFonts w:hint="eastAsia" w:ascii="黑体" w:hAnsi="黑体" w:eastAsia="黑体" w:cs="黑体"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djustRightInd w:val="0"/>
        <w:snapToGrid w:val="0"/>
        <w:spacing w:after="0" w:line="220" w:lineRule="atLeast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１ 引言</w:t>
      </w:r>
    </w:p>
    <w:p>
      <w:pPr>
        <w:widowControl/>
        <w:adjustRightInd w:val="0"/>
        <w:snapToGrid w:val="0"/>
        <w:spacing w:after="0" w:line="220" w:lineRule="atLeast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widowControl/>
        <w:adjustRightInd w:val="0"/>
        <w:snapToGrid w:val="0"/>
        <w:spacing w:after="0" w:line="220" w:lineRule="atLeast"/>
        <w:ind w:leftChars="20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近年来，IT行业可以说是发展迅速，出现了很多新的技术，并且也吸引了很多年轻人加入这个行业。实际上，我国计算机的发展是从20世纪90年代开始的，</w:t>
      </w:r>
      <w:r>
        <w:rPr>
          <w:rFonts w:hint="eastAsia" w:ascii="宋体" w:hAnsi="宋体" w:eastAsia="宋体"/>
          <w:sz w:val="11"/>
          <w:szCs w:val="11"/>
        </w:rPr>
        <w:t>[1]</w:t>
      </w:r>
      <w:r>
        <w:rPr>
          <w:rFonts w:hint="eastAsia" w:ascii="宋体" w:hAnsi="宋体" w:eastAsia="宋体"/>
          <w:sz w:val="11"/>
          <w:szCs w:val="1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在以互联网和多媒体技术为标志的IT革命开始之后，在信息化建设、互联网浪潮、上网工程实施、电子商务推广以及通信运营业发展的带动下，中国电子信息产业保持了稳定和高速发展的趋势。从1991年到2000年的10年间，中国电子信息产业的年平均增长率一直保持在25%到30%的水平上。在2000年，IT行业已成为了中国工业第一大支柱产业。但，当时的IT行业的从事者不是很多，但其所获得的薪酬已经远远高于全国平均水平了。（</w:t>
      </w:r>
      <w:r>
        <w:rPr>
          <w:rFonts w:hint="eastAsia" w:ascii="宋体" w:hAnsi="宋体" w:eastAsia="宋体"/>
          <w:sz w:val="11"/>
          <w:szCs w:val="11"/>
        </w:rPr>
        <w:t>[</w:t>
      </w:r>
      <w:r>
        <w:rPr>
          <w:rFonts w:hint="eastAsia" w:ascii="宋体" w:hAnsi="宋体" w:eastAsia="宋体"/>
          <w:sz w:val="11"/>
          <w:szCs w:val="11"/>
          <w:lang w:val="en-US" w:eastAsia="zh-CN"/>
        </w:rPr>
        <w:t>2</w:t>
      </w:r>
      <w:r>
        <w:rPr>
          <w:rFonts w:hint="eastAsia" w:ascii="宋体" w:hAnsi="宋体" w:eastAsia="宋体"/>
          <w:sz w:val="11"/>
          <w:szCs w:val="11"/>
        </w:rPr>
        <w:t>]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表（1）表示2000年计算机应用服务业占所有行业人数的比例，表（2）表示计算机行业劳动报酬和全国平均水平的对比）</w:t>
      </w: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150" w:firstLineChars="1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  <w:t>表1 2000年计算机应用服务业占所有行业人数的比例</w:t>
      </w: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sz w:val="18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22860</wp:posOffset>
            </wp:positionV>
            <wp:extent cx="1993900" cy="1342390"/>
            <wp:effectExtent l="5080" t="4445" r="12700" b="9525"/>
            <wp:wrapNone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600" w:firstLineChars="4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  <w:t>表2 计算机行业劳动报酬和全国平均水平的对比</w:t>
      </w:r>
    </w:p>
    <w:p>
      <w:pPr>
        <w:widowControl/>
        <w:adjustRightInd w:val="0"/>
        <w:snapToGrid w:val="0"/>
        <w:spacing w:after="0" w:line="220" w:lineRule="atLeast"/>
        <w:ind w:firstLine="54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  <w:r>
        <w:rPr>
          <w:sz w:val="18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646430</wp:posOffset>
            </wp:positionH>
            <wp:positionV relativeFrom="paragraph">
              <wp:posOffset>100965</wp:posOffset>
            </wp:positionV>
            <wp:extent cx="1468755" cy="1278890"/>
            <wp:effectExtent l="4445" t="4445" r="5080" b="12065"/>
            <wp:wrapNone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ind w:left="42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0" w:line="220" w:lineRule="atLeast"/>
        <w:ind w:firstLine="420" w:firstLineChars="0"/>
        <w:jc w:val="both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/>
          <w:sz w:val="11"/>
          <w:szCs w:val="11"/>
        </w:rPr>
        <w:t>[</w:t>
      </w:r>
      <w:r>
        <w:rPr>
          <w:rFonts w:hint="eastAsia" w:ascii="宋体" w:hAnsi="宋体" w:eastAsia="宋体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/>
          <w:sz w:val="11"/>
          <w:szCs w:val="11"/>
        </w:rPr>
        <w:t>]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而就IT行业从业人员的从业人员的地区分布，可以用反映空间布局均匀程度的空间基尼系数指标</w:t>
      </w:r>
      <w:r>
        <w:rPr>
          <w:rFonts w:hint="eastAsia" w:ascii="宋体" w:hAnsi="宋体" w:eastAsia="宋体"/>
          <w:sz w:val="11"/>
          <w:szCs w:val="11"/>
        </w:rPr>
        <w:t>[</w:t>
      </w:r>
      <w:r>
        <w:rPr>
          <w:rFonts w:hint="eastAsia" w:ascii="宋体" w:hAnsi="宋体" w:eastAsia="宋体"/>
          <w:sz w:val="11"/>
          <w:szCs w:val="11"/>
          <w:lang w:val="en-US" w:eastAsia="zh-CN"/>
        </w:rPr>
        <w:t>4</w:t>
      </w:r>
      <w:r>
        <w:rPr>
          <w:rFonts w:hint="eastAsia" w:ascii="宋体" w:hAnsi="宋体" w:eastAsia="宋体"/>
          <w:sz w:val="11"/>
          <w:szCs w:val="11"/>
        </w:rPr>
        <w:t>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来观察中国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ＩＴ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产业空间分布特征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，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并与我国的制造业作比较，空间基尼系数 Ｇ的计算公式为：</w:t>
      </w:r>
    </w:p>
    <w:p>
      <w:pPr>
        <w:widowControl/>
        <w:numPr>
          <w:ilvl w:val="0"/>
          <w:numId w:val="0"/>
        </w:numPr>
        <w:adjustRightInd w:val="0"/>
        <w:snapToGrid w:val="0"/>
        <w:spacing w:after="0" w:line="220" w:lineRule="atLeast"/>
        <w:jc w:val="both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drawing>
          <wp:inline distT="0" distB="0" distL="114300" distR="114300">
            <wp:extent cx="2498090" cy="26797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adjustRightInd w:val="0"/>
        <w:snapToGrid w:val="0"/>
        <w:spacing w:after="0" w:line="220" w:lineRule="atLeast"/>
        <w:ind w:left="420" w:left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其中，ｎ为区域个数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，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Ｓｉ为 地 区ＩＴ行业就业人数占全国ＩＴ产业就业人数的比重，Ｘｉ 为该地区就业人数 占全国总就业人数的比重。空间基尼系数的值介于０ 和１之间，Ｇ越大，表示该产业在地理分布不均匀程度 越高，计算结果见图１</w:t>
      </w:r>
      <w:r>
        <w:rPr>
          <w:rFonts w:hint="eastAsia" w:ascii="宋体" w:hAnsi="宋体" w:eastAsia="宋体"/>
          <w:sz w:val="11"/>
          <w:szCs w:val="11"/>
        </w:rPr>
        <w:t>[</w:t>
      </w:r>
      <w:r>
        <w:rPr>
          <w:rFonts w:hint="eastAsia" w:ascii="宋体" w:hAnsi="宋体" w:eastAsia="宋体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/>
          <w:sz w:val="11"/>
          <w:szCs w:val="11"/>
        </w:rPr>
        <w:t>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。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ab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具体到省份层面的分布，本文按照各省市ＩＴ 产业 总产值占全国的比重来划分区域，得出了 产 业２０１１年 最新省区分布的地理格局（见图２</w:t>
      </w:r>
      <w:r>
        <w:rPr>
          <w:rFonts w:hint="eastAsia" w:ascii="宋体" w:hAnsi="宋体" w:eastAsia="宋体"/>
          <w:sz w:val="11"/>
          <w:szCs w:val="11"/>
        </w:rPr>
        <w:t>[</w:t>
      </w:r>
      <w:r>
        <w:rPr>
          <w:rFonts w:hint="eastAsia" w:ascii="宋体" w:hAnsi="宋体" w:eastAsia="宋体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/>
          <w:sz w:val="11"/>
          <w:szCs w:val="11"/>
        </w:rPr>
        <w:t>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）。为反映中国ＩＴ产 业空间布局演 变 态 势，进一步将我国分成东中西三大区域，图３</w:t>
      </w:r>
      <w:r>
        <w:rPr>
          <w:rFonts w:hint="eastAsia" w:ascii="宋体" w:hAnsi="宋体" w:eastAsia="宋体"/>
          <w:sz w:val="11"/>
          <w:szCs w:val="11"/>
        </w:rPr>
        <w:t>[</w:t>
      </w:r>
      <w:r>
        <w:rPr>
          <w:rFonts w:hint="eastAsia" w:ascii="宋体" w:hAnsi="宋体" w:eastAsia="宋体"/>
          <w:sz w:val="11"/>
          <w:szCs w:val="11"/>
          <w:lang w:val="en-US" w:eastAsia="zh-CN"/>
        </w:rPr>
        <w:t>3</w:t>
      </w:r>
      <w:r>
        <w:rPr>
          <w:rFonts w:hint="eastAsia" w:ascii="宋体" w:hAnsi="宋体" w:eastAsia="宋体"/>
          <w:sz w:val="11"/>
          <w:szCs w:val="11"/>
        </w:rPr>
        <w:t>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用我国各区域ＩＴ产业从业人员数占全国比重的趋势图来说明这一情况。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drawing>
          <wp:inline distT="0" distB="0" distL="114300" distR="114300">
            <wp:extent cx="2066290" cy="1719580"/>
            <wp:effectExtent l="0" t="0" r="635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after="0" w:line="220" w:lineRule="atLeast"/>
        <w:jc w:val="both"/>
      </w:pPr>
      <w:r>
        <w:drawing>
          <wp:inline distT="0" distB="0" distL="114300" distR="114300">
            <wp:extent cx="2093595" cy="1551305"/>
            <wp:effectExtent l="0" t="0" r="952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after="0" w:line="220" w:lineRule="atLeast"/>
        <w:jc w:val="both"/>
      </w:pPr>
      <w:r>
        <w:drawing>
          <wp:inline distT="0" distB="0" distL="114300" distR="114300">
            <wp:extent cx="2075815" cy="1929130"/>
            <wp:effectExtent l="0" t="0" r="12065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可以从图一中看此，相较于制造业，我国的IT产业的空间基尼系数变化更加明显，而这图2中也向我们展示了IT产业工业主要分布于东部，也或许与他们靠近海，更容易与其他国家进行信息的交流。其中，珠三角地区占据了我国IT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产业总产值的绝对比重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。这或许与他们最早对外开放有关。从上图中可以看出，目前IT行业的主要分布地区都在我国的发达地区，这正是由于他们目前需要更快速地发展，所以就需要更多的技术来加快他们的发展，与此同时，他们也将通过技术赚取的资金用了投资技术人员的培养，这也使得越来越多的人去那些地区工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360" w:lineRule="auto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  IT行业薪资分析</w:t>
      </w:r>
    </w:p>
    <w:p>
      <w:pPr>
        <w:widowControl/>
        <w:adjustRightInd w:val="0"/>
        <w:snapToGrid w:val="0"/>
        <w:spacing w:after="0" w:line="360" w:lineRule="auto"/>
        <w:jc w:val="left"/>
        <w:rPr>
          <w:rFonts w:hint="eastAsia" w:ascii="黑体" w:hAnsi="黑体" w:eastAsia="黑体" w:cs="Times New Roman"/>
          <w:iCs/>
          <w:kern w:val="0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Times New Roman"/>
          <w:iCs/>
          <w:kern w:val="0"/>
          <w:sz w:val="18"/>
          <w:szCs w:val="18"/>
          <w:lang w:val="en-US" w:eastAsia="zh-CN" w:bidi="ar-SA"/>
        </w:rPr>
        <w:t>2.1  IT行业构成</w:t>
      </w:r>
    </w:p>
    <w:p>
      <w:pPr>
        <w:widowControl/>
        <w:adjustRightInd w:val="0"/>
        <w:snapToGrid w:val="0"/>
        <w:spacing w:after="0" w:line="360" w:lineRule="auto"/>
        <w:ind w:firstLine="420" w:firstLineChars="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目前IT行业主要分为8个主要的方向：嵌入式开发；游戏开发；移动开发；应用开发；前端开发；数据库开发；系统集成；云计算、大数据、人工智能。目前的社会对IT行业的人才的需求非常的大，且每年都在增加（见图4</w:t>
      </w:r>
      <w:r>
        <w:rPr>
          <w:rFonts w:hint="eastAsia" w:ascii="宋体" w:hAnsi="宋体" w:eastAsia="宋体"/>
          <w:sz w:val="11"/>
          <w:szCs w:val="11"/>
        </w:rPr>
        <w:t>[</w:t>
      </w:r>
      <w:r>
        <w:rPr>
          <w:rFonts w:hint="eastAsia" w:ascii="宋体" w:hAnsi="宋体" w:eastAsia="宋体"/>
          <w:sz w:val="11"/>
          <w:szCs w:val="11"/>
          <w:lang w:val="en-US" w:eastAsia="zh-CN"/>
        </w:rPr>
        <w:t>5</w:t>
      </w:r>
      <w:r>
        <w:rPr>
          <w:rFonts w:hint="eastAsia" w:ascii="宋体" w:hAnsi="宋体" w:eastAsia="宋体"/>
          <w:sz w:val="11"/>
          <w:szCs w:val="11"/>
        </w:rPr>
        <w:t>]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）。</w:t>
      </w:r>
    </w:p>
    <w:p>
      <w:pPr>
        <w:widowControl/>
        <w:adjustRightInd w:val="0"/>
        <w:snapToGrid w:val="0"/>
        <w:spacing w:after="0" w:line="220" w:lineRule="atLeast"/>
        <w:ind w:left="0" w:leftChars="0" w:firstLine="420" w:firstLineChars="0"/>
        <w:jc w:val="both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220" w:lineRule="atLeast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4130" cy="1687830"/>
            <wp:effectExtent l="0" t="0" r="11430" b="381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after="0" w:line="220" w:lineRule="atLeast"/>
        <w:ind w:firstLine="450" w:firstLineChars="3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  <w:t>图4 2011-2018年中国软件从业人员变化情况</w:t>
      </w:r>
    </w:p>
    <w:p>
      <w:pPr>
        <w:widowControl/>
        <w:adjustRightInd w:val="0"/>
        <w:snapToGrid w:val="0"/>
        <w:spacing w:after="0" w:line="360" w:lineRule="auto"/>
        <w:jc w:val="left"/>
        <w:rPr>
          <w:rFonts w:hint="eastAsia" w:ascii="黑体" w:hAnsi="黑体" w:eastAsia="黑体" w:cs="Times New Roman"/>
          <w:iCs/>
          <w:kern w:val="0"/>
          <w:sz w:val="18"/>
          <w:szCs w:val="18"/>
          <w:lang w:val="en-US" w:eastAsia="zh-CN" w:bidi="ar-SA"/>
        </w:rPr>
      </w:pPr>
    </w:p>
    <w:p>
      <w:pPr>
        <w:widowControl/>
        <w:adjustRightInd w:val="0"/>
        <w:snapToGrid w:val="0"/>
        <w:spacing w:after="0" w:line="360" w:lineRule="auto"/>
        <w:jc w:val="left"/>
        <w:rPr>
          <w:rFonts w:hint="eastAsia" w:ascii="黑体" w:hAnsi="黑体" w:eastAsia="黑体" w:cs="Times New Roman"/>
          <w:iCs/>
          <w:kern w:val="0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Times New Roman"/>
          <w:iCs/>
          <w:kern w:val="0"/>
          <w:sz w:val="18"/>
          <w:szCs w:val="18"/>
          <w:lang w:val="en-US" w:eastAsia="zh-CN" w:bidi="ar-SA"/>
        </w:rPr>
        <w:t>2.2 IT行业薪资情况及分析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根据2020年IT行业项目管理调查报告，目前IT从业人员的税前年薪大多居于10-15万这个区间（图5</w:t>
      </w:r>
      <w:r>
        <w:rPr>
          <w:rFonts w:hint="eastAsia" w:ascii="宋体" w:hAnsi="宋体" w:eastAsia="宋体"/>
          <w:sz w:val="11"/>
          <w:szCs w:val="11"/>
        </w:rPr>
        <w:t>[</w:t>
      </w:r>
      <w:r>
        <w:rPr>
          <w:rFonts w:hint="eastAsia" w:ascii="宋体" w:hAnsi="宋体" w:eastAsia="宋体"/>
          <w:sz w:val="11"/>
          <w:szCs w:val="11"/>
          <w:lang w:val="en-US" w:eastAsia="zh-CN"/>
        </w:rPr>
        <w:t>6</w:t>
      </w:r>
      <w:r>
        <w:rPr>
          <w:rFonts w:hint="eastAsia" w:ascii="宋体" w:hAnsi="宋体" w:eastAsia="宋体"/>
          <w:sz w:val="11"/>
          <w:szCs w:val="11"/>
        </w:rPr>
        <w:t>]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税前年薪分布情况）。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42260" cy="1878965"/>
            <wp:effectExtent l="0" t="0" r="762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after="0" w:line="220" w:lineRule="atLeast"/>
        <w:ind w:firstLine="1500" w:firstLineChars="10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  <w:t>图5 税前年薪分布情况</w:t>
      </w:r>
    </w:p>
    <w:p>
      <w:pPr>
        <w:widowControl/>
        <w:adjustRightInd w:val="0"/>
        <w:snapToGrid w:val="0"/>
        <w:spacing w:after="0" w:line="220" w:lineRule="atLeast"/>
        <w:ind w:firstLine="1500" w:firstLineChars="1000"/>
        <w:jc w:val="both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从调查得到的数据可以得出，IT行业的薪资的区分度还是很大的，这很大程度上与IT从业人员的素养以及上文中分析得到的所处的区域有关。薪资高的人员大多来自于经济较发达的地区。而与北京市2021年的薪资报告（图 6</w:t>
      </w:r>
      <w:r>
        <w:rPr>
          <w:rFonts w:hint="eastAsia" w:ascii="宋体" w:hAnsi="宋体" w:eastAsia="宋体"/>
          <w:sz w:val="11"/>
          <w:szCs w:val="11"/>
        </w:rPr>
        <w:t>[</w:t>
      </w:r>
      <w:r>
        <w:rPr>
          <w:rFonts w:hint="eastAsia" w:ascii="宋体" w:hAnsi="宋体" w:eastAsia="宋体"/>
          <w:sz w:val="11"/>
          <w:szCs w:val="11"/>
          <w:lang w:val="en-US" w:eastAsia="zh-CN"/>
        </w:rPr>
        <w:t>7</w:t>
      </w:r>
      <w:r>
        <w:rPr>
          <w:rFonts w:hint="eastAsia" w:ascii="宋体" w:hAnsi="宋体" w:eastAsia="宋体"/>
          <w:sz w:val="11"/>
          <w:szCs w:val="11"/>
        </w:rPr>
        <w:t>]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）对比之后，我们可以看出IT行业 的平均薪资还是很高的。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16505" cy="938530"/>
            <wp:effectExtent l="0" t="0" r="13335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after="0" w:line="220" w:lineRule="atLeast"/>
        <w:ind w:firstLine="300" w:firstLineChars="200"/>
        <w:jc w:val="both"/>
        <w:rPr>
          <w:rFonts w:hint="default" w:ascii="宋体" w:hAnsi="宋体" w:eastAsia="宋体" w:cs="Times New Roman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  <w:t>图6 北京市2021年的薪资报告，平均工资6906元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从上文中，我们不难得出在IT行业的从业人数日益增长的情况下，IT行业的薪资还是非常可观的。在2000年IT行业的平均工资以及远高于全国平均工资了。而到了现在，很多人都了解了这块香馍馍，并且纷纷投身IT行业的情况下，IT行业的平均薪资还是高于发达地区平均水平。由此可见IT行业的发展前景还是非常可观的。</w:t>
      </w:r>
    </w:p>
    <w:p>
      <w:pPr>
        <w:widowControl/>
        <w:adjustRightInd w:val="0"/>
        <w:snapToGrid w:val="0"/>
        <w:spacing w:after="0" w:line="360" w:lineRule="auto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/>
        <w:adjustRightInd w:val="0"/>
        <w:snapToGrid w:val="0"/>
        <w:spacing w:after="0" w:line="360" w:lineRule="auto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  IT行业前景展望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Times New Roman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从上文中可以得出IT行业的发展前景是非常明朗的。IT行业在我国经济中是一个相对较新的行业，但已经为国民经济做出了显着贡献。信息就是力量。没有最新和正确的信息，人员和组织将无法及时做出适当的决定。信息是发展的基础。它是人类生活方式的基层。信息改变了整个社会。没有人可以否认信息在现代瞬息万变的世界中的重要性。信息技术在引导和控制社会和人力资源方面发挥了巨大作用。而IT从业人员需要提高自身的素质来适应当前的环境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7"/>
        <w:widowControl/>
        <w:spacing w:line="240" w:lineRule="auto"/>
        <w:ind w:left="0" w:firstLine="0" w:firstLineChars="0"/>
        <w:rPr>
          <w:rFonts w:hint="eastAsia" w:ascii="黑体" w:hAnsi="宋体" w:eastAsia="黑体"/>
          <w:b/>
          <w:kern w:val="2"/>
          <w:sz w:val="18"/>
          <w:szCs w:val="18"/>
          <w:lang w:val="en-US" w:eastAsia="zh-CN"/>
        </w:rPr>
      </w:pPr>
      <w:r>
        <w:rPr>
          <w:rFonts w:hint="eastAsia" w:ascii="黑体" w:hAnsi="宋体" w:eastAsia="黑体"/>
          <w:b/>
          <w:kern w:val="2"/>
          <w:sz w:val="18"/>
          <w:szCs w:val="18"/>
          <w:lang w:val="en-US" w:eastAsia="zh-CN"/>
        </w:rPr>
        <w:t>结论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从20世纪90年代以来，中国IT行业高速发展，经济也随之增长，而IT行业的从业人员的薪资一直都远远高于平均薪资。由此可以看此IT行业的薪资总体是呈现一个增长的趋势，并且增长的幅度也很大，并且随着科技的发展，IT行业只会越来越重要，而IT行业的薪资也只会越来越高。但是对IT从业人员的要求也只会越来越高，这也就要求IT从业者们要时刻提升自己，以免被时代所淘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7"/>
        <w:ind w:left="329" w:leftChars="34" w:firstLineChars="0"/>
        <w:jc w:val="left"/>
        <w:rPr>
          <w:rFonts w:hAnsi="宋体"/>
          <w:b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参考文献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吴尚荣：探析中国IT行业发展的主要驱动因素和发展趋势，《江苏商论》2007.8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Times New Roman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国研网数据中心：2000年分行业从业人员和劳动报酬（城镇集体单位），《2001年全国劳动统计年</w:t>
      </w:r>
      <w:r>
        <w:rPr>
          <w:rFonts w:hint="eastAsia" w:ascii="宋体" w:hAnsi="宋体" w:eastAsia="宋体" w:cs="Times New Roman"/>
          <w:b w:val="0"/>
          <w:bCs w:val="0"/>
          <w:kern w:val="2"/>
          <w:sz w:val="18"/>
          <w:szCs w:val="18"/>
          <w:lang w:val="en-US" w:eastAsia="zh-CN" w:bidi="ar-SA"/>
        </w:rPr>
        <w:t>鉴 2003年版》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宋华盛，张敏：中国IT产业省区分布及其决定性因素，《浙江学刊。2015，(02)》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Hall BH.The Financing of Research and Development, Oxford Review of Economic Policy,2002(1),pp.35-51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千锋大连：IT行业发展及人才需求分析，搜狐网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李晓琳：《2020年IT行业项目管理调查报告》，禅道网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来自网站</w:t>
      </w:r>
      <w:bookmarkStart w:id="0" w:name="_GoBack"/>
      <w:bookmarkEnd w:id="0"/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http://salarycalculator.sinaapp.com/report/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北京</w:t>
      </w: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Y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41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5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A3506"/>
    <w:multiLevelType w:val="singleLevel"/>
    <w:tmpl w:val="301A350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517B5"/>
    <w:rsid w:val="084351F4"/>
    <w:rsid w:val="0A157A55"/>
    <w:rsid w:val="0E182850"/>
    <w:rsid w:val="28924CC8"/>
    <w:rsid w:val="2AE8381D"/>
    <w:rsid w:val="36DA6219"/>
    <w:rsid w:val="4A5E2B1E"/>
    <w:rsid w:val="521517B5"/>
    <w:rsid w:val="5D8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Depart.Correspond"/>
    <w:basedOn w:val="1"/>
    <w:qFormat/>
    <w:uiPriority w:val="0"/>
    <w:pPr>
      <w:adjustRightInd/>
      <w:snapToGrid/>
      <w:spacing w:after="0"/>
      <w:ind w:left="66" w:hanging="66" w:hangingChars="66"/>
      <w:jc w:val="both"/>
    </w:pPr>
    <w:rPr>
      <w:rFonts w:ascii="Times New Roman" w:hAnsi="Times New Roman" w:eastAsia="宋体" w:cs="Times New Roman"/>
      <w:iCs/>
      <w:sz w:val="16"/>
      <w:szCs w:val="20"/>
    </w:rPr>
  </w:style>
  <w:style w:type="paragraph" w:customStyle="1" w:styleId="7">
    <w:name w:val="Text of 中文参考文献"/>
    <w:basedOn w:val="1"/>
    <w:qFormat/>
    <w:uiPriority w:val="0"/>
    <w:pPr>
      <w:tabs>
        <w:tab w:val="left" w:pos="346"/>
      </w:tabs>
      <w:adjustRightInd/>
      <w:snapToGrid/>
      <w:spacing w:after="0" w:line="260" w:lineRule="exact"/>
      <w:ind w:left="258" w:hanging="258" w:hangingChars="258"/>
      <w:jc w:val="both"/>
    </w:pPr>
    <w:rPr>
      <w:rFonts w:ascii="Times New Roman" w:hAnsi="Times New Roman" w:eastAsia="宋体" w:cs="Times New Roman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[工作簿1]Sheet1!$J$2</c:f>
              <c:strCache>
                <c:ptCount val="1"/>
                <c:pt idx="0">
                  <c:v>年末人数(千人)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[工作簿1]Sheet1!$I$3:$I$5</c:f>
              <c:strCache>
                <c:ptCount val="3"/>
                <c:pt idx="1">
                  <c:v>    计算机应用服务业</c:v>
                </c:pt>
                <c:pt idx="2">
                  <c:v>其他</c:v>
                </c:pt>
              </c:strCache>
            </c:strRef>
          </c:cat>
          <c:val>
            <c:numRef>
              <c:f>[工作簿1]Sheet1!$J$3:$J$5</c:f>
              <c:numCache>
                <c:formatCode>General</c:formatCode>
                <c:ptCount val="3"/>
                <c:pt idx="1">
                  <c:v>6</c:v>
                </c:pt>
                <c:pt idx="2">
                  <c:v>14987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700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74782968424457"/>
          <c:y val="0.051798593733864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[工作簿1]Sheet1!$M$2</c:f>
              <c:strCache>
                <c:ptCount val="1"/>
                <c:pt idx="0">
                  <c:v>平均劳动报酬(元)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[工作簿1]Sheet1!$L$3:$L$5</c:f>
              <c:strCache>
                <c:ptCount val="3"/>
                <c:pt idx="1">
                  <c:v>    计算机应用服务业</c:v>
                </c:pt>
                <c:pt idx="2">
                  <c:v>全国总计</c:v>
                </c:pt>
              </c:strCache>
            </c:strRef>
          </c:cat>
          <c:val>
            <c:numRef>
              <c:f>[工作簿1]Sheet1!$M$3:$M$5</c:f>
              <c:numCache>
                <c:formatCode>General</c:formatCode>
                <c:ptCount val="3"/>
                <c:pt idx="1">
                  <c:v>12697</c:v>
                </c:pt>
                <c:pt idx="2">
                  <c:v>6241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4984938"/>
        <c:axId val="299202288"/>
      </c:barChart>
      <c:catAx>
        <c:axId val="80498493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9202288"/>
        <c:crosses val="autoZero"/>
        <c:auto val="1"/>
        <c:lblAlgn val="ctr"/>
        <c:lblOffset val="100"/>
        <c:noMultiLvlLbl val="0"/>
      </c:catAx>
      <c:valAx>
        <c:axId val="29920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498493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900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2021-04-04T07:10:00Z</dcterms:created>
  <dc:creator>nice</dc:creator>
  <cp:lastModifiedBy>nice</cp:lastModifiedBy>
  <dcterms:modified xsi:type="dcterms:W3CDTF">2021-04-04T10:21:01Z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C4BC5337087F477C9B87D2D72D13820D</vt:lpwstr>
  </property>
</Properties>
</file>