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84ACF" w14:textId="4A84E25B" w:rsidR="002D0E82" w:rsidRDefault="008E6E45">
      <w:pPr>
        <w:rPr>
          <w:rFonts w:ascii="黑体" w:eastAsia="黑体" w:hAnsi="黑体"/>
          <w:sz w:val="32"/>
          <w:szCs w:val="32"/>
        </w:rPr>
      </w:pPr>
      <w:r w:rsidRPr="008E6E45">
        <w:rPr>
          <w:rFonts w:ascii="黑体" w:eastAsia="黑体" w:hAnsi="黑体" w:hint="eastAsia"/>
          <w:sz w:val="32"/>
          <w:szCs w:val="32"/>
        </w:rPr>
        <w:t>IT行业薪酬变化的数据分析</w:t>
      </w:r>
    </w:p>
    <w:p w14:paraId="66ECAAFA" w14:textId="01DEF9DF" w:rsidR="008E6E45" w:rsidRDefault="008E6E45">
      <w:pPr>
        <w:rPr>
          <w:rFonts w:ascii="宋体" w:eastAsia="宋体" w:hAnsi="宋体"/>
          <w:b/>
          <w:bCs/>
          <w:szCs w:val="21"/>
        </w:rPr>
      </w:pPr>
      <w:r w:rsidRPr="008E6E45">
        <w:rPr>
          <w:rFonts w:ascii="宋体" w:eastAsia="宋体" w:hAnsi="宋体" w:hint="eastAsia"/>
          <w:b/>
          <w:bCs/>
          <w:szCs w:val="21"/>
        </w:rPr>
        <w:t>郭蜀蓉</w:t>
      </w:r>
    </w:p>
    <w:p w14:paraId="622494AF" w14:textId="0AFEC5E0" w:rsidR="008E6E45" w:rsidRDefault="008E6E45">
      <w:pPr>
        <w:rPr>
          <w:rFonts w:ascii="仿宋" w:eastAsia="仿宋" w:hAnsi="仿宋"/>
          <w:sz w:val="18"/>
          <w:szCs w:val="18"/>
        </w:rPr>
      </w:pPr>
      <w:r w:rsidRPr="008E6E45">
        <w:rPr>
          <w:rFonts w:ascii="仿宋" w:eastAsia="仿宋" w:hAnsi="仿宋" w:hint="eastAsia"/>
          <w:sz w:val="18"/>
          <w:szCs w:val="18"/>
        </w:rPr>
        <w:t xml:space="preserve">大连理工大学 辽宁省 大连市 </w:t>
      </w:r>
      <w:r w:rsidRPr="008E6E45">
        <w:rPr>
          <w:rFonts w:ascii="仿宋" w:eastAsia="仿宋" w:hAnsi="仿宋"/>
          <w:sz w:val="18"/>
          <w:szCs w:val="18"/>
        </w:rPr>
        <w:t>116000</w:t>
      </w:r>
    </w:p>
    <w:p w14:paraId="6AF9E270" w14:textId="0F70C825" w:rsidR="008E6E45" w:rsidRDefault="008E6E45">
      <w:pPr>
        <w:rPr>
          <w:rFonts w:ascii="仿宋" w:eastAsia="仿宋" w:hAnsi="仿宋"/>
          <w:sz w:val="18"/>
          <w:szCs w:val="18"/>
        </w:rPr>
      </w:pPr>
    </w:p>
    <w:p w14:paraId="74BAE4D1" w14:textId="3257B3D9" w:rsidR="008E6E45" w:rsidRPr="005F0959" w:rsidRDefault="008E6E45">
      <w:pPr>
        <w:rPr>
          <w:rFonts w:ascii="仿宋" w:eastAsia="仿宋" w:hAnsi="仿宋"/>
          <w:sz w:val="18"/>
          <w:szCs w:val="18"/>
        </w:rPr>
      </w:pPr>
      <w:r w:rsidRPr="008E6E45">
        <w:rPr>
          <w:rFonts w:ascii="仿宋" w:eastAsia="仿宋" w:hAnsi="仿宋" w:hint="eastAsia"/>
          <w:b/>
          <w:bCs/>
          <w:sz w:val="18"/>
          <w:szCs w:val="18"/>
        </w:rPr>
        <w:t xml:space="preserve">摘 要 </w:t>
      </w:r>
      <w:r w:rsidR="005F0959" w:rsidRPr="005F0959">
        <w:rPr>
          <w:rFonts w:ascii="仿宋" w:eastAsia="仿宋" w:hAnsi="仿宋" w:hint="eastAsia"/>
          <w:sz w:val="18"/>
          <w:szCs w:val="18"/>
        </w:rPr>
        <w:t>在</w:t>
      </w:r>
      <w:r w:rsidR="005F0959">
        <w:rPr>
          <w:rFonts w:ascii="仿宋" w:eastAsia="仿宋" w:hAnsi="仿宋" w:hint="eastAsia"/>
          <w:sz w:val="18"/>
          <w:szCs w:val="18"/>
        </w:rPr>
        <w:t>知识经济时代，</w:t>
      </w:r>
      <w:r w:rsidR="00DD232E">
        <w:rPr>
          <w:rFonts w:ascii="仿宋" w:eastAsia="仿宋" w:hAnsi="仿宋" w:hint="eastAsia"/>
          <w:sz w:val="18"/>
          <w:szCs w:val="18"/>
        </w:rPr>
        <w:t>软件行业作为前景大好的新兴产业，人力资本无疑是其发展的基本保障，</w:t>
      </w:r>
      <w:r w:rsidR="00E2587F" w:rsidRPr="00E2587F">
        <w:rPr>
          <w:rFonts w:ascii="仿宋" w:eastAsia="仿宋" w:hAnsi="仿宋" w:hint="eastAsia"/>
          <w:sz w:val="18"/>
          <w:szCs w:val="18"/>
        </w:rPr>
        <w:t>薪资向来是所有行业从业人员最关注的问题</w:t>
      </w:r>
      <w:r w:rsidR="00DD232E">
        <w:rPr>
          <w:rFonts w:ascii="仿宋" w:eastAsia="仿宋" w:hAnsi="仿宋" w:hint="eastAsia"/>
          <w:sz w:val="18"/>
          <w:szCs w:val="18"/>
        </w:rPr>
        <w:t>。</w:t>
      </w:r>
      <w:r w:rsidR="00E2587F" w:rsidRPr="00E2587F">
        <w:rPr>
          <w:rFonts w:ascii="仿宋" w:eastAsia="仿宋" w:hAnsi="仿宋"/>
          <w:sz w:val="18"/>
          <w:szCs w:val="18"/>
        </w:rPr>
        <w:t>互联网产业人才的工作小环境也必将随着产业大环境的转变而相应发生变化。</w:t>
      </w:r>
      <w:r w:rsidR="00B041A4">
        <w:rPr>
          <w:rFonts w:ascii="仿宋" w:eastAsia="仿宋" w:hAnsi="仿宋" w:hint="eastAsia"/>
          <w:sz w:val="18"/>
          <w:szCs w:val="18"/>
        </w:rPr>
        <w:t>文章以近年来软件相关从业人员的薪资</w:t>
      </w:r>
      <w:r w:rsidR="00E2587F">
        <w:rPr>
          <w:rFonts w:ascii="仿宋" w:eastAsia="仿宋" w:hAnsi="仿宋" w:hint="eastAsia"/>
          <w:sz w:val="18"/>
          <w:szCs w:val="18"/>
        </w:rPr>
        <w:t>数据</w:t>
      </w:r>
      <w:r w:rsidR="00B041A4">
        <w:rPr>
          <w:rFonts w:ascii="仿宋" w:eastAsia="仿宋" w:hAnsi="仿宋" w:hint="eastAsia"/>
          <w:sz w:val="18"/>
          <w:szCs w:val="18"/>
        </w:rPr>
        <w:t>作为基础，运用</w:t>
      </w:r>
      <w:r w:rsidR="00E2587F">
        <w:rPr>
          <w:rFonts w:ascii="仿宋" w:eastAsia="仿宋" w:hAnsi="仿宋" w:hint="eastAsia"/>
          <w:sz w:val="18"/>
          <w:szCs w:val="18"/>
        </w:rPr>
        <w:t>图表</w:t>
      </w:r>
      <w:r w:rsidR="00B041A4">
        <w:rPr>
          <w:rFonts w:ascii="仿宋" w:eastAsia="仿宋" w:hAnsi="仿宋" w:hint="eastAsia"/>
          <w:sz w:val="18"/>
          <w:szCs w:val="18"/>
        </w:rPr>
        <w:t>对比分析的方法，同时依据软件产业发展的特点来对薪酬变化进行进一步分析。文章的基本框架为，第一部分：选题背景及原因；第二部分：对从业人数的增长趋势进行数据分析并进一步解释原因；第三部分：对IT行业薪资做纵向和横向对比，得出软件行业在全行业的高薪资中仍将保持长久地位；第四部分：</w:t>
      </w:r>
      <w:r w:rsidR="00E2587F">
        <w:rPr>
          <w:rFonts w:ascii="仿宋" w:eastAsia="仿宋" w:hAnsi="仿宋" w:hint="eastAsia"/>
          <w:sz w:val="18"/>
          <w:szCs w:val="18"/>
        </w:rPr>
        <w:t>比较</w:t>
      </w:r>
      <w:r w:rsidR="00B041A4">
        <w:rPr>
          <w:rFonts w:ascii="仿宋" w:eastAsia="仿宋" w:hAnsi="仿宋" w:hint="eastAsia"/>
          <w:sz w:val="18"/>
          <w:szCs w:val="18"/>
        </w:rPr>
        <w:t>各地IT行业平均工资</w:t>
      </w:r>
      <w:r w:rsidR="00E2587F">
        <w:rPr>
          <w:rFonts w:ascii="仿宋" w:eastAsia="仿宋" w:hAnsi="仿宋" w:hint="eastAsia"/>
          <w:sz w:val="18"/>
          <w:szCs w:val="18"/>
        </w:rPr>
        <w:t>，得出一线地区工资遥遥领先的结论，</w:t>
      </w:r>
      <w:r w:rsidR="00B041A4">
        <w:rPr>
          <w:rFonts w:ascii="仿宋" w:eastAsia="仿宋" w:hAnsi="仿宋" w:hint="eastAsia"/>
          <w:sz w:val="18"/>
          <w:szCs w:val="18"/>
        </w:rPr>
        <w:t>并</w:t>
      </w:r>
      <w:r w:rsidR="00E2587F">
        <w:rPr>
          <w:rFonts w:ascii="仿宋" w:eastAsia="仿宋" w:hAnsi="仿宋" w:hint="eastAsia"/>
          <w:sz w:val="18"/>
          <w:szCs w:val="18"/>
        </w:rPr>
        <w:t>对此进行原因分析；第五部分：对文章内容进行总结并对软件相关从事人员给予一点建议。</w:t>
      </w:r>
    </w:p>
    <w:p w14:paraId="6014A862" w14:textId="138C9198" w:rsidR="008E6E45" w:rsidRDefault="008E6E45">
      <w:pPr>
        <w:rPr>
          <w:rFonts w:ascii="仿宋" w:eastAsia="仿宋" w:hAnsi="仿宋"/>
          <w:b/>
          <w:bCs/>
          <w:sz w:val="18"/>
          <w:szCs w:val="18"/>
        </w:rPr>
      </w:pPr>
    </w:p>
    <w:p w14:paraId="12BA2D78" w14:textId="6B17060F" w:rsidR="008E6E45" w:rsidRDefault="008E6E45">
      <w:pPr>
        <w:rPr>
          <w:rFonts w:ascii="宋体" w:eastAsia="宋体" w:hAnsi="宋体"/>
          <w:b/>
          <w:bCs/>
          <w:sz w:val="18"/>
          <w:szCs w:val="18"/>
        </w:rPr>
      </w:pPr>
      <w:r w:rsidRPr="008E6E45">
        <w:rPr>
          <w:rFonts w:ascii="宋体" w:eastAsia="宋体" w:hAnsi="宋体" w:hint="eastAsia"/>
          <w:b/>
          <w:bCs/>
          <w:sz w:val="18"/>
          <w:szCs w:val="18"/>
        </w:rPr>
        <w:t>关键词：</w:t>
      </w:r>
      <w:r w:rsidR="00DD53B1">
        <w:rPr>
          <w:rFonts w:ascii="宋体" w:eastAsia="宋体" w:hAnsi="宋体" w:hint="eastAsia"/>
          <w:b/>
          <w:bCs/>
          <w:sz w:val="18"/>
          <w:szCs w:val="18"/>
        </w:rPr>
        <w:t>IT行业；薪酬变化</w:t>
      </w:r>
      <w:r w:rsidR="000D7168">
        <w:rPr>
          <w:rFonts w:ascii="宋体" w:eastAsia="宋体" w:hAnsi="宋体" w:hint="eastAsia"/>
          <w:b/>
          <w:bCs/>
          <w:sz w:val="18"/>
          <w:szCs w:val="18"/>
        </w:rPr>
        <w:t>；人力资源</w:t>
      </w:r>
    </w:p>
    <w:p w14:paraId="1DFD499B" w14:textId="18FD72B6" w:rsidR="008E6E45" w:rsidRDefault="008E6E45">
      <w:pPr>
        <w:rPr>
          <w:rFonts w:ascii="宋体" w:eastAsia="宋体" w:hAnsi="宋体"/>
          <w:b/>
          <w:bCs/>
          <w:sz w:val="18"/>
          <w:szCs w:val="18"/>
        </w:rPr>
      </w:pPr>
    </w:p>
    <w:p w14:paraId="5A40AFA1" w14:textId="77777777" w:rsidR="00DD53B1" w:rsidRPr="005F0959" w:rsidRDefault="00DD53B1" w:rsidP="005F0959">
      <w:pPr>
        <w:rPr>
          <w:rFonts w:ascii="黑体" w:eastAsia="黑体" w:hAnsi="黑体"/>
          <w:szCs w:val="21"/>
        </w:rPr>
        <w:sectPr w:rsidR="00DD53B1" w:rsidRPr="005F0959">
          <w:headerReference w:type="even" r:id="rId8"/>
          <w:headerReference w:type="default" r:id="rId9"/>
          <w:pgSz w:w="11906" w:h="16838"/>
          <w:pgMar w:top="1440" w:right="1800" w:bottom="1440" w:left="1800" w:header="851" w:footer="992" w:gutter="0"/>
          <w:cols w:space="425"/>
          <w:docGrid w:type="lines" w:linePitch="312"/>
        </w:sectPr>
      </w:pPr>
    </w:p>
    <w:p w14:paraId="795E3CAB" w14:textId="6F9EC32D" w:rsidR="008E6E45" w:rsidRDefault="00DD53B1" w:rsidP="00DD53B1">
      <w:pPr>
        <w:pStyle w:val="a7"/>
        <w:numPr>
          <w:ilvl w:val="0"/>
          <w:numId w:val="1"/>
        </w:numPr>
        <w:ind w:firstLineChars="0"/>
        <w:rPr>
          <w:rFonts w:ascii="黑体" w:eastAsia="黑体" w:hAnsi="黑体"/>
          <w:szCs w:val="21"/>
        </w:rPr>
      </w:pPr>
      <w:r w:rsidRPr="00DD53B1">
        <w:rPr>
          <w:rFonts w:ascii="黑体" w:eastAsia="黑体" w:hAnsi="黑体" w:hint="eastAsia"/>
          <w:szCs w:val="21"/>
        </w:rPr>
        <w:t>引言</w:t>
      </w:r>
    </w:p>
    <w:p w14:paraId="38B28717" w14:textId="7338AC19" w:rsidR="00DD53B1" w:rsidRPr="00525A27" w:rsidRDefault="00525A27" w:rsidP="007117A3">
      <w:pPr>
        <w:pStyle w:val="1"/>
      </w:pPr>
      <w:r>
        <w:rPr>
          <w:rFonts w:hint="eastAsia"/>
        </w:rPr>
        <w:t>近年来，随着信息技术的发展，世界经济的发展已发生了根本性变化。</w:t>
      </w:r>
      <w:r w:rsidR="00053988">
        <w:rPr>
          <w:rFonts w:hint="eastAsia"/>
        </w:rPr>
        <w:t>信息化已成为世界各国发展国民经济最重要的手段</w:t>
      </w:r>
      <w:r w:rsidR="00B41F8F">
        <w:rPr>
          <w:rFonts w:hint="eastAsia"/>
        </w:rPr>
        <w:t>。以微电子、计算机、软件、通信技术为主导的信息产业技术革命正以迅雷不及掩耳之势改变着人们赖以生存的社会</w:t>
      </w:r>
      <w:r w:rsidR="002E3FC5">
        <w:rPr>
          <w:rFonts w:hint="eastAsia"/>
        </w:rPr>
        <w:t>。</w:t>
      </w:r>
      <w:r w:rsidR="002E3FC5">
        <w:rPr>
          <w:vertAlign w:val="superscript"/>
        </w:rPr>
        <w:t>[1]</w:t>
      </w:r>
      <w:r w:rsidR="002E3FC5">
        <w:t>I</w:t>
      </w:r>
      <w:r w:rsidR="002E3FC5">
        <w:rPr>
          <w:rFonts w:hint="eastAsia"/>
        </w:rPr>
        <w:t>T行业发展迅猛，各种新技术的开发应用对市场提出了极大的人才需求。随之而来的则是从业人员薪资的水涨船高。软件产业的发展是知识经济时代的需要。</w:t>
      </w:r>
      <w:r w:rsidR="00A406CE" w:rsidRPr="00A406CE">
        <w:t>互联网发展越发趋向多极化、普遍化，这也为人才合理流动提供了更多可能性。</w:t>
      </w:r>
      <w:r w:rsidR="001A1113" w:rsidRPr="001A1113">
        <w:t>判断一个行业的薪酬竞争力不能仅仅只看平均月薪高低，还要密切关注行业的“钱”途。想要看哪个行业更有“钱”途，最重要看这个行业未来是否能够继续攀升发展，对人才的需求量是否继续在加大。</w:t>
      </w:r>
    </w:p>
    <w:p w14:paraId="0C046F5E" w14:textId="77777777" w:rsidR="00DD53B1" w:rsidRPr="00EC6441" w:rsidRDefault="00DD53B1" w:rsidP="00EC6441">
      <w:pPr>
        <w:rPr>
          <w:rFonts w:ascii="黑体" w:eastAsia="黑体" w:hAnsi="黑体"/>
          <w:szCs w:val="21"/>
        </w:rPr>
      </w:pPr>
    </w:p>
    <w:p w14:paraId="0CBCB19E" w14:textId="3AF7BE50" w:rsidR="00DD53B1" w:rsidRDefault="00DD53B1" w:rsidP="00DD53B1">
      <w:pPr>
        <w:pStyle w:val="a7"/>
        <w:numPr>
          <w:ilvl w:val="0"/>
          <w:numId w:val="1"/>
        </w:numPr>
        <w:ind w:firstLineChars="0"/>
        <w:rPr>
          <w:rFonts w:ascii="黑体" w:eastAsia="黑体" w:hAnsi="黑体"/>
          <w:szCs w:val="21"/>
        </w:rPr>
      </w:pPr>
      <w:r>
        <w:rPr>
          <w:rFonts w:ascii="黑体" w:eastAsia="黑体" w:hAnsi="黑体" w:hint="eastAsia"/>
          <w:szCs w:val="21"/>
        </w:rPr>
        <w:t>分析</w:t>
      </w:r>
      <w:r w:rsidR="007117A3">
        <w:rPr>
          <w:rFonts w:ascii="黑体" w:eastAsia="黑体" w:hAnsi="黑体" w:hint="eastAsia"/>
          <w:szCs w:val="21"/>
        </w:rPr>
        <w:t>结果</w:t>
      </w:r>
    </w:p>
    <w:p w14:paraId="4D4CC706" w14:textId="46C4341F" w:rsidR="007117A3" w:rsidRDefault="007117A3" w:rsidP="007117A3">
      <w:pPr>
        <w:rPr>
          <w:rFonts w:ascii="黑体" w:eastAsia="黑体" w:hAnsi="黑体"/>
          <w:szCs w:val="21"/>
        </w:rPr>
      </w:pPr>
      <w:r>
        <w:rPr>
          <w:rFonts w:ascii="黑体" w:eastAsia="黑体" w:hAnsi="黑体" w:hint="eastAsia"/>
          <w:szCs w:val="21"/>
        </w:rPr>
        <w:t>2</w:t>
      </w:r>
      <w:r>
        <w:rPr>
          <w:rFonts w:ascii="黑体" w:eastAsia="黑体" w:hAnsi="黑体"/>
          <w:szCs w:val="21"/>
        </w:rPr>
        <w:t>.1</w:t>
      </w:r>
      <w:r w:rsidR="00BE63A4">
        <w:rPr>
          <w:rFonts w:ascii="黑体" w:eastAsia="黑体" w:hAnsi="黑体"/>
          <w:szCs w:val="21"/>
        </w:rPr>
        <w:t xml:space="preserve"> </w:t>
      </w:r>
      <w:r>
        <w:rPr>
          <w:rFonts w:ascii="黑体" w:eastAsia="黑体" w:hAnsi="黑体" w:hint="eastAsia"/>
          <w:szCs w:val="21"/>
        </w:rPr>
        <w:t>人才需求量趋近饱和</w:t>
      </w:r>
    </w:p>
    <w:p w14:paraId="70105310" w14:textId="3D4F89CB" w:rsidR="009E2258" w:rsidRDefault="009E2258" w:rsidP="009E2258">
      <w:pPr>
        <w:pStyle w:val="1"/>
        <w:rPr>
          <w:rFonts w:ascii="黑体" w:eastAsia="黑体" w:hAnsi="黑体" w:hint="eastAsia"/>
          <w:szCs w:val="21"/>
        </w:rPr>
      </w:pPr>
      <w:r>
        <w:rPr>
          <w:rFonts w:hint="eastAsia"/>
          <w:shd w:val="clear" w:color="auto" w:fill="FFFFFF"/>
        </w:rPr>
        <w:t>通过国研网发布的相关数据可以看出（图1），在2</w:t>
      </w:r>
      <w:r>
        <w:rPr>
          <w:shd w:val="clear" w:color="auto" w:fill="FFFFFF"/>
        </w:rPr>
        <w:t>014</w:t>
      </w:r>
      <w:r>
        <w:rPr>
          <w:rFonts w:hint="eastAsia"/>
          <w:shd w:val="clear" w:color="auto" w:fill="FFFFFF"/>
        </w:rPr>
        <w:t>年前，软件行业从业人数稳定快速增长。</w:t>
      </w:r>
      <w:r>
        <w:rPr>
          <w:shd w:val="clear" w:color="auto" w:fill="FFFFFF"/>
        </w:rPr>
        <w:t>因为在当年计算机行业</w:t>
      </w:r>
      <w:r>
        <w:rPr>
          <w:rFonts w:hint="eastAsia"/>
          <w:shd w:val="clear" w:color="auto" w:fill="FFFFFF"/>
        </w:rPr>
        <w:t>正是新兴行业</w:t>
      </w:r>
      <w:r>
        <w:rPr>
          <w:shd w:val="clear" w:color="auto" w:fill="FFFFFF"/>
        </w:rPr>
        <w:t>，</w:t>
      </w:r>
      <w:r>
        <w:rPr>
          <w:rFonts w:hint="eastAsia"/>
          <w:shd w:val="clear" w:color="auto" w:fill="FFFFFF"/>
        </w:rPr>
        <w:t>行业发展迅猛快速，</w:t>
      </w:r>
      <w:r>
        <w:rPr>
          <w:shd w:val="clear" w:color="auto" w:fill="FFFFFF"/>
        </w:rPr>
        <w:t>而且人才需求量也比较大</w:t>
      </w:r>
      <w:r>
        <w:rPr>
          <w:rFonts w:hint="eastAsia"/>
          <w:shd w:val="clear" w:color="auto" w:fill="FFFFFF"/>
        </w:rPr>
        <w:t>。但从2</w:t>
      </w:r>
      <w:r>
        <w:rPr>
          <w:shd w:val="clear" w:color="auto" w:fill="FFFFFF"/>
        </w:rPr>
        <w:t>014</w:t>
      </w:r>
      <w:r>
        <w:rPr>
          <w:rFonts w:hint="eastAsia"/>
          <w:shd w:val="clear" w:color="auto" w:fill="FFFFFF"/>
        </w:rPr>
        <w:t>年到2</w:t>
      </w:r>
      <w:r>
        <w:rPr>
          <w:shd w:val="clear" w:color="auto" w:fill="FFFFFF"/>
        </w:rPr>
        <w:t>015</w:t>
      </w:r>
      <w:r>
        <w:rPr>
          <w:rFonts w:hint="eastAsia"/>
          <w:shd w:val="clear" w:color="auto" w:fill="FFFFFF"/>
        </w:rPr>
        <w:t>年时新增就业人数骤降，之后几年增长曲线也趋于平缓了。可见</w:t>
      </w:r>
      <w:r>
        <w:rPr>
          <w:shd w:val="clear" w:color="auto" w:fill="FFFFFF"/>
        </w:rPr>
        <w:t>现在</w:t>
      </w:r>
      <w:r>
        <w:rPr>
          <w:rFonts w:hint="eastAsia"/>
          <w:shd w:val="clear" w:color="auto" w:fill="FFFFFF"/>
        </w:rPr>
        <w:t>软件行业人才需求</w:t>
      </w:r>
      <w:r>
        <w:rPr>
          <w:shd w:val="clear" w:color="auto" w:fill="FFFFFF"/>
        </w:rPr>
        <w:t>趋向于饱和</w:t>
      </w:r>
      <w:r>
        <w:rPr>
          <w:rFonts w:hint="eastAsia"/>
          <w:shd w:val="clear" w:color="auto" w:fill="FFFFFF"/>
        </w:rPr>
        <w:t>。</w:t>
      </w:r>
    </w:p>
    <w:p w14:paraId="1A6FA4CB" w14:textId="3B8F9E6B" w:rsidR="007117A3" w:rsidRDefault="007117A3" w:rsidP="00C364D3">
      <w:pPr>
        <w:pStyle w:val="a9"/>
        <w:rPr>
          <w:rFonts w:eastAsia="黑体"/>
        </w:rPr>
      </w:pPr>
      <w:r>
        <w:rPr>
          <w:noProof/>
        </w:rPr>
        <w:drawing>
          <wp:inline distT="0" distB="0" distL="0" distR="0" wp14:anchorId="6FA565F4" wp14:editId="385FD48E">
            <wp:extent cx="4073236" cy="2262691"/>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3691" cy="2268499"/>
                    </a:xfrm>
                    <a:prstGeom prst="rect">
                      <a:avLst/>
                    </a:prstGeom>
                    <a:noFill/>
                    <a:ln>
                      <a:noFill/>
                    </a:ln>
                  </pic:spPr>
                </pic:pic>
              </a:graphicData>
            </a:graphic>
          </wp:inline>
        </w:drawing>
      </w:r>
    </w:p>
    <w:p w14:paraId="0FBD35FB" w14:textId="548D5922" w:rsidR="00C364D3" w:rsidRDefault="00C364D3" w:rsidP="00C364D3">
      <w:pPr>
        <w:pStyle w:val="a9"/>
      </w:pPr>
      <w:r>
        <w:rPr>
          <w:rFonts w:hint="eastAsia"/>
        </w:rPr>
        <w:t>图</w:t>
      </w:r>
      <w:r>
        <w:rPr>
          <w:rFonts w:hint="eastAsia"/>
        </w:rPr>
        <w:t>1</w:t>
      </w:r>
    </w:p>
    <w:p w14:paraId="4DC38C43" w14:textId="647DBCE3" w:rsidR="00E2587F" w:rsidRDefault="00E2587F" w:rsidP="00E2587F">
      <w:pPr>
        <w:pStyle w:val="1"/>
      </w:pPr>
      <w:r>
        <w:rPr>
          <w:rFonts w:ascii="Arial" w:hAnsi="Arial" w:cs="Arial"/>
          <w:color w:val="191919"/>
          <w:shd w:val="clear" w:color="auto" w:fill="FFFFFF"/>
        </w:rPr>
        <w:t>随着互联网产业资本泡沫回落，产业互联网、人工智能、</w:t>
      </w:r>
      <w:r>
        <w:rPr>
          <w:rFonts w:ascii="Arial" w:hAnsi="Arial" w:cs="Arial"/>
          <w:color w:val="191919"/>
          <w:shd w:val="clear" w:color="auto" w:fill="FFFFFF"/>
        </w:rPr>
        <w:t>5G</w:t>
      </w:r>
      <w:r>
        <w:rPr>
          <w:rFonts w:ascii="Arial" w:hAnsi="Arial" w:cs="Arial"/>
          <w:color w:val="191919"/>
          <w:shd w:val="clear" w:color="auto" w:fill="FFFFFF"/>
        </w:rPr>
        <w:t>等科技热点兴起，国家经济向更有科技含</w:t>
      </w:r>
      <w:r>
        <w:rPr>
          <w:rFonts w:ascii="Arial" w:hAnsi="Arial" w:cs="Arial"/>
          <w:color w:val="191919"/>
          <w:shd w:val="clear" w:color="auto" w:fill="FFFFFF"/>
        </w:rPr>
        <w:lastRenderedPageBreak/>
        <w:t>量的产业前沿转型，缺少技术门槛的企业发展空间缩小，不再盲目扩张，整个市场更加趋向于理智，中国互联网进入了新的行业生命周期。</w:t>
      </w:r>
      <w:r w:rsidRPr="00BE63A4">
        <w:rPr>
          <w:rFonts w:hint="eastAsia"/>
        </w:rPr>
        <w:t>互联网领域受限于其企业规模，对应届毕业生的吸纳能力相对有限。</w:t>
      </w:r>
    </w:p>
    <w:p w14:paraId="4DA15A86" w14:textId="295D31E8" w:rsidR="00BE63A4" w:rsidRDefault="00BE63A4" w:rsidP="00BE63A4">
      <w:pPr>
        <w:pStyle w:val="1"/>
        <w:ind w:firstLineChars="0" w:firstLine="0"/>
      </w:pPr>
    </w:p>
    <w:p w14:paraId="6A5D4025" w14:textId="4A277FC5" w:rsidR="007117A3" w:rsidRPr="005D048F" w:rsidRDefault="005D048F" w:rsidP="005D048F">
      <w:pPr>
        <w:pStyle w:val="a7"/>
        <w:numPr>
          <w:ilvl w:val="1"/>
          <w:numId w:val="1"/>
        </w:numPr>
        <w:ind w:firstLineChars="0"/>
        <w:rPr>
          <w:rFonts w:ascii="黑体" w:eastAsia="黑体" w:hAnsi="黑体"/>
          <w:szCs w:val="21"/>
        </w:rPr>
      </w:pPr>
      <w:r w:rsidRPr="005D048F">
        <w:rPr>
          <w:rFonts w:ascii="黑体" w:eastAsia="黑体" w:hAnsi="黑体" w:hint="eastAsia"/>
          <w:szCs w:val="21"/>
        </w:rPr>
        <w:t>软件行业</w:t>
      </w:r>
      <w:r>
        <w:rPr>
          <w:rFonts w:ascii="黑体" w:eastAsia="黑体" w:hAnsi="黑体" w:hint="eastAsia"/>
          <w:szCs w:val="21"/>
        </w:rPr>
        <w:t>平均</w:t>
      </w:r>
      <w:r w:rsidR="00BE63A4" w:rsidRPr="005D048F">
        <w:rPr>
          <w:rFonts w:ascii="黑体" w:eastAsia="黑体" w:hAnsi="黑体" w:hint="eastAsia"/>
          <w:szCs w:val="21"/>
        </w:rPr>
        <w:t>薪酬领先全行业水平</w:t>
      </w:r>
    </w:p>
    <w:p w14:paraId="3634CCBB" w14:textId="44E2AF86" w:rsidR="005D048F" w:rsidRPr="003C32B0" w:rsidRDefault="005D048F" w:rsidP="003C32B0">
      <w:pPr>
        <w:pStyle w:val="1"/>
        <w:rPr>
          <w:rFonts w:ascii="Arial" w:hAnsi="Arial" w:cs="Arial"/>
          <w:color w:val="191919"/>
          <w:bdr w:val="none" w:sz="0" w:space="0" w:color="auto" w:frame="1"/>
        </w:rPr>
      </w:pPr>
      <w:r>
        <w:rPr>
          <w:rFonts w:hint="eastAsia"/>
        </w:rPr>
        <w:t>软件行业的薪酬与人才需求趋势大体类似</w:t>
      </w:r>
      <w:r w:rsidR="003C32B0">
        <w:rPr>
          <w:rFonts w:hint="eastAsia"/>
        </w:rPr>
        <w:t>（图2）</w:t>
      </w:r>
      <w:r>
        <w:rPr>
          <w:rFonts w:hint="eastAsia"/>
        </w:rPr>
        <w:t>，在2</w:t>
      </w:r>
      <w:r>
        <w:t>014</w:t>
      </w:r>
      <w:r>
        <w:rPr>
          <w:rFonts w:hint="eastAsia"/>
        </w:rPr>
        <w:t>年前稳步增长，在2</w:t>
      </w:r>
      <w:r>
        <w:t>014</w:t>
      </w:r>
      <w:r>
        <w:rPr>
          <w:rFonts w:hint="eastAsia"/>
        </w:rPr>
        <w:t>至2</w:t>
      </w:r>
      <w:r>
        <w:t>015</w:t>
      </w:r>
      <w:r>
        <w:rPr>
          <w:rFonts w:hint="eastAsia"/>
        </w:rPr>
        <w:t>年间增长趋势骤降。但不同于人才需求后续的慢速增加，劳动者报酬</w:t>
      </w:r>
      <w:r w:rsidR="003C32B0">
        <w:rPr>
          <w:rFonts w:hint="eastAsia"/>
        </w:rPr>
        <w:t>在2</w:t>
      </w:r>
      <w:r w:rsidR="003C32B0">
        <w:t>015</w:t>
      </w:r>
      <w:r w:rsidR="003C32B0">
        <w:rPr>
          <w:rFonts w:hint="eastAsia"/>
        </w:rPr>
        <w:t>年后</w:t>
      </w:r>
      <w:r>
        <w:rPr>
          <w:rFonts w:hint="eastAsia"/>
        </w:rPr>
        <w:t>反而增速更快，</w:t>
      </w:r>
      <w:r w:rsidR="003C32B0">
        <w:rPr>
          <w:rFonts w:hint="eastAsia"/>
        </w:rPr>
        <w:t>平均涨幅可达1</w:t>
      </w:r>
      <w:r w:rsidR="003C32B0">
        <w:t>6.7</w:t>
      </w:r>
      <w:r w:rsidR="003C32B0">
        <w:rPr>
          <w:rFonts w:hint="eastAsia"/>
        </w:rPr>
        <w:t>%</w:t>
      </w:r>
      <w:r>
        <w:rPr>
          <w:rFonts w:hint="eastAsia"/>
        </w:rPr>
        <w:t>。</w:t>
      </w:r>
    </w:p>
    <w:p w14:paraId="2598DF73" w14:textId="2BC0DAC4" w:rsidR="003C32B0" w:rsidRDefault="00BE63A4" w:rsidP="007117A3">
      <w:pPr>
        <w:rPr>
          <w:rFonts w:ascii="黑体" w:eastAsia="黑体" w:hAnsi="黑体"/>
          <w:szCs w:val="21"/>
        </w:rPr>
      </w:pPr>
      <w:r>
        <w:rPr>
          <w:noProof/>
        </w:rPr>
        <w:drawing>
          <wp:inline distT="0" distB="0" distL="0" distR="0" wp14:anchorId="11379505" wp14:editId="1B1A8FA5">
            <wp:extent cx="5274310" cy="2929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20955D42" w14:textId="45460B67" w:rsidR="003C32B0" w:rsidRDefault="003C32B0" w:rsidP="003C32B0">
      <w:pPr>
        <w:pStyle w:val="a9"/>
      </w:pPr>
      <w:r>
        <w:rPr>
          <w:rFonts w:hint="eastAsia"/>
        </w:rPr>
        <w:t>图</w:t>
      </w:r>
      <w:r>
        <w:rPr>
          <w:rFonts w:hint="eastAsia"/>
        </w:rPr>
        <w:t>2</w:t>
      </w:r>
    </w:p>
    <w:p w14:paraId="07D1DAD3" w14:textId="77777777" w:rsidR="000C33AF" w:rsidRDefault="000C33AF" w:rsidP="000C33AF">
      <w:pPr>
        <w:pStyle w:val="1"/>
        <w:rPr>
          <w:rFonts w:ascii="Arial" w:hAnsi="Arial" w:cs="Arial"/>
          <w:color w:val="333333"/>
          <w:shd w:val="clear" w:color="auto" w:fill="FFFFFF"/>
        </w:rPr>
      </w:pPr>
      <w:r>
        <w:rPr>
          <w:rFonts w:ascii="Arial" w:hAnsi="Arial" w:cs="Arial"/>
          <w:color w:val="333333"/>
          <w:shd w:val="clear" w:color="auto" w:fill="FFFFFF"/>
        </w:rPr>
        <w:t>互联网行业是一个对技术要求比较高的行业，而且现在互联网相对其他行业来说也是一个新兴的行业，互联网的红利巨大，因此这个行业从业者的薪资水平都是比较高的。</w:t>
      </w:r>
    </w:p>
    <w:p w14:paraId="309ED0A6" w14:textId="2A292735" w:rsidR="000C33AF" w:rsidRDefault="000C33AF" w:rsidP="000C33AF">
      <w:pPr>
        <w:pStyle w:val="1"/>
        <w:rPr>
          <w:shd w:val="clear" w:color="auto" w:fill="FFFFFF"/>
          <w:vertAlign w:val="superscript"/>
        </w:rPr>
      </w:pPr>
      <w:r>
        <w:rPr>
          <w:shd w:val="clear" w:color="auto" w:fill="FFFFFF"/>
        </w:rPr>
        <w:t>健康的人才流动可以使人才和企业达到共赢，而薪酬是指导双方在博弈过程中决策的重要参考，公平、合理的薪酬体系有利于推动产业及人才良性发展。2018年，中国互联网产业的整体薪酬持续领先全行业平均水平</w:t>
      </w:r>
      <w:r>
        <w:rPr>
          <w:rFonts w:hint="eastAsia"/>
          <w:shd w:val="clear" w:color="auto" w:fill="FFFFFF"/>
        </w:rPr>
        <w:t>（图3）</w:t>
      </w:r>
      <w:r>
        <w:rPr>
          <w:shd w:val="clear" w:color="auto" w:fill="FFFFFF"/>
        </w:rPr>
        <w:t>，且依然保持较高增速。</w:t>
      </w:r>
      <w:r>
        <w:rPr>
          <w:rFonts w:hint="eastAsia"/>
          <w:shd w:val="clear" w:color="auto" w:fill="FFFFFF"/>
          <w:vertAlign w:val="superscript"/>
        </w:rPr>
        <w:t>[</w:t>
      </w:r>
      <w:r>
        <w:rPr>
          <w:shd w:val="clear" w:color="auto" w:fill="FFFFFF"/>
          <w:vertAlign w:val="superscript"/>
        </w:rPr>
        <w:t>2]</w:t>
      </w:r>
    </w:p>
    <w:p w14:paraId="7EA22A84" w14:textId="57B732EA" w:rsidR="0052707C" w:rsidRDefault="0052707C" w:rsidP="0052707C">
      <w:pPr>
        <w:pStyle w:val="1"/>
        <w:rPr>
          <w:shd w:val="clear" w:color="auto" w:fill="FFFFFF"/>
          <w:vertAlign w:val="superscript"/>
        </w:rPr>
      </w:pPr>
    </w:p>
    <w:p w14:paraId="4D668AB3" w14:textId="2FE99F8A" w:rsidR="003C32B0" w:rsidRPr="0052707C" w:rsidRDefault="00D521FA" w:rsidP="0052707C">
      <w:pPr>
        <w:pStyle w:val="1"/>
        <w:rPr>
          <w:shd w:val="clear" w:color="auto" w:fill="FFFFFF"/>
          <w:vertAlign w:val="superscript"/>
        </w:rPr>
      </w:pPr>
      <w:r>
        <w:rPr>
          <w:noProof/>
        </w:rPr>
        <w:drawing>
          <wp:inline distT="0" distB="0" distL="0" distR="0" wp14:anchorId="5F90787D" wp14:editId="6279A09D">
            <wp:extent cx="4745355" cy="27914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355" cy="2791460"/>
                    </a:xfrm>
                    <a:prstGeom prst="rect">
                      <a:avLst/>
                    </a:prstGeom>
                    <a:noFill/>
                    <a:ln>
                      <a:noFill/>
                    </a:ln>
                  </pic:spPr>
                </pic:pic>
              </a:graphicData>
            </a:graphic>
          </wp:inline>
        </w:drawing>
      </w:r>
    </w:p>
    <w:p w14:paraId="67281479" w14:textId="77777777" w:rsidR="006C00AD" w:rsidRDefault="00D521FA" w:rsidP="006C00AD">
      <w:pPr>
        <w:pStyle w:val="a9"/>
      </w:pPr>
      <w:r>
        <w:rPr>
          <w:rFonts w:hint="eastAsia"/>
        </w:rPr>
        <w:t>图</w:t>
      </w:r>
      <w:r>
        <w:rPr>
          <w:rFonts w:hint="eastAsia"/>
        </w:rPr>
        <w:t>3</w:t>
      </w:r>
    </w:p>
    <w:p w14:paraId="5D844EF6" w14:textId="45505E77" w:rsidR="00D521FA" w:rsidRDefault="00D521FA" w:rsidP="006C00AD">
      <w:pPr>
        <w:pStyle w:val="1"/>
        <w:rPr>
          <w:bdr w:val="none" w:sz="0" w:space="0" w:color="auto" w:frame="1"/>
        </w:rPr>
      </w:pPr>
      <w:r>
        <w:rPr>
          <w:rFonts w:hint="eastAsia"/>
        </w:rPr>
        <w:lastRenderedPageBreak/>
        <w:t>这得力于</w:t>
      </w:r>
      <w:r>
        <w:rPr>
          <w:rFonts w:hint="eastAsia"/>
          <w:bdr w:val="none" w:sz="0" w:space="0" w:color="auto" w:frame="1"/>
        </w:rPr>
        <w:t>国家</w:t>
      </w:r>
      <w:r>
        <w:rPr>
          <w:bdr w:val="none" w:sz="0" w:space="0" w:color="auto" w:frame="1"/>
        </w:rPr>
        <w:t>明确提出</w:t>
      </w:r>
      <w:r>
        <w:rPr>
          <w:rFonts w:hint="eastAsia"/>
          <w:bdr w:val="none" w:sz="0" w:space="0" w:color="auto" w:frame="1"/>
        </w:rPr>
        <w:t>的</w:t>
      </w:r>
      <w:r>
        <w:rPr>
          <w:bdr w:val="none" w:sz="0" w:space="0" w:color="auto" w:frame="1"/>
        </w:rPr>
        <w:t>“发展壮大新动能。做大做强新兴产业集群，实施大数据发展行动，加强新一代人工智能研发应用。运用新技术、新业态、新模式，大力改造提升传统产业”</w:t>
      </w:r>
      <w:r>
        <w:rPr>
          <w:rFonts w:hint="eastAsia"/>
          <w:bdr w:val="none" w:sz="0" w:space="0" w:color="auto" w:frame="1"/>
        </w:rPr>
        <w:t>。</w:t>
      </w:r>
      <w:r>
        <w:rPr>
          <w:bdr w:val="none" w:sz="0" w:space="0" w:color="auto" w:frame="1"/>
        </w:rPr>
        <w:t>从2015年起，人工智能和大数据作为未来两大发展方向，受到了政府的支持，最明显表现就是建设智慧城市、智能交通、全国各地建设大数据中心</w:t>
      </w:r>
      <w:r>
        <w:rPr>
          <w:rFonts w:hint="eastAsia"/>
          <w:bdr w:val="none" w:sz="0" w:space="0" w:color="auto" w:frame="1"/>
        </w:rPr>
        <w:t>。</w:t>
      </w:r>
    </w:p>
    <w:p w14:paraId="3744DEE3" w14:textId="77777777" w:rsidR="0051728D" w:rsidRPr="006C00AD" w:rsidRDefault="0051728D" w:rsidP="006C00AD">
      <w:pPr>
        <w:pStyle w:val="1"/>
        <w:rPr>
          <w:rFonts w:ascii="黑体" w:hAnsi="黑体"/>
        </w:rPr>
      </w:pPr>
    </w:p>
    <w:p w14:paraId="08526F4B" w14:textId="060B89DB" w:rsidR="00D521FA" w:rsidRPr="00B041A4" w:rsidRDefault="000C33AF" w:rsidP="007117A3">
      <w:pPr>
        <w:rPr>
          <w:rFonts w:ascii="黑体" w:eastAsia="黑体" w:hAnsi="黑体"/>
          <w:szCs w:val="21"/>
        </w:rPr>
      </w:pPr>
      <w:r w:rsidRPr="00B041A4">
        <w:rPr>
          <w:rFonts w:ascii="黑体" w:eastAsia="黑体" w:hAnsi="黑体" w:hint="eastAsia"/>
          <w:szCs w:val="21"/>
        </w:rPr>
        <w:t>2</w:t>
      </w:r>
      <w:r w:rsidRPr="00B041A4">
        <w:rPr>
          <w:rFonts w:ascii="黑体" w:eastAsia="黑体" w:hAnsi="黑体"/>
          <w:szCs w:val="21"/>
        </w:rPr>
        <w:t>.3</w:t>
      </w:r>
      <w:r w:rsidR="006C00AD" w:rsidRPr="00B041A4">
        <w:rPr>
          <w:rFonts w:ascii="黑体" w:eastAsia="黑体" w:hAnsi="黑体" w:cs="Arial" w:hint="eastAsia"/>
          <w:color w:val="191919"/>
          <w:shd w:val="clear" w:color="auto" w:fill="FFFFFF"/>
        </w:rPr>
        <w:t>软件行业</w:t>
      </w:r>
      <w:r w:rsidR="006C00AD" w:rsidRPr="00B041A4">
        <w:rPr>
          <w:rFonts w:ascii="黑体" w:eastAsia="黑体" w:hAnsi="黑体" w:cs="Arial"/>
          <w:color w:val="191919"/>
          <w:shd w:val="clear" w:color="auto" w:fill="FFFFFF"/>
        </w:rPr>
        <w:t>薪酬地域差异较为显著</w:t>
      </w:r>
    </w:p>
    <w:p w14:paraId="230EA1CB" w14:textId="77777777" w:rsidR="00596D17" w:rsidRDefault="006C00AD" w:rsidP="00596D17">
      <w:pPr>
        <w:pStyle w:val="1"/>
      </w:pPr>
      <w:r>
        <w:rPr>
          <w:rFonts w:hint="eastAsia"/>
        </w:rPr>
        <w:t>根据国家统计局编写的中国统计年鉴中，我们可获得如下数据（图4）。表中可以看出软件行业薪酬地域差异较为显著。2</w:t>
      </w:r>
      <w:r>
        <w:t>019</w:t>
      </w:r>
      <w:r>
        <w:rPr>
          <w:rFonts w:hint="eastAsia"/>
        </w:rPr>
        <w:t>年度，北京地区互联网薪资遥遥领先其他地区。紧接着的则是广东、上海和天津，这三个地区薪资差异较小但仍与剩下的其他地区拉开了差距。而其他各地的</w:t>
      </w:r>
      <w:r w:rsidR="00596D17">
        <w:rPr>
          <w:rFonts w:hint="eastAsia"/>
        </w:rPr>
        <w:t>软件</w:t>
      </w:r>
      <w:r>
        <w:rPr>
          <w:rFonts w:hint="eastAsia"/>
        </w:rPr>
        <w:t>行业薪资都相差不大</w:t>
      </w:r>
      <w:r w:rsidR="00596D17">
        <w:rPr>
          <w:rFonts w:hint="eastAsia"/>
        </w:rPr>
        <w:t>。</w:t>
      </w:r>
    </w:p>
    <w:p w14:paraId="32EB2F30" w14:textId="13D30FB7" w:rsidR="00596D17" w:rsidRPr="00596D17" w:rsidRDefault="00596D17" w:rsidP="00596D17">
      <w:pPr>
        <w:pStyle w:val="1"/>
      </w:pPr>
      <w:r>
        <w:rPr>
          <w:shd w:val="clear" w:color="auto" w:fill="FFFFFF"/>
        </w:rPr>
        <w:t>北京，是中国互联网的发源地，伴随着数字化进程发展，北京也成为了当之无愧的</w:t>
      </w:r>
      <w:r w:rsidRPr="00596D17">
        <w:rPr>
          <w:rStyle w:val="a8"/>
          <w:rFonts w:ascii="Arial" w:hAnsi="Arial" w:cs="Arial"/>
          <w:b w:val="0"/>
          <w:bCs w:val="0"/>
          <w:color w:val="191919"/>
          <w:bdr w:val="none" w:sz="0" w:space="0" w:color="auto" w:frame="1"/>
          <w:shd w:val="clear" w:color="auto" w:fill="FFFFFF"/>
        </w:rPr>
        <w:t>互联网之都。</w:t>
      </w:r>
      <w:r>
        <w:t>这里城市教育资源优渥，已成为中国互联网发展的重要人才供给地。而且拥有互联网上市公司的数量最多，百度、京东、新浪、小米、360、优酷、爱奇艺、今日头条等等知名互联网公司总部均是设在北京。</w:t>
      </w:r>
    </w:p>
    <w:p w14:paraId="517FDB91" w14:textId="037E0002" w:rsidR="006C00AD" w:rsidRDefault="006C00AD" w:rsidP="006C00AD">
      <w:pPr>
        <w:pStyle w:val="1"/>
      </w:pPr>
    </w:p>
    <w:p w14:paraId="0FD375AB" w14:textId="7ED1905C" w:rsidR="00596D17" w:rsidRDefault="00596D17" w:rsidP="006C00AD">
      <w:pPr>
        <w:pStyle w:val="1"/>
      </w:pPr>
      <w:r>
        <w:rPr>
          <w:noProof/>
        </w:rPr>
        <w:drawing>
          <wp:inline distT="0" distB="0" distL="0" distR="0" wp14:anchorId="45C28C6D" wp14:editId="539215A0">
            <wp:extent cx="4572000" cy="2743200"/>
            <wp:effectExtent l="0" t="0" r="0" b="0"/>
            <wp:docPr id="7" name="图表 7">
              <a:extLst xmlns:a="http://schemas.openxmlformats.org/drawingml/2006/main">
                <a:ext uri="{FF2B5EF4-FFF2-40B4-BE49-F238E27FC236}">
                  <a16:creationId xmlns:a16="http://schemas.microsoft.com/office/drawing/2014/main" id="{E9A4DB16-9B1F-4248-9EB0-FD670885D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9705B3" w14:textId="6470E989" w:rsidR="003C32B0" w:rsidRPr="0051728D" w:rsidRDefault="00596D17" w:rsidP="0051728D">
      <w:pPr>
        <w:pStyle w:val="a9"/>
      </w:pPr>
      <w:r>
        <w:rPr>
          <w:rFonts w:hint="eastAsia"/>
        </w:rPr>
        <w:t>图</w:t>
      </w:r>
      <w:r>
        <w:rPr>
          <w:rFonts w:hint="eastAsia"/>
        </w:rPr>
        <w:t>4</w:t>
      </w:r>
    </w:p>
    <w:p w14:paraId="23F1C106" w14:textId="5ABC0C9A" w:rsidR="007117A3" w:rsidRDefault="00DD53B1" w:rsidP="007117A3">
      <w:pPr>
        <w:pStyle w:val="a7"/>
        <w:numPr>
          <w:ilvl w:val="0"/>
          <w:numId w:val="1"/>
        </w:numPr>
        <w:ind w:firstLineChars="0"/>
        <w:rPr>
          <w:rFonts w:ascii="黑体" w:eastAsia="黑体" w:hAnsi="黑体"/>
          <w:szCs w:val="21"/>
        </w:rPr>
      </w:pPr>
      <w:r>
        <w:rPr>
          <w:rFonts w:ascii="黑体" w:eastAsia="黑体" w:hAnsi="黑体" w:hint="eastAsia"/>
          <w:szCs w:val="21"/>
        </w:rPr>
        <w:t>分析</w:t>
      </w:r>
      <w:r w:rsidR="007117A3">
        <w:rPr>
          <w:rFonts w:ascii="黑体" w:eastAsia="黑体" w:hAnsi="黑体" w:hint="eastAsia"/>
          <w:szCs w:val="21"/>
        </w:rPr>
        <w:t>方法</w:t>
      </w:r>
    </w:p>
    <w:p w14:paraId="7B3C55FF" w14:textId="36163FBA" w:rsidR="0051728D" w:rsidRPr="0051728D" w:rsidRDefault="0051728D" w:rsidP="0051728D">
      <w:pPr>
        <w:pStyle w:val="1"/>
      </w:pPr>
      <w:r>
        <w:rPr>
          <w:rFonts w:hint="eastAsia"/>
        </w:rPr>
        <w:t>本文主要采用的是图表相关分析（折线图及柱状图）。</w:t>
      </w:r>
      <w:r w:rsidR="00F670FA">
        <w:rPr>
          <w:rFonts w:hint="eastAsia"/>
        </w:rPr>
        <w:t>因为图表法是最为清晰直观，简单明了的。</w:t>
      </w:r>
      <w:r>
        <w:rPr>
          <w:rFonts w:hint="eastAsia"/>
        </w:rPr>
        <w:t>这种相关分析方法是将数据进行可视化处理。</w:t>
      </w:r>
      <w:r w:rsidR="00F670FA">
        <w:rPr>
          <w:rFonts w:hint="eastAsia"/>
          <w:vertAlign w:val="superscript"/>
        </w:rPr>
        <w:t>[</w:t>
      </w:r>
      <w:r w:rsidR="00F670FA">
        <w:rPr>
          <w:vertAlign w:val="superscript"/>
        </w:rPr>
        <w:t>3]</w:t>
      </w:r>
      <w:r>
        <w:rPr>
          <w:rFonts w:hint="eastAsia"/>
        </w:rPr>
        <w:t>单纯从薪酬的数据角度很难发现其中的趋势和联系，而将薪资绘制成图表后趋势和联系就会变的清晰起来。对于有明显时间维度的数据，我们选择使用折线图。而对于无时间联系但需要对比鲜明的数据组，我们选择使用柱状图。</w:t>
      </w:r>
    </w:p>
    <w:p w14:paraId="2E44A573" w14:textId="66706E84" w:rsidR="0051728D" w:rsidRDefault="00DD53B1" w:rsidP="0051728D">
      <w:pPr>
        <w:pStyle w:val="a7"/>
        <w:numPr>
          <w:ilvl w:val="0"/>
          <w:numId w:val="1"/>
        </w:numPr>
        <w:ind w:firstLineChars="0"/>
        <w:rPr>
          <w:rFonts w:ascii="黑体" w:eastAsia="黑体" w:hAnsi="黑体"/>
          <w:szCs w:val="21"/>
        </w:rPr>
      </w:pPr>
      <w:r>
        <w:rPr>
          <w:rFonts w:ascii="黑体" w:eastAsia="黑体" w:hAnsi="黑体" w:hint="eastAsia"/>
          <w:szCs w:val="21"/>
        </w:rPr>
        <w:t>结论</w:t>
      </w:r>
    </w:p>
    <w:p w14:paraId="38D077B3" w14:textId="77777777" w:rsidR="005F0959" w:rsidRDefault="005F0959" w:rsidP="005F0959">
      <w:pPr>
        <w:pStyle w:val="1"/>
      </w:pPr>
      <w:r>
        <w:rPr>
          <w:rFonts w:hint="eastAsia"/>
        </w:rPr>
        <w:t>综上，我国互联网产业在经历了快速发展的大潮后进入理性调整、去粕存精的阶段。国家出台政策扶持软件相关子产业，加快推进互联网、大数据</w:t>
      </w:r>
      <w:r>
        <w:t xml:space="preserve"> 、人工智能与实体经济的深度融合。就业景气度提升与薪酬稳步增长。</w:t>
      </w:r>
    </w:p>
    <w:p w14:paraId="308CE399" w14:textId="77777777" w:rsidR="005F0959" w:rsidRDefault="005F0959" w:rsidP="005F0959">
      <w:pPr>
        <w:pStyle w:val="1"/>
      </w:pPr>
      <w:r>
        <w:rPr>
          <w:rFonts w:hint="eastAsia"/>
        </w:rPr>
        <w:t>在一线、新一线城市继续领跑互联网产业的同时，部分二线城市的互联网产业发展同样展现出萌芽乃至蓬勃之态，互联网发展越发趋向多极化、普遍化。“野蛮生长”的互联网技术加速向传统行业渗透，以“互联网</w:t>
      </w:r>
      <w:r>
        <w:t>+”思维对传统行业进行“流程再造”之势，互联网产业人才也在流入传统行业，为之赋能。</w:t>
      </w:r>
    </w:p>
    <w:p w14:paraId="024C9ED7" w14:textId="280428B2" w:rsidR="005F0959" w:rsidRPr="005F0959" w:rsidRDefault="005F0959" w:rsidP="005F0959">
      <w:pPr>
        <w:pStyle w:val="1"/>
      </w:pPr>
      <w:r>
        <w:rPr>
          <w:rFonts w:hint="eastAsia"/>
        </w:rPr>
        <w:t>对个人而言，保持终身学习的心态与习惯、取得生活与工作的平衡，是多数互联网从业者追求并努力实现的方向，人们在急剧变化的互联网产业环境中不断提升自己、寻找机会、相信未来。</w:t>
      </w:r>
    </w:p>
    <w:p w14:paraId="3A480A0A" w14:textId="220CDB85" w:rsidR="00DD53B1" w:rsidRDefault="00DD53B1" w:rsidP="00DD53B1">
      <w:pPr>
        <w:pStyle w:val="a7"/>
        <w:numPr>
          <w:ilvl w:val="0"/>
          <w:numId w:val="1"/>
        </w:numPr>
        <w:ind w:firstLineChars="0"/>
        <w:rPr>
          <w:rFonts w:ascii="黑体" w:eastAsia="黑体" w:hAnsi="黑体"/>
          <w:szCs w:val="21"/>
        </w:rPr>
      </w:pPr>
      <w:r>
        <w:rPr>
          <w:rFonts w:ascii="黑体" w:eastAsia="黑体" w:hAnsi="黑体" w:hint="eastAsia"/>
          <w:szCs w:val="21"/>
        </w:rPr>
        <w:t>参考文献</w:t>
      </w:r>
    </w:p>
    <w:p w14:paraId="5F35554B" w14:textId="66800926" w:rsidR="008E6E45" w:rsidRDefault="000D7168">
      <w:pPr>
        <w:rPr>
          <w:rFonts w:ascii="宋体" w:eastAsia="宋体" w:hAnsi="宋体"/>
          <w:color w:val="333333"/>
          <w:sz w:val="18"/>
          <w:szCs w:val="18"/>
          <w:shd w:val="clear" w:color="auto" w:fill="FFFFFF"/>
        </w:rPr>
      </w:pPr>
      <w:r w:rsidRPr="000D7168">
        <w:rPr>
          <w:rFonts w:ascii="宋体" w:eastAsia="宋体" w:hAnsi="宋体" w:hint="eastAsia"/>
          <w:color w:val="333333"/>
          <w:sz w:val="18"/>
          <w:szCs w:val="18"/>
          <w:shd w:val="clear" w:color="auto" w:fill="FFFFFF"/>
        </w:rPr>
        <w:t>[</w:t>
      </w:r>
      <w:r w:rsidR="002E3FC5">
        <w:rPr>
          <w:rFonts w:ascii="宋体" w:eastAsia="宋体" w:hAnsi="宋体"/>
          <w:color w:val="333333"/>
          <w:sz w:val="18"/>
          <w:szCs w:val="18"/>
          <w:shd w:val="clear" w:color="auto" w:fill="FFFFFF"/>
        </w:rPr>
        <w:t>1</w:t>
      </w:r>
      <w:r w:rsidRPr="000D7168">
        <w:rPr>
          <w:rFonts w:ascii="宋体" w:eastAsia="宋体" w:hAnsi="宋体" w:hint="eastAsia"/>
          <w:color w:val="333333"/>
          <w:sz w:val="18"/>
          <w:szCs w:val="18"/>
          <w:shd w:val="clear" w:color="auto" w:fill="FFFFFF"/>
        </w:rPr>
        <w:t>]董国强. 我国软件产业人力资本投资研究[D].西北大学,2004.</w:t>
      </w:r>
    </w:p>
    <w:p w14:paraId="58EBD67D" w14:textId="5A620F08" w:rsidR="00D521FA" w:rsidRDefault="00D521FA" w:rsidP="00F670FA">
      <w:pPr>
        <w:pStyle w:val="1"/>
        <w:ind w:firstLineChars="0" w:firstLine="0"/>
        <w:jc w:val="left"/>
        <w:rPr>
          <w:rStyle w:val="10"/>
        </w:rPr>
      </w:pPr>
      <w:r>
        <w:rPr>
          <w:rFonts w:hint="eastAsia"/>
          <w:color w:val="333333"/>
          <w:shd w:val="clear" w:color="auto" w:fill="FFFFFF"/>
        </w:rPr>
        <w:lastRenderedPageBreak/>
        <w:t>[</w:t>
      </w:r>
      <w:r>
        <w:rPr>
          <w:color w:val="333333"/>
          <w:shd w:val="clear" w:color="auto" w:fill="FFFFFF"/>
        </w:rPr>
        <w:t>2]</w:t>
      </w:r>
      <w:r w:rsidR="000C33AF">
        <w:rPr>
          <w:rStyle w:val="10"/>
          <w:rFonts w:hint="eastAsia"/>
        </w:rPr>
        <w:t>蓝桥杯</w:t>
      </w:r>
      <w:r w:rsidR="00E50B34" w:rsidRPr="00E50B34">
        <w:rPr>
          <w:rStyle w:val="10"/>
        </w:rPr>
        <w:t>:2018年度各行业薪酬变化走势.[2018-09-29].</w:t>
      </w:r>
      <w:r w:rsidR="00F670FA">
        <w:rPr>
          <w:rFonts w:hint="eastAsia"/>
        </w:rPr>
        <w:t xml:space="preserve"> </w:t>
      </w:r>
      <w:r w:rsidR="00F670FA" w:rsidRPr="00F670FA">
        <w:rPr>
          <w:rStyle w:val="10"/>
        </w:rPr>
        <w:t>https://www.baidu.com/link?url=u5DNwXXdAoM5dOWGMd6jwJFoeI2vl_Aw7zj4dgGr7z0Q8fqamLXoiD2P-N46JJPRBiQFhIxgchhDBZj7Zp1I2_&amp;wd=&amp;eqid=ff3d84040000bf4600000003606e4daf</w:t>
      </w:r>
    </w:p>
    <w:p w14:paraId="51C99C32" w14:textId="059C41B7" w:rsidR="00F670FA" w:rsidRPr="00F670FA" w:rsidRDefault="00F670FA" w:rsidP="00F670FA">
      <w:pPr>
        <w:pStyle w:val="1"/>
        <w:ind w:firstLineChars="0" w:firstLine="0"/>
        <w:jc w:val="left"/>
      </w:pPr>
      <w:r>
        <w:rPr>
          <w:rFonts w:hint="eastAsia"/>
        </w:rPr>
        <w:t>[</w:t>
      </w:r>
      <w:r>
        <w:t>3]</w:t>
      </w:r>
      <w:r w:rsidRPr="00F670FA">
        <w:rPr>
          <w:rFonts w:hint="eastAsia"/>
        </w:rPr>
        <w:t xml:space="preserve"> 成都</w:t>
      </w:r>
      <w:r w:rsidRPr="00F670FA">
        <w:t>CDA数据分析师:5种常用的分析方法.[2018-08-09]. https://www.sohu.com/a/246155162_420744</w:t>
      </w:r>
    </w:p>
    <w:sectPr w:rsidR="00F670FA" w:rsidRPr="00F670FA" w:rsidSect="002229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EACB5" w14:textId="77777777" w:rsidR="00804948" w:rsidRDefault="00804948" w:rsidP="008E6E45">
      <w:r>
        <w:separator/>
      </w:r>
    </w:p>
  </w:endnote>
  <w:endnote w:type="continuationSeparator" w:id="0">
    <w:p w14:paraId="6E827921" w14:textId="77777777" w:rsidR="00804948" w:rsidRDefault="00804948" w:rsidP="008E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A6668" w14:textId="77777777" w:rsidR="00804948" w:rsidRDefault="00804948" w:rsidP="008E6E45">
      <w:r>
        <w:separator/>
      </w:r>
    </w:p>
  </w:footnote>
  <w:footnote w:type="continuationSeparator" w:id="0">
    <w:p w14:paraId="731CF58B" w14:textId="77777777" w:rsidR="00804948" w:rsidRDefault="00804948" w:rsidP="008E6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DBCCB" w14:textId="77777777" w:rsidR="00DD53B1" w:rsidRDefault="00DD53B1" w:rsidP="00DD53B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1512A" w14:textId="77777777" w:rsidR="00DD53B1" w:rsidRDefault="00DD53B1" w:rsidP="00DD53B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20BBA"/>
    <w:multiLevelType w:val="multilevel"/>
    <w:tmpl w:val="89E2181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D0"/>
    <w:rsid w:val="00053988"/>
    <w:rsid w:val="000C33AF"/>
    <w:rsid w:val="000D7168"/>
    <w:rsid w:val="001A1113"/>
    <w:rsid w:val="002229D9"/>
    <w:rsid w:val="002D0E82"/>
    <w:rsid w:val="002E3FC5"/>
    <w:rsid w:val="003C32B0"/>
    <w:rsid w:val="0051728D"/>
    <w:rsid w:val="00525A27"/>
    <w:rsid w:val="0052707C"/>
    <w:rsid w:val="00596D17"/>
    <w:rsid w:val="005D048F"/>
    <w:rsid w:val="005D2502"/>
    <w:rsid w:val="005E3A22"/>
    <w:rsid w:val="005F0959"/>
    <w:rsid w:val="006C00AD"/>
    <w:rsid w:val="007117A3"/>
    <w:rsid w:val="00804948"/>
    <w:rsid w:val="00895DD0"/>
    <w:rsid w:val="008E6E45"/>
    <w:rsid w:val="009E2258"/>
    <w:rsid w:val="00A406CE"/>
    <w:rsid w:val="00B041A4"/>
    <w:rsid w:val="00B41F8F"/>
    <w:rsid w:val="00BE63A4"/>
    <w:rsid w:val="00C364D3"/>
    <w:rsid w:val="00C37F5F"/>
    <w:rsid w:val="00D521FA"/>
    <w:rsid w:val="00DD232E"/>
    <w:rsid w:val="00DD53B1"/>
    <w:rsid w:val="00E2587F"/>
    <w:rsid w:val="00E50B34"/>
    <w:rsid w:val="00EC6441"/>
    <w:rsid w:val="00F6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4CD9E"/>
  <w15:chartTrackingRefBased/>
  <w15:docId w15:val="{0F9E59D4-CF82-4546-B0ED-4463E11F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6E45"/>
    <w:rPr>
      <w:sz w:val="18"/>
      <w:szCs w:val="18"/>
    </w:rPr>
  </w:style>
  <w:style w:type="paragraph" w:styleId="a5">
    <w:name w:val="footer"/>
    <w:basedOn w:val="a"/>
    <w:link w:val="a6"/>
    <w:uiPriority w:val="99"/>
    <w:unhideWhenUsed/>
    <w:rsid w:val="008E6E45"/>
    <w:pPr>
      <w:tabs>
        <w:tab w:val="center" w:pos="4153"/>
        <w:tab w:val="right" w:pos="8306"/>
      </w:tabs>
      <w:snapToGrid w:val="0"/>
      <w:jc w:val="left"/>
    </w:pPr>
    <w:rPr>
      <w:sz w:val="18"/>
      <w:szCs w:val="18"/>
    </w:rPr>
  </w:style>
  <w:style w:type="character" w:customStyle="1" w:styleId="a6">
    <w:name w:val="页脚 字符"/>
    <w:basedOn w:val="a0"/>
    <w:link w:val="a5"/>
    <w:uiPriority w:val="99"/>
    <w:rsid w:val="008E6E45"/>
    <w:rPr>
      <w:sz w:val="18"/>
      <w:szCs w:val="18"/>
    </w:rPr>
  </w:style>
  <w:style w:type="paragraph" w:styleId="a7">
    <w:name w:val="List Paragraph"/>
    <w:basedOn w:val="a"/>
    <w:uiPriority w:val="34"/>
    <w:qFormat/>
    <w:rsid w:val="00DD53B1"/>
    <w:pPr>
      <w:ind w:firstLineChars="200" w:firstLine="420"/>
    </w:pPr>
  </w:style>
  <w:style w:type="character" w:styleId="a8">
    <w:name w:val="Strong"/>
    <w:basedOn w:val="a0"/>
    <w:uiPriority w:val="22"/>
    <w:qFormat/>
    <w:rsid w:val="001A1113"/>
    <w:rPr>
      <w:b/>
      <w:bCs/>
    </w:rPr>
  </w:style>
  <w:style w:type="paragraph" w:customStyle="1" w:styleId="1">
    <w:name w:val="正文1"/>
    <w:basedOn w:val="a"/>
    <w:link w:val="10"/>
    <w:qFormat/>
    <w:rsid w:val="007117A3"/>
    <w:pPr>
      <w:ind w:firstLineChars="200" w:firstLine="360"/>
    </w:pPr>
    <w:rPr>
      <w:rFonts w:ascii="宋体" w:eastAsia="宋体" w:hAnsi="宋体"/>
      <w:sz w:val="18"/>
      <w:szCs w:val="18"/>
    </w:rPr>
  </w:style>
  <w:style w:type="paragraph" w:customStyle="1" w:styleId="a9">
    <w:name w:val="图例"/>
    <w:basedOn w:val="a"/>
    <w:link w:val="aa"/>
    <w:qFormat/>
    <w:rsid w:val="00C364D3"/>
    <w:pPr>
      <w:jc w:val="center"/>
    </w:pPr>
    <w:rPr>
      <w:rFonts w:ascii="黑体" w:eastAsia="宋体" w:hAnsi="黑体"/>
      <w:sz w:val="15"/>
      <w:szCs w:val="21"/>
    </w:rPr>
  </w:style>
  <w:style w:type="character" w:customStyle="1" w:styleId="10">
    <w:name w:val="正文1 字符"/>
    <w:basedOn w:val="a0"/>
    <w:link w:val="1"/>
    <w:rsid w:val="007117A3"/>
    <w:rPr>
      <w:rFonts w:ascii="宋体" w:eastAsia="宋体" w:hAnsi="宋体"/>
      <w:sz w:val="18"/>
      <w:szCs w:val="18"/>
    </w:rPr>
  </w:style>
  <w:style w:type="paragraph" w:styleId="ab">
    <w:name w:val="Normal (Web)"/>
    <w:basedOn w:val="a"/>
    <w:uiPriority w:val="99"/>
    <w:semiHidden/>
    <w:unhideWhenUsed/>
    <w:rsid w:val="003C32B0"/>
    <w:pPr>
      <w:widowControl/>
      <w:spacing w:before="100" w:beforeAutospacing="1" w:after="100" w:afterAutospacing="1"/>
      <w:jc w:val="left"/>
    </w:pPr>
    <w:rPr>
      <w:rFonts w:ascii="宋体" w:eastAsia="宋体" w:hAnsi="宋体" w:cs="宋体"/>
      <w:kern w:val="0"/>
      <w:sz w:val="24"/>
      <w:szCs w:val="24"/>
    </w:rPr>
  </w:style>
  <w:style w:type="character" w:customStyle="1" w:styleId="aa">
    <w:name w:val="图例 字符"/>
    <w:basedOn w:val="a0"/>
    <w:link w:val="a9"/>
    <w:rsid w:val="00C364D3"/>
    <w:rPr>
      <w:rFonts w:ascii="黑体" w:eastAsia="宋体" w:hAnsi="黑体"/>
      <w:sz w:val="15"/>
      <w:szCs w:val="21"/>
    </w:rPr>
  </w:style>
  <w:style w:type="character" w:styleId="ac">
    <w:name w:val="Hyperlink"/>
    <w:basedOn w:val="a0"/>
    <w:uiPriority w:val="99"/>
    <w:unhideWhenUsed/>
    <w:rsid w:val="00F670FA"/>
    <w:rPr>
      <w:color w:val="0563C1" w:themeColor="hyperlink"/>
      <w:u w:val="single"/>
    </w:rPr>
  </w:style>
  <w:style w:type="character" w:styleId="ad">
    <w:name w:val="Unresolved Mention"/>
    <w:basedOn w:val="a0"/>
    <w:uiPriority w:val="99"/>
    <w:semiHidden/>
    <w:unhideWhenUsed/>
    <w:rsid w:val="00F67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212431">
      <w:bodyDiv w:val="1"/>
      <w:marLeft w:val="0"/>
      <w:marRight w:val="0"/>
      <w:marTop w:val="0"/>
      <w:marBottom w:val="0"/>
      <w:divBdr>
        <w:top w:val="none" w:sz="0" w:space="0" w:color="auto"/>
        <w:left w:val="none" w:sz="0" w:space="0" w:color="auto"/>
        <w:bottom w:val="none" w:sz="0" w:space="0" w:color="auto"/>
        <w:right w:val="none" w:sz="0" w:space="0" w:color="auto"/>
      </w:divBdr>
    </w:div>
    <w:div w:id="1383746646">
      <w:bodyDiv w:val="1"/>
      <w:marLeft w:val="0"/>
      <w:marRight w:val="0"/>
      <w:marTop w:val="0"/>
      <w:marBottom w:val="0"/>
      <w:divBdr>
        <w:top w:val="none" w:sz="0" w:space="0" w:color="auto"/>
        <w:left w:val="none" w:sz="0" w:space="0" w:color="auto"/>
        <w:bottom w:val="none" w:sz="0" w:space="0" w:color="auto"/>
        <w:right w:val="none" w:sz="0" w:space="0" w:color="auto"/>
      </w:divBdr>
    </w:div>
    <w:div w:id="1457336527">
      <w:bodyDiv w:val="1"/>
      <w:marLeft w:val="0"/>
      <w:marRight w:val="0"/>
      <w:marTop w:val="0"/>
      <w:marBottom w:val="0"/>
      <w:divBdr>
        <w:top w:val="none" w:sz="0" w:space="0" w:color="auto"/>
        <w:left w:val="none" w:sz="0" w:space="0" w:color="auto"/>
        <w:bottom w:val="none" w:sz="0" w:space="0" w:color="auto"/>
        <w:right w:val="none" w:sz="0" w:space="0" w:color="auto"/>
      </w:divBdr>
    </w:div>
    <w:div w:id="16219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2019</a:t>
            </a:r>
            <a:r>
              <a:rPr lang="zh-CN" altLang="en-US"/>
              <a:t>年软件行业各地区平均薪资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293744531933509"/>
          <c:y val="2.170129775444736E-2"/>
          <c:w val="0.85261811023622047"/>
          <c:h val="0.64201370662000579"/>
        </c:manualLayout>
      </c:layout>
      <c:barChart>
        <c:barDir val="col"/>
        <c:grouping val="clustered"/>
        <c:varyColors val="0"/>
        <c:ser>
          <c:idx val="0"/>
          <c:order val="0"/>
          <c:spPr>
            <a:solidFill>
              <a:schemeClr val="accent1"/>
            </a:solidFill>
            <a:ln>
              <a:noFill/>
            </a:ln>
            <a:effectLst/>
          </c:spPr>
          <c:invertIfNegative val="0"/>
          <c:cat>
            <c:strRef>
              <c:f>Sheet1!$A$2:$A$31</c:f>
              <c:strCache>
                <c:ptCount val="30"/>
                <c:pt idx="0">
                  <c:v>北京</c:v>
                </c:pt>
                <c:pt idx="1">
                  <c:v>广东</c:v>
                </c:pt>
                <c:pt idx="2">
                  <c:v>上海</c:v>
                </c:pt>
                <c:pt idx="3">
                  <c:v>天津</c:v>
                </c:pt>
                <c:pt idx="4">
                  <c:v>福建</c:v>
                </c:pt>
                <c:pt idx="5">
                  <c:v>浙江</c:v>
                </c:pt>
                <c:pt idx="6">
                  <c:v>安徽</c:v>
                </c:pt>
                <c:pt idx="7">
                  <c:v>重庆</c:v>
                </c:pt>
                <c:pt idx="8">
                  <c:v>江苏</c:v>
                </c:pt>
                <c:pt idx="9">
                  <c:v>贵州</c:v>
                </c:pt>
                <c:pt idx="10">
                  <c:v>山东</c:v>
                </c:pt>
                <c:pt idx="11">
                  <c:v>湖南</c:v>
                </c:pt>
                <c:pt idx="12">
                  <c:v>云南</c:v>
                </c:pt>
                <c:pt idx="13">
                  <c:v>山西</c:v>
                </c:pt>
                <c:pt idx="14">
                  <c:v>海南</c:v>
                </c:pt>
                <c:pt idx="15">
                  <c:v>四川</c:v>
                </c:pt>
                <c:pt idx="16">
                  <c:v>江西</c:v>
                </c:pt>
                <c:pt idx="17">
                  <c:v>广西</c:v>
                </c:pt>
                <c:pt idx="18">
                  <c:v>湖北</c:v>
                </c:pt>
                <c:pt idx="19">
                  <c:v>河北</c:v>
                </c:pt>
                <c:pt idx="20">
                  <c:v>甘肃</c:v>
                </c:pt>
                <c:pt idx="21">
                  <c:v>新疆</c:v>
                </c:pt>
                <c:pt idx="22">
                  <c:v>辽宁</c:v>
                </c:pt>
                <c:pt idx="23">
                  <c:v>河南</c:v>
                </c:pt>
                <c:pt idx="24">
                  <c:v>黑龙江</c:v>
                </c:pt>
                <c:pt idx="25">
                  <c:v>宁夏</c:v>
                </c:pt>
                <c:pt idx="26">
                  <c:v>内蒙古</c:v>
                </c:pt>
                <c:pt idx="27">
                  <c:v>吉林</c:v>
                </c:pt>
                <c:pt idx="28">
                  <c:v>青海</c:v>
                </c:pt>
                <c:pt idx="29">
                  <c:v>山西</c:v>
                </c:pt>
              </c:strCache>
            </c:strRef>
          </c:cat>
          <c:val>
            <c:numRef>
              <c:f>Sheet1!$B$2:$B$31</c:f>
              <c:numCache>
                <c:formatCode>General</c:formatCode>
                <c:ptCount val="30"/>
                <c:pt idx="0">
                  <c:v>162049</c:v>
                </c:pt>
                <c:pt idx="1">
                  <c:v>114183</c:v>
                </c:pt>
                <c:pt idx="2">
                  <c:v>108975</c:v>
                </c:pt>
                <c:pt idx="3">
                  <c:v>103521</c:v>
                </c:pt>
                <c:pt idx="4">
                  <c:v>81306</c:v>
                </c:pt>
                <c:pt idx="5">
                  <c:v>76820</c:v>
                </c:pt>
                <c:pt idx="6">
                  <c:v>72564</c:v>
                </c:pt>
                <c:pt idx="7">
                  <c:v>69691</c:v>
                </c:pt>
                <c:pt idx="8">
                  <c:v>68791</c:v>
                </c:pt>
                <c:pt idx="9">
                  <c:v>68123</c:v>
                </c:pt>
                <c:pt idx="10">
                  <c:v>65165</c:v>
                </c:pt>
                <c:pt idx="11">
                  <c:v>64528</c:v>
                </c:pt>
                <c:pt idx="12">
                  <c:v>61470</c:v>
                </c:pt>
                <c:pt idx="13">
                  <c:v>60252</c:v>
                </c:pt>
                <c:pt idx="14">
                  <c:v>59605</c:v>
                </c:pt>
                <c:pt idx="15">
                  <c:v>54471</c:v>
                </c:pt>
                <c:pt idx="16">
                  <c:v>53049</c:v>
                </c:pt>
                <c:pt idx="17">
                  <c:v>51501</c:v>
                </c:pt>
                <c:pt idx="18">
                  <c:v>51050</c:v>
                </c:pt>
                <c:pt idx="19">
                  <c:v>50955</c:v>
                </c:pt>
                <c:pt idx="20">
                  <c:v>49567</c:v>
                </c:pt>
                <c:pt idx="21">
                  <c:v>48791</c:v>
                </c:pt>
                <c:pt idx="22">
                  <c:v>47333</c:v>
                </c:pt>
                <c:pt idx="23">
                  <c:v>46679</c:v>
                </c:pt>
                <c:pt idx="24">
                  <c:v>45348</c:v>
                </c:pt>
                <c:pt idx="25">
                  <c:v>45318</c:v>
                </c:pt>
                <c:pt idx="26">
                  <c:v>43411</c:v>
                </c:pt>
                <c:pt idx="27">
                  <c:v>43049</c:v>
                </c:pt>
                <c:pt idx="28">
                  <c:v>40173</c:v>
                </c:pt>
                <c:pt idx="29">
                  <c:v>34263</c:v>
                </c:pt>
              </c:numCache>
            </c:numRef>
          </c:val>
          <c:extLst>
            <c:ext xmlns:c16="http://schemas.microsoft.com/office/drawing/2014/chart" uri="{C3380CC4-5D6E-409C-BE32-E72D297353CC}">
              <c16:uniqueId val="{00000000-DC71-47B1-B6EB-40B8280D0CC6}"/>
            </c:ext>
          </c:extLst>
        </c:ser>
        <c:dLbls>
          <c:showLegendKey val="0"/>
          <c:showVal val="0"/>
          <c:showCatName val="0"/>
          <c:showSerName val="0"/>
          <c:showPercent val="0"/>
          <c:showBubbleSize val="0"/>
        </c:dLbls>
        <c:gapWidth val="219"/>
        <c:overlap val="-27"/>
        <c:axId val="577456440"/>
        <c:axId val="577462520"/>
      </c:barChart>
      <c:catAx>
        <c:axId val="577456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7462520"/>
        <c:crosses val="autoZero"/>
        <c:auto val="1"/>
        <c:lblAlgn val="ctr"/>
        <c:lblOffset val="100"/>
        <c:noMultiLvlLbl val="0"/>
      </c:catAx>
      <c:valAx>
        <c:axId val="57746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7456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A3F7-0165-408F-A45D-75B680A4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1353</Characters>
  <Application>Microsoft Office Word</Application>
  <DocSecurity>0</DocSecurity>
  <Lines>64</Lines>
  <Paragraphs>49</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蜀蓉 郭</dc:creator>
  <cp:keywords/>
  <dc:description/>
  <cp:lastModifiedBy>蜀蓉 郭</cp:lastModifiedBy>
  <cp:revision>3</cp:revision>
  <dcterms:created xsi:type="dcterms:W3CDTF">2021-04-07T10:08:00Z</dcterms:created>
  <dcterms:modified xsi:type="dcterms:W3CDTF">2021-04-08T03:52:00Z</dcterms:modified>
</cp:coreProperties>
</file>