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ascii="黑体" w:hAnsi="黑体" w:eastAsia="黑体"/>
          <w:color w:val="FF0000"/>
          <w:sz w:val="36"/>
          <w:szCs w:val="36"/>
        </w:rPr>
      </w:pPr>
      <w:r>
        <w:rPr>
          <w:rFonts w:hint="eastAsia" w:ascii="黑体" w:hAnsi="黑体" w:eastAsia="黑体"/>
          <w:sz w:val="32"/>
          <w:szCs w:val="32"/>
          <w:lang w:val="en-US" w:eastAsia="zh-CN"/>
        </w:rPr>
        <w:t>关于IT行业薪酬变化的数据分析</w:t>
      </w:r>
    </w:p>
    <w:p>
      <w:pPr>
        <w:spacing w:after="180" w:afterLines="50" w:line="220" w:lineRule="atLeast"/>
        <w:rPr>
          <w:rFonts w:ascii="宋体" w:hAnsi="宋体" w:eastAsia="宋体"/>
          <w:sz w:val="21"/>
          <w:szCs w:val="21"/>
          <w:vertAlign w:val="superscript"/>
        </w:rPr>
      </w:pPr>
      <w:r>
        <w:rPr>
          <w:rFonts w:hint="eastAsia" w:ascii="宋体" w:hAnsi="宋体" w:eastAsia="宋体"/>
          <w:b/>
          <w:sz w:val="21"/>
          <w:szCs w:val="21"/>
          <w:lang w:val="en-US" w:eastAsia="zh-CN"/>
        </w:rPr>
        <w:t>金宇涵</w:t>
      </w:r>
      <w:r>
        <w:rPr>
          <w:rFonts w:hint="eastAsia" w:ascii="宋体" w:hAnsi="宋体" w:eastAsia="宋体"/>
          <w:b/>
          <w:sz w:val="21"/>
          <w:szCs w:val="21"/>
        </w:rPr>
        <w:t xml:space="preserve"> </w:t>
      </w:r>
      <w:r>
        <w:rPr>
          <w:rFonts w:hint="eastAsia" w:ascii="宋体" w:hAnsi="宋体" w:eastAsia="宋体"/>
          <w:sz w:val="21"/>
          <w:szCs w:val="21"/>
          <w:vertAlign w:val="superscript"/>
        </w:rPr>
        <w:t xml:space="preserve"> </w:t>
      </w:r>
    </w:p>
    <w:p>
      <w:pPr>
        <w:spacing w:after="0" w:line="220" w:lineRule="atLeast"/>
        <w:rPr>
          <w:rFonts w:ascii="宋体" w:hAnsi="宋体" w:eastAsia="宋体"/>
          <w:sz w:val="18"/>
          <w:szCs w:val="18"/>
          <w:vertAlign w:val="superscript"/>
        </w:rPr>
      </w:pPr>
      <w:r>
        <w:rPr>
          <w:rFonts w:hint="eastAsia" w:ascii="仿宋" w:hAnsi="仿宋" w:eastAsia="仿宋"/>
          <w:sz w:val="18"/>
          <w:szCs w:val="18"/>
          <w:lang w:val="en-US" w:eastAsia="zh-CN"/>
        </w:rPr>
        <w:t>大连理工大学</w:t>
      </w:r>
      <w:r>
        <w:rPr>
          <w:rFonts w:hint="eastAsia" w:ascii="仿宋" w:hAnsi="仿宋" w:eastAsia="仿宋"/>
          <w:sz w:val="18"/>
          <w:szCs w:val="18"/>
        </w:rPr>
        <w:t xml:space="preserve"> </w:t>
      </w:r>
      <w:r>
        <w:rPr>
          <w:rFonts w:hint="eastAsia" w:ascii="仿宋" w:hAnsi="仿宋" w:eastAsia="仿宋"/>
          <w:sz w:val="18"/>
          <w:szCs w:val="18"/>
          <w:lang w:val="en-US" w:eastAsia="zh-CN"/>
        </w:rPr>
        <w:t>辽宁省</w:t>
      </w:r>
      <w:r>
        <w:rPr>
          <w:rFonts w:hint="eastAsia" w:ascii="仿宋" w:hAnsi="仿宋" w:eastAsia="仿宋"/>
          <w:sz w:val="18"/>
          <w:szCs w:val="18"/>
        </w:rPr>
        <w:t xml:space="preserve"> </w:t>
      </w:r>
      <w:r>
        <w:rPr>
          <w:rFonts w:hint="eastAsia" w:ascii="仿宋" w:hAnsi="仿宋" w:eastAsia="仿宋"/>
          <w:sz w:val="18"/>
          <w:szCs w:val="18"/>
          <w:lang w:val="en-US" w:eastAsia="zh-CN"/>
        </w:rPr>
        <w:t>大连市</w:t>
      </w:r>
      <w:r>
        <w:rPr>
          <w:rFonts w:hint="eastAsia" w:ascii="仿宋" w:hAnsi="仿宋" w:eastAsia="仿宋"/>
          <w:sz w:val="18"/>
          <w:szCs w:val="18"/>
        </w:rPr>
        <w:t xml:space="preserve"> </w:t>
      </w:r>
      <w:r>
        <w:rPr>
          <w:rFonts w:hint="eastAsia" w:ascii="仿宋" w:hAnsi="仿宋" w:eastAsia="仿宋"/>
          <w:sz w:val="18"/>
          <w:szCs w:val="18"/>
          <w:lang w:val="en-US" w:eastAsia="zh-CN"/>
        </w:rPr>
        <w:t>116621</w:t>
      </w:r>
      <w:r>
        <w:rPr>
          <w:rFonts w:hint="eastAsia" w:ascii="宋体" w:hAnsi="宋体" w:eastAsia="宋体"/>
          <w:color w:val="FF0000"/>
          <w:sz w:val="18"/>
          <w:szCs w:val="18"/>
          <w:bdr w:val="single" w:color="auto" w:sz="4" w:space="0"/>
        </w:rPr>
        <w:t xml:space="preserve"> </w:t>
      </w:r>
    </w:p>
    <w:p>
      <w:pPr>
        <w:spacing w:after="0" w:line="220" w:lineRule="atLeast"/>
        <w:jc w:val="both"/>
        <w:rPr>
          <w:rFonts w:ascii="仿宋" w:hAnsi="仿宋" w:eastAsia="仿宋"/>
          <w:sz w:val="18"/>
          <w:szCs w:val="18"/>
        </w:rPr>
      </w:pPr>
      <w:r>
        <w:rPr>
          <w:rFonts w:hint="eastAsia" w:ascii="仿宋" w:hAnsi="仿宋" w:eastAsia="仿宋"/>
          <w:sz w:val="18"/>
          <w:szCs w:val="18"/>
          <w:lang w:val="en-US" w:eastAsia="zh-CN"/>
        </w:rPr>
        <w:t>jinyuhan@mail.dlut.edu.cn</w:t>
      </w:r>
    </w:p>
    <w:p>
      <w:pPr>
        <w:spacing w:after="0" w:line="220" w:lineRule="atLeast"/>
        <w:jc w:val="both"/>
        <w:rPr>
          <w:rFonts w:ascii="仿宋" w:hAnsi="仿宋" w:eastAsia="仿宋"/>
          <w:sz w:val="21"/>
          <w:szCs w:val="21"/>
        </w:rPr>
      </w:pPr>
    </w:p>
    <w:p>
      <w:pPr>
        <w:spacing w:before="180" w:beforeLines="50" w:after="180" w:afterLines="50" w:line="220" w:lineRule="atLeast"/>
        <w:rPr>
          <w:rFonts w:ascii="仿宋" w:hAnsi="仿宋" w:eastAsia="仿宋"/>
          <w:color w:val="FF0000"/>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olor w:val="auto"/>
          <w:sz w:val="18"/>
          <w:szCs w:val="18"/>
          <w:lang w:val="en-US" w:eastAsia="zh-CN"/>
        </w:rPr>
        <w:t>近些年，IT行业作为中国发展最迅猛的行业之一，行业规模不断扩大，行业收入增速呈现逐步上升的态势，伴随着国家政策的大力扶持，我国IT行业仍有较大的市场空间，是当下有着良好就业前景的行业。薪酬的变化作为行业发展最直观的表现，其数据的变化将反应出IT行业的现状。在收集并统计和整理国内外发表的IT行业薪酬的相关数据后，从与其他行业的比较、地区间薪酬的差异、IT行业内不停岗位薪酬变化的角度进行分析与研究后，可以发现作为国内薪酬最高的行业，IT行业的薪酬增幅远超传统行业，未来IT行业薪酬上升将会是必然的趋势。IT行业的公司，愿意用高的薪酬聘用既有技术又有经验的员工借此促进自身的发展。同时，地区经济水平的不同、IT行业内不同岗位不同需求和技术难度等因素也将会造成薪酬的变化。</w:t>
      </w:r>
      <w:r>
        <w:rPr>
          <w:rFonts w:hint="eastAsia" w:ascii="仿宋" w:hAnsi="仿宋" w:eastAsia="仿宋"/>
          <w:color w:val="auto"/>
          <w:sz w:val="18"/>
          <w:szCs w:val="18"/>
        </w:rPr>
        <w:t xml:space="preserve"> </w:t>
      </w:r>
    </w:p>
    <w:p>
      <w:pPr>
        <w:spacing w:before="180" w:beforeLines="50" w:after="180" w:afterLines="50" w:line="220" w:lineRule="atLeast"/>
        <w:rPr>
          <w:rFonts w:hint="eastAsia" w:ascii="宋体" w:hAnsi="宋体" w:eastAsia="宋体"/>
          <w:sz w:val="18"/>
          <w:szCs w:val="18"/>
        </w:rPr>
      </w:pPr>
      <w:r>
        <w:rPr>
          <w:rFonts w:hint="eastAsia" w:ascii="宋体" w:hAnsi="宋体" w:eastAsia="宋体"/>
          <w:b/>
          <w:sz w:val="18"/>
          <w:szCs w:val="18"/>
        </w:rPr>
        <w:t xml:space="preserve">关键词：  </w:t>
      </w:r>
      <w:r>
        <w:rPr>
          <w:rFonts w:hint="eastAsia" w:ascii="宋体" w:hAnsi="宋体" w:eastAsia="宋体"/>
          <w:sz w:val="18"/>
          <w:szCs w:val="18"/>
          <w:lang w:val="en-US" w:eastAsia="zh-CN"/>
        </w:rPr>
        <w:t>IT行业</w:t>
      </w:r>
      <w:r>
        <w:rPr>
          <w:rFonts w:hint="eastAsia" w:ascii="宋体" w:hAnsi="宋体" w:eastAsia="宋体"/>
          <w:sz w:val="18"/>
          <w:szCs w:val="18"/>
        </w:rPr>
        <w:t>；</w:t>
      </w:r>
      <w:r>
        <w:rPr>
          <w:rFonts w:hint="eastAsia" w:ascii="宋体" w:hAnsi="宋体" w:eastAsia="宋体"/>
          <w:sz w:val="18"/>
          <w:szCs w:val="18"/>
          <w:lang w:val="en-US" w:eastAsia="zh-CN"/>
        </w:rPr>
        <w:t>薪酬变化</w:t>
      </w:r>
      <w:r>
        <w:rPr>
          <w:rFonts w:hint="eastAsia" w:ascii="宋体" w:hAnsi="宋体" w:eastAsia="宋体"/>
          <w:sz w:val="18"/>
          <w:szCs w:val="18"/>
        </w:rPr>
        <w:t>；</w:t>
      </w:r>
      <w:r>
        <w:rPr>
          <w:rFonts w:hint="eastAsia" w:ascii="宋体" w:hAnsi="宋体" w:eastAsia="宋体"/>
          <w:sz w:val="18"/>
          <w:szCs w:val="18"/>
          <w:lang w:val="en-US" w:eastAsia="zh-CN"/>
        </w:rPr>
        <w:t>数据分析</w:t>
      </w:r>
      <w:r>
        <w:rPr>
          <w:rFonts w:hint="eastAsia" w:ascii="宋体" w:hAnsi="宋体" w:eastAsia="宋体"/>
          <w:sz w:val="18"/>
          <w:szCs w:val="18"/>
        </w:rPr>
        <w:t xml:space="preserve"> </w:t>
      </w:r>
    </w:p>
    <w:p>
      <w:pPr>
        <w:spacing w:after="0" w:line="220" w:lineRule="atLeast"/>
        <w:jc w:val="both"/>
        <w:rPr>
          <w:rFonts w:ascii="仿宋" w:hAnsi="仿宋" w:eastAsia="仿宋"/>
          <w:sz w:val="21"/>
          <w:szCs w:val="21"/>
        </w:rPr>
      </w:pPr>
    </w:p>
    <w:p>
      <w:pPr>
        <w:pStyle w:val="2"/>
        <w:numPr>
          <w:ilvl w:val="0"/>
          <w:numId w:val="1"/>
        </w:numPr>
      </w:pPr>
      <w:r>
        <w:rPr>
          <w:rFonts w:hint="eastAsia" w:ascii="黑体" w:hAnsi="黑体" w:eastAsia="黑体"/>
          <w:szCs w:val="21"/>
          <w:lang w:val="en-US" w:eastAsia="zh-CN"/>
        </w:rPr>
        <w:t>引言</w:t>
      </w:r>
    </w:p>
    <w:p>
      <w:pPr>
        <w:pStyle w:val="3"/>
        <w:keepNext w:val="0"/>
        <w:keepLines w:val="0"/>
        <w:pageBreakBefore w:val="0"/>
        <w:widowControl w:val="0"/>
        <w:kinsoku/>
        <w:wordWrap/>
        <w:overflowPunct/>
        <w:topLinePunct w:val="0"/>
        <w:autoSpaceDE/>
        <w:autoSpaceDN/>
        <w:bidi w:val="0"/>
        <w:adjustRightInd/>
        <w:snapToGrid/>
        <w:spacing w:after="0" w:line="400" w:lineRule="exact"/>
        <w:ind w:firstLine="360" w:firstLineChars="200"/>
        <w:textAlignment w:val="auto"/>
        <w:rPr>
          <w:rFonts w:hint="eastAsia" w:ascii="宋体" w:hAnsi="宋体"/>
          <w:sz w:val="18"/>
          <w:szCs w:val="18"/>
          <w:lang w:val="en-US" w:eastAsia="zh-CN"/>
        </w:rPr>
      </w:pPr>
      <w:r>
        <w:rPr>
          <w:rFonts w:hint="eastAsia" w:ascii="宋体" w:hAnsi="宋体"/>
          <w:sz w:val="18"/>
          <w:szCs w:val="18"/>
          <w:lang w:val="en-US" w:eastAsia="zh-CN"/>
        </w:rPr>
        <w:t>在2000年初，人们将技术与软件称为“信息技术（IT）”，并统称当时的开发人员为“IT人士”。而随着信息时代的到来，IT行业以强势的姿态席卷全球，重塑社会结构也改变了人们思考的方式。伴随着源源不断的人才需求，IT行业成为当下就业前景最好的行业，而反映了其发展的就是IT行业薪酬的变化。而对IT行业薪酬的研究，目前互联网上也有很多学者进行过多角度的分析并发表相关文章</w:t>
      </w:r>
      <w:r>
        <w:rPr>
          <w:rFonts w:hint="eastAsia" w:ascii="宋体" w:hAnsi="宋体"/>
          <w:color w:val="auto"/>
          <w:sz w:val="18"/>
          <w:szCs w:val="18"/>
          <w:vertAlign w:val="superscript"/>
          <w:lang w:val="en-US" w:eastAsia="zh-CN"/>
        </w:rPr>
        <w:t>[1]</w:t>
      </w:r>
      <w:r>
        <w:rPr>
          <w:rFonts w:hint="eastAsia" w:ascii="宋体" w:hAnsi="宋体"/>
          <w:color w:val="auto"/>
          <w:sz w:val="18"/>
          <w:szCs w:val="18"/>
          <w:lang w:val="en-US" w:eastAsia="zh-CN"/>
        </w:rPr>
        <w:t>。</w:t>
      </w:r>
    </w:p>
    <w:p>
      <w:pPr>
        <w:pStyle w:val="3"/>
        <w:keepNext w:val="0"/>
        <w:keepLines w:val="0"/>
        <w:pageBreakBefore w:val="0"/>
        <w:widowControl w:val="0"/>
        <w:kinsoku/>
        <w:wordWrap/>
        <w:overflowPunct/>
        <w:topLinePunct w:val="0"/>
        <w:autoSpaceDE/>
        <w:autoSpaceDN/>
        <w:bidi w:val="0"/>
        <w:adjustRightInd/>
        <w:snapToGrid/>
        <w:spacing w:after="0" w:line="400" w:lineRule="exact"/>
        <w:ind w:firstLine="360" w:firstLineChars="200"/>
        <w:textAlignment w:val="auto"/>
        <w:rPr>
          <w:rFonts w:hint="eastAsia" w:ascii="宋体" w:hAnsi="宋体"/>
          <w:sz w:val="18"/>
          <w:szCs w:val="18"/>
          <w:lang w:val="en-US" w:eastAsia="zh-CN"/>
        </w:rPr>
      </w:pPr>
      <w:r>
        <w:rPr>
          <w:rFonts w:hint="eastAsia" w:ascii="宋体" w:hAnsi="宋体"/>
          <w:sz w:val="18"/>
          <w:szCs w:val="18"/>
          <w:lang w:val="en-US" w:eastAsia="zh-CN"/>
        </w:rPr>
        <w:t>回顾薪酬变化的历程，并对其进行分析和研究，数据是最有力的语言。本文统计了国内外发布的IT行业薪酬变化相关的数据，从与其他行业对比的角度、区域差异的角度和行业内岗位差异的角度分析IT行业的薪酬变化，并得出IT行业薪资逐年增长且增幅远超传统行业，尖端人才因缺失而会采取提高薪资来聘用，区域差异是影响IT薪资变化的因素，IT业内各岗位中需求和技术难度的因素也会影响IT行业薪资变化的结论。</w:t>
      </w:r>
    </w:p>
    <w:p>
      <w:pPr>
        <w:pStyle w:val="2"/>
        <w:keepNext w:val="0"/>
        <w:keepLines w:val="0"/>
        <w:pageBreakBefore w:val="0"/>
        <w:widowControl w:val="0"/>
        <w:numPr>
          <w:ilvl w:val="0"/>
          <w:numId w:val="1"/>
        </w:numPr>
        <w:kinsoku/>
        <w:wordWrap/>
        <w:overflowPunct/>
        <w:topLinePunct w:val="0"/>
        <w:autoSpaceDE/>
        <w:autoSpaceDN/>
        <w:bidi w:val="0"/>
        <w:adjustRightInd/>
        <w:snapToGrid/>
        <w:spacing w:line="400" w:lineRule="exact"/>
        <w:ind w:left="363" w:hanging="363"/>
        <w:textAlignment w:val="auto"/>
      </w:pPr>
      <w:r>
        <w:rPr>
          <w:rFonts w:hint="eastAsia" w:ascii="黑体" w:hAnsi="黑体" w:eastAsia="黑体"/>
          <w:szCs w:val="21"/>
          <w:lang w:val="en-US" w:eastAsia="zh-CN"/>
        </w:rPr>
        <w:t>IT行业与其他行业对比中的薪酬变化</w:t>
      </w:r>
    </w:p>
    <w:p>
      <w:pPr>
        <w:keepNext w:val="0"/>
        <w:keepLines w:val="0"/>
        <w:pageBreakBefore w:val="0"/>
        <w:widowControl/>
        <w:kinsoku/>
        <w:wordWrap/>
        <w:overflowPunct/>
        <w:topLinePunct w:val="0"/>
        <w:autoSpaceDE/>
        <w:autoSpaceDN/>
        <w:bidi w:val="0"/>
        <w:adjustRightInd w:val="0"/>
        <w:snapToGrid w:val="0"/>
        <w:spacing w:after="0" w:line="400" w:lineRule="exact"/>
        <w:ind w:firstLine="360" w:firstLineChars="200"/>
        <w:jc w:val="left"/>
        <w:textAlignment w:val="auto"/>
        <w:rPr>
          <w:rFonts w:hint="default" w:ascii="宋体" w:hAnsi="宋体" w:eastAsia="宋体" w:cs="宋体"/>
          <w:kern w:val="0"/>
          <w:sz w:val="18"/>
          <w:szCs w:val="18"/>
          <w:lang w:val="en-US" w:eastAsia="zh-CN" w:bidi="ar"/>
        </w:rPr>
      </w:pPr>
      <w:r>
        <w:rPr>
          <w:rFonts w:hint="eastAsia" w:ascii="宋体" w:hAnsi="宋体" w:eastAsia="宋体" w:cs="宋体"/>
          <w:sz w:val="18"/>
          <w:szCs w:val="18"/>
          <w:shd w:val="clear" w:color="auto" w:fill="FFFFFF"/>
          <w:lang w:val="en-US" w:eastAsia="zh-CN"/>
        </w:rPr>
        <w:t>根据中华人民共和国</w:t>
      </w:r>
      <w:r>
        <w:rPr>
          <w:rFonts w:hint="eastAsia" w:ascii="宋体" w:hAnsi="宋体" w:eastAsia="宋体" w:cs="宋体"/>
          <w:kern w:val="0"/>
          <w:sz w:val="18"/>
          <w:szCs w:val="18"/>
          <w:lang w:bidi="ar"/>
        </w:rPr>
        <w:t>国家统计局2015-2019年公布的社会平均工资数据</w:t>
      </w:r>
      <w:r>
        <w:rPr>
          <w:rFonts w:hint="eastAsia" w:ascii="宋体" w:hAnsi="宋体" w:eastAsia="宋体" w:cs="宋体"/>
          <w:kern w:val="0"/>
          <w:sz w:val="18"/>
          <w:szCs w:val="18"/>
          <w:vertAlign w:val="superscript"/>
          <w:lang w:val="en-US" w:eastAsia="zh-CN" w:bidi="ar"/>
        </w:rPr>
        <w:t>[2]</w:t>
      </w:r>
      <w:r>
        <w:rPr>
          <w:rFonts w:hint="eastAsia" w:ascii="宋体" w:hAnsi="宋体" w:eastAsia="宋体" w:cs="宋体"/>
          <w:kern w:val="0"/>
          <w:sz w:val="18"/>
          <w:szCs w:val="18"/>
          <w:lang w:eastAsia="zh-CN" w:bidi="ar"/>
        </w:rPr>
        <w:t>，</w:t>
      </w:r>
      <w:r>
        <w:rPr>
          <w:rFonts w:hint="eastAsia" w:ascii="宋体" w:hAnsi="宋体" w:eastAsia="宋体" w:cs="宋体"/>
          <w:kern w:val="0"/>
          <w:sz w:val="18"/>
          <w:szCs w:val="18"/>
          <w:lang w:val="en-US" w:eastAsia="zh-CN" w:bidi="ar"/>
        </w:rPr>
        <w:t>将排名前三位的行业平均薪酬水平数据统计为全国城镇非私营单位社会平均工资水平（见表1），全国城镇私营单位社会平均工资水平（见表2）。</w:t>
      </w:r>
    </w:p>
    <w:p>
      <w:pPr>
        <w:keepNext w:val="0"/>
        <w:keepLines w:val="0"/>
        <w:pageBreakBefore w:val="0"/>
        <w:widowControl/>
        <w:kinsoku/>
        <w:wordWrap/>
        <w:overflowPunct/>
        <w:topLinePunct w:val="0"/>
        <w:autoSpaceDE/>
        <w:autoSpaceDN/>
        <w:bidi w:val="0"/>
        <w:adjustRightInd w:val="0"/>
        <w:snapToGrid w:val="0"/>
        <w:spacing w:after="0" w:line="400" w:lineRule="exact"/>
        <w:ind w:firstLine="360" w:firstLineChars="200"/>
        <w:jc w:val="left"/>
        <w:textAlignment w:val="auto"/>
        <w:rPr>
          <w:rFonts w:hint="eastAsia" w:ascii="宋体" w:hAnsi="宋体" w:eastAsia="宋体" w:cs="宋体"/>
          <w:spacing w:val="8"/>
          <w:sz w:val="18"/>
          <w:szCs w:val="18"/>
          <w:shd w:val="clear" w:color="auto" w:fill="FFFFFF"/>
          <w:lang w:eastAsia="zh-CN"/>
        </w:rPr>
      </w:pPr>
      <w:r>
        <w:rPr>
          <w:rFonts w:hint="eastAsia" w:ascii="宋体" w:hAnsi="宋体" w:eastAsia="宋体" w:cs="宋体"/>
          <w:sz w:val="18"/>
          <w:szCs w:val="18"/>
          <w:shd w:val="clear" w:color="auto" w:fill="FFFFFF"/>
        </w:rPr>
        <w:t>通过表</w:t>
      </w:r>
      <w:r>
        <w:rPr>
          <w:rFonts w:hint="eastAsia" w:ascii="宋体" w:hAnsi="宋体" w:eastAsia="宋体" w:cs="宋体"/>
          <w:sz w:val="18"/>
          <w:szCs w:val="18"/>
          <w:shd w:val="clear" w:color="auto" w:fill="FFFFFF"/>
          <w:lang w:val="en-US" w:eastAsia="zh-CN"/>
        </w:rPr>
        <w:t>1</w:t>
      </w:r>
      <w:r>
        <w:rPr>
          <w:rFonts w:hint="eastAsia" w:ascii="宋体" w:hAnsi="宋体" w:eastAsia="宋体" w:cs="宋体"/>
          <w:sz w:val="18"/>
          <w:szCs w:val="18"/>
          <w:shd w:val="clear" w:color="auto" w:fill="FFFFFF"/>
        </w:rPr>
        <w:t>可以看出，2016年</w:t>
      </w:r>
      <w:r>
        <w:rPr>
          <w:rFonts w:hint="eastAsia" w:ascii="宋体" w:hAnsi="宋体" w:eastAsia="宋体" w:cs="宋体"/>
          <w:sz w:val="18"/>
          <w:szCs w:val="18"/>
          <w:shd w:val="clear" w:color="auto" w:fill="FFFFFF"/>
          <w:lang w:val="en-US" w:eastAsia="zh-CN"/>
        </w:rPr>
        <w:t>非私营单位</w:t>
      </w:r>
      <w:r>
        <w:rPr>
          <w:rFonts w:hint="eastAsia" w:ascii="宋体" w:hAnsi="宋体" w:eastAsia="宋体" w:cs="宋体"/>
          <w:spacing w:val="8"/>
          <w:sz w:val="18"/>
          <w:szCs w:val="18"/>
          <w:shd w:val="clear" w:color="auto" w:fill="FFFFFF"/>
        </w:rPr>
        <w:t>IT</w:t>
      </w:r>
      <w:r>
        <w:rPr>
          <w:rFonts w:hint="eastAsia" w:ascii="宋体" w:hAnsi="宋体" w:eastAsia="宋体" w:cs="宋体"/>
          <w:spacing w:val="8"/>
          <w:sz w:val="18"/>
          <w:szCs w:val="18"/>
          <w:shd w:val="clear" w:color="auto" w:fill="FFFFFF"/>
          <w:lang w:val="en-US" w:eastAsia="zh-CN"/>
        </w:rPr>
        <w:t>行</w:t>
      </w:r>
      <w:r>
        <w:rPr>
          <w:rFonts w:hint="eastAsia" w:ascii="宋体" w:hAnsi="宋体" w:eastAsia="宋体" w:cs="宋体"/>
          <w:spacing w:val="8"/>
          <w:sz w:val="18"/>
          <w:szCs w:val="18"/>
          <w:shd w:val="clear" w:color="auto" w:fill="FFFFFF"/>
        </w:rPr>
        <w:t>业平均工资水平首次超过金融</w:t>
      </w:r>
      <w:r>
        <w:rPr>
          <w:rFonts w:hint="eastAsia" w:ascii="宋体" w:hAnsi="宋体" w:eastAsia="宋体" w:cs="宋体"/>
          <w:spacing w:val="8"/>
          <w:sz w:val="18"/>
          <w:szCs w:val="18"/>
          <w:shd w:val="clear" w:color="auto" w:fill="FFFFFF"/>
          <w:lang w:val="en-US" w:eastAsia="zh-CN"/>
        </w:rPr>
        <w:t>行</w:t>
      </w:r>
      <w:r>
        <w:rPr>
          <w:rFonts w:hint="eastAsia" w:ascii="宋体" w:hAnsi="宋体" w:eastAsia="宋体" w:cs="宋体"/>
          <w:spacing w:val="8"/>
          <w:sz w:val="18"/>
          <w:szCs w:val="18"/>
          <w:shd w:val="clear" w:color="auto" w:fill="FFFFFF"/>
        </w:rPr>
        <w:t>业，</w:t>
      </w:r>
      <w:r>
        <w:rPr>
          <w:rFonts w:hint="eastAsia" w:ascii="宋体" w:hAnsi="宋体" w:eastAsia="宋体" w:cs="宋体"/>
          <w:spacing w:val="8"/>
          <w:sz w:val="18"/>
          <w:szCs w:val="18"/>
          <w:shd w:val="clear" w:color="auto" w:fill="FFFFFF"/>
          <w:lang w:val="en-US" w:eastAsia="zh-CN"/>
        </w:rPr>
        <w:t>而后</w:t>
      </w:r>
      <w:r>
        <w:rPr>
          <w:rFonts w:hint="eastAsia" w:ascii="宋体" w:hAnsi="宋体" w:eastAsia="宋体" w:cs="宋体"/>
          <w:spacing w:val="8"/>
          <w:sz w:val="18"/>
          <w:szCs w:val="18"/>
          <w:shd w:val="clear" w:color="auto" w:fill="FFFFFF"/>
        </w:rPr>
        <w:t>连续4年排名各行业门类首位</w:t>
      </w:r>
      <w:r>
        <w:rPr>
          <w:rFonts w:hint="eastAsia" w:ascii="宋体" w:hAnsi="宋体" w:eastAsia="宋体" w:cs="宋体"/>
          <w:spacing w:val="8"/>
          <w:sz w:val="18"/>
          <w:szCs w:val="18"/>
          <w:shd w:val="clear" w:color="auto" w:fill="FFFFFF"/>
          <w:lang w:eastAsia="zh-CN"/>
        </w:rPr>
        <w:t>。</w:t>
      </w:r>
      <w:r>
        <w:rPr>
          <w:rFonts w:hint="eastAsia" w:ascii="宋体" w:hAnsi="宋体" w:eastAsia="宋体" w:cs="宋体"/>
          <w:sz w:val="18"/>
          <w:szCs w:val="18"/>
          <w:shd w:val="clear" w:color="auto" w:fill="FFFFFF"/>
        </w:rPr>
        <w:t>2019年非私营单位</w:t>
      </w:r>
      <w:r>
        <w:rPr>
          <w:rFonts w:hint="eastAsia" w:ascii="宋体" w:hAnsi="宋体" w:eastAsia="宋体" w:cs="宋体"/>
          <w:spacing w:val="8"/>
          <w:sz w:val="18"/>
          <w:szCs w:val="18"/>
          <w:shd w:val="clear" w:color="auto" w:fill="FFFFFF"/>
        </w:rPr>
        <w:t>IT</w:t>
      </w:r>
      <w:r>
        <w:rPr>
          <w:rFonts w:hint="eastAsia" w:ascii="宋体" w:hAnsi="宋体" w:eastAsia="宋体" w:cs="宋体"/>
          <w:spacing w:val="8"/>
          <w:sz w:val="18"/>
          <w:szCs w:val="18"/>
          <w:shd w:val="clear" w:color="auto" w:fill="FFFFFF"/>
          <w:lang w:val="en-US" w:eastAsia="zh-CN"/>
        </w:rPr>
        <w:t>行</w:t>
      </w:r>
      <w:r>
        <w:rPr>
          <w:rFonts w:hint="eastAsia" w:ascii="宋体" w:hAnsi="宋体" w:eastAsia="宋体" w:cs="宋体"/>
          <w:spacing w:val="8"/>
          <w:sz w:val="18"/>
          <w:szCs w:val="18"/>
          <w:shd w:val="clear" w:color="auto" w:fill="FFFFFF"/>
        </w:rPr>
        <w:t>业平均工资水平</w:t>
      </w:r>
      <w:r>
        <w:rPr>
          <w:rFonts w:hint="eastAsia" w:ascii="宋体" w:hAnsi="宋体" w:eastAsia="宋体" w:cs="宋体"/>
          <w:sz w:val="18"/>
          <w:szCs w:val="18"/>
          <w:shd w:val="clear" w:color="auto" w:fill="FFFFFF"/>
        </w:rPr>
        <w:t>达到16.1万元，私营单位</w:t>
      </w:r>
      <w:r>
        <w:rPr>
          <w:rFonts w:hint="eastAsia" w:ascii="宋体" w:hAnsi="宋体" w:eastAsia="宋体" w:cs="宋体"/>
          <w:spacing w:val="8"/>
          <w:sz w:val="18"/>
          <w:szCs w:val="18"/>
          <w:shd w:val="clear" w:color="auto" w:fill="FFFFFF"/>
        </w:rPr>
        <w:t>IT业平均工资水平</w:t>
      </w:r>
      <w:r>
        <w:rPr>
          <w:rFonts w:hint="eastAsia" w:ascii="宋体" w:hAnsi="宋体" w:eastAsia="宋体" w:cs="宋体"/>
          <w:sz w:val="18"/>
          <w:szCs w:val="18"/>
          <w:shd w:val="clear" w:color="auto" w:fill="FFFFFF"/>
        </w:rPr>
        <w:t>8.5万元，</w:t>
      </w:r>
      <w:r>
        <w:rPr>
          <w:rFonts w:hint="eastAsia" w:ascii="宋体" w:hAnsi="宋体" w:eastAsia="宋体" w:cs="宋体"/>
          <w:spacing w:val="8"/>
          <w:sz w:val="18"/>
          <w:szCs w:val="18"/>
          <w:shd w:val="clear" w:color="auto" w:fill="FFFFFF"/>
        </w:rPr>
        <w:t>分别为全国平均水平的1.78倍、1.59倍</w:t>
      </w:r>
      <w:r>
        <w:rPr>
          <w:rFonts w:hint="eastAsia" w:ascii="宋体" w:hAnsi="宋体" w:eastAsia="宋体" w:cs="宋体"/>
          <w:spacing w:val="8"/>
          <w:sz w:val="18"/>
          <w:szCs w:val="18"/>
          <w:shd w:val="clear" w:color="auto" w:fill="FFFFFF"/>
          <w:lang w:eastAsia="zh-CN"/>
        </w:rPr>
        <w:t>。</w:t>
      </w:r>
      <w:r>
        <w:rPr>
          <w:rFonts w:hint="eastAsia" w:ascii="宋体" w:hAnsi="宋体" w:eastAsia="宋体" w:cs="宋体"/>
          <w:spacing w:val="8"/>
          <w:sz w:val="18"/>
          <w:szCs w:val="18"/>
          <w:shd w:val="clear" w:color="auto" w:fill="FFFFFF"/>
          <w:lang w:val="en-US" w:eastAsia="zh-CN"/>
        </w:rPr>
        <w:t>再</w:t>
      </w:r>
      <w:r>
        <w:rPr>
          <w:rFonts w:hint="eastAsia" w:ascii="宋体" w:hAnsi="宋体" w:eastAsia="宋体" w:cs="宋体"/>
          <w:color w:val="121212"/>
          <w:sz w:val="18"/>
          <w:szCs w:val="18"/>
          <w:shd w:val="clear" w:color="auto" w:fill="FFFFFF"/>
          <w:lang w:val="en-US" w:eastAsia="zh-CN"/>
        </w:rPr>
        <w:t>结合表2分析可以看到：</w:t>
      </w:r>
      <w:r>
        <w:rPr>
          <w:rFonts w:hint="eastAsia" w:ascii="宋体" w:hAnsi="宋体" w:eastAsia="宋体" w:cs="宋体"/>
          <w:color w:val="121212"/>
          <w:sz w:val="18"/>
          <w:szCs w:val="18"/>
          <w:shd w:val="clear" w:color="auto" w:fill="FFFFFF"/>
        </w:rPr>
        <w:t>同行业分属私营和非私营单位的差距较大：IT行业人员在两种性质单位的薪资增幅基本接近,但平均薪资水平差距</w:t>
      </w:r>
      <w:r>
        <w:rPr>
          <w:rFonts w:hint="eastAsia" w:ascii="宋体" w:hAnsi="宋体" w:eastAsia="宋体" w:cs="宋体"/>
          <w:color w:val="3E3E3E"/>
          <w:spacing w:val="8"/>
          <w:sz w:val="18"/>
          <w:szCs w:val="18"/>
          <w:shd w:val="clear" w:color="auto" w:fill="FFFFFF"/>
        </w:rPr>
        <w:t>明显</w:t>
      </w:r>
      <w:r>
        <w:rPr>
          <w:rFonts w:hint="eastAsia" w:ascii="宋体" w:hAnsi="宋体" w:eastAsia="宋体" w:cs="宋体"/>
          <w:color w:val="121212"/>
          <w:sz w:val="18"/>
          <w:szCs w:val="18"/>
          <w:shd w:val="clear" w:color="auto" w:fill="FFFFFF"/>
        </w:rPr>
        <w:t>，非私营单位的2019年平均薪资水平16.1万元比私营单位8.5万元高出了7.6万元，高出幅度达89%</w:t>
      </w:r>
      <w:r>
        <w:rPr>
          <w:rFonts w:hint="eastAsia" w:ascii="宋体" w:hAnsi="宋体" w:eastAsia="宋体" w:cs="宋体"/>
          <w:color w:val="121212"/>
          <w:sz w:val="18"/>
          <w:szCs w:val="18"/>
          <w:shd w:val="clear" w:color="auto" w:fill="FFFFFF"/>
          <w:lang w:eastAsia="zh-CN"/>
        </w:rPr>
        <w:t>。</w:t>
      </w:r>
    </w:p>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400" w:lineRule="exact"/>
        <w:ind w:firstLine="392" w:firstLineChars="200"/>
        <w:jc w:val="both"/>
        <w:textAlignment w:val="auto"/>
        <w:rPr>
          <w:rFonts w:hint="default" w:ascii="宋体" w:hAnsi="宋体" w:eastAsia="宋体" w:cs="宋体"/>
          <w:color w:val="121212"/>
          <w:sz w:val="18"/>
          <w:szCs w:val="18"/>
          <w:shd w:val="clear" w:color="auto" w:fill="FFFFFF"/>
          <w:lang w:val="en-US" w:eastAsia="zh-CN"/>
        </w:rPr>
        <w:sectPr>
          <w:headerReference r:id="rId6" w:type="first"/>
          <w:footerReference r:id="rId8" w:type="first"/>
          <w:headerReference r:id="rId4" w:type="default"/>
          <w:footerReference r:id="rId7" w:type="default"/>
          <w:headerReference r:id="rId5" w:type="even"/>
          <w:type w:val="continuous"/>
          <w:pgSz w:w="11906" w:h="16838"/>
          <w:pgMar w:top="1440" w:right="1800" w:bottom="1440" w:left="1800" w:header="708" w:footer="708" w:gutter="0"/>
          <w:cols w:space="0" w:num="1"/>
          <w:titlePg/>
          <w:docGrid w:type="lines" w:linePitch="360" w:charSpace="0"/>
        </w:sectPr>
      </w:pPr>
      <w:r>
        <w:rPr>
          <w:rFonts w:hint="eastAsia" w:ascii="宋体" w:hAnsi="宋体" w:eastAsia="宋体" w:cs="宋体"/>
          <w:spacing w:val="8"/>
          <w:sz w:val="18"/>
          <w:szCs w:val="18"/>
          <w:shd w:val="clear" w:color="auto" w:fill="FFFFFF"/>
        </w:rPr>
        <w:t>对于</w:t>
      </w:r>
      <w:r>
        <w:rPr>
          <w:rFonts w:hint="eastAsia" w:ascii="宋体" w:hAnsi="宋体" w:eastAsia="宋体" w:cs="宋体"/>
          <w:spacing w:val="8"/>
          <w:sz w:val="18"/>
          <w:szCs w:val="18"/>
          <w:shd w:val="clear" w:color="auto" w:fill="FFFFFF"/>
          <w:lang w:val="en-US" w:eastAsia="zh-CN"/>
        </w:rPr>
        <w:t>IT行业薪资</w:t>
      </w:r>
      <w:r>
        <w:rPr>
          <w:rFonts w:hint="eastAsia" w:ascii="宋体" w:hAnsi="宋体" w:eastAsia="宋体" w:cs="宋体"/>
          <w:spacing w:val="8"/>
          <w:sz w:val="18"/>
          <w:szCs w:val="18"/>
          <w:shd w:val="clear" w:color="auto" w:fill="FFFFFF"/>
        </w:rPr>
        <w:t>的变化,源于</w:t>
      </w:r>
      <w:r>
        <w:rPr>
          <w:rFonts w:hint="eastAsia" w:ascii="宋体" w:hAnsi="宋体" w:eastAsia="宋体" w:cs="宋体"/>
          <w:spacing w:val="8"/>
          <w:sz w:val="18"/>
          <w:szCs w:val="18"/>
          <w:shd w:val="clear" w:color="auto" w:fill="FFFFFF"/>
          <w:lang w:val="en-US" w:eastAsia="zh-CN"/>
        </w:rPr>
        <w:t>IT行业</w:t>
      </w:r>
      <w:r>
        <w:rPr>
          <w:rFonts w:hint="eastAsia" w:ascii="宋体" w:hAnsi="宋体" w:eastAsia="宋体" w:cs="宋体"/>
          <w:spacing w:val="8"/>
          <w:sz w:val="18"/>
          <w:szCs w:val="18"/>
          <w:shd w:val="clear" w:color="auto" w:fill="FFFFFF"/>
        </w:rPr>
        <w:t>属于高新技术</w:t>
      </w:r>
      <w:r>
        <w:rPr>
          <w:rFonts w:hint="eastAsia" w:ascii="宋体" w:hAnsi="宋体" w:eastAsia="宋体" w:cs="宋体"/>
          <w:spacing w:val="8"/>
          <w:sz w:val="18"/>
          <w:szCs w:val="18"/>
          <w:shd w:val="clear" w:color="auto" w:fill="FFFFFF"/>
          <w:lang w:val="en-US" w:eastAsia="zh-CN"/>
        </w:rPr>
        <w:t>产业</w:t>
      </w:r>
      <w:r>
        <w:rPr>
          <w:rFonts w:hint="eastAsia" w:ascii="宋体" w:hAnsi="宋体" w:eastAsia="宋体" w:cs="宋体"/>
          <w:spacing w:val="8"/>
          <w:sz w:val="18"/>
          <w:szCs w:val="18"/>
          <w:shd w:val="clear" w:color="auto" w:fill="FFFFFF"/>
        </w:rPr>
        <w:t>，符合经济转型升级的方向，随着信息技术产业持续快速发展，IT</w:t>
      </w:r>
      <w:r>
        <w:rPr>
          <w:rFonts w:hint="eastAsia" w:ascii="宋体" w:hAnsi="宋体" w:eastAsia="宋体" w:cs="宋体"/>
          <w:spacing w:val="8"/>
          <w:sz w:val="18"/>
          <w:szCs w:val="18"/>
          <w:shd w:val="clear" w:color="auto" w:fill="FFFFFF"/>
          <w:lang w:val="en-US" w:eastAsia="zh-CN"/>
        </w:rPr>
        <w:t>行</w:t>
      </w:r>
      <w:r>
        <w:rPr>
          <w:rFonts w:hint="eastAsia" w:ascii="宋体" w:hAnsi="宋体" w:eastAsia="宋体" w:cs="宋体"/>
          <w:spacing w:val="8"/>
          <w:sz w:val="18"/>
          <w:szCs w:val="18"/>
          <w:shd w:val="clear" w:color="auto" w:fill="FFFFFF"/>
        </w:rPr>
        <w:t>业平均工资得以快速增长，相关人才相对来说供不应求，</w:t>
      </w:r>
      <w:r>
        <w:rPr>
          <w:rFonts w:hint="eastAsia" w:ascii="宋体" w:hAnsi="宋体" w:eastAsia="宋体" w:cs="宋体"/>
          <w:spacing w:val="8"/>
          <w:sz w:val="18"/>
          <w:szCs w:val="18"/>
          <w:shd w:val="clear" w:color="auto" w:fill="FFFFFF"/>
          <w:lang w:val="en-US" w:eastAsia="zh-CN"/>
        </w:rPr>
        <w:t>所以同比其他行业，无论在非私营单位还是私营单位，虽然工作单位性质会对薪酬造成一定差异，但总体上都能保持着较高的</w:t>
      </w:r>
      <w:r>
        <w:rPr>
          <w:rFonts w:hint="eastAsia" w:ascii="宋体" w:hAnsi="宋体" w:eastAsia="宋体" w:cs="宋体"/>
          <w:spacing w:val="8"/>
          <w:sz w:val="18"/>
          <w:szCs w:val="18"/>
          <w:shd w:val="clear" w:color="auto" w:fill="FFFFFF"/>
        </w:rPr>
        <w:t>工资水平和增速</w:t>
      </w:r>
      <w:r>
        <w:rPr>
          <w:rFonts w:hint="eastAsia" w:ascii="宋体" w:hAnsi="宋体" w:eastAsia="宋体" w:cs="宋体"/>
          <w:spacing w:val="8"/>
          <w:sz w:val="18"/>
          <w:szCs w:val="18"/>
          <w:shd w:val="clear" w:color="auto" w:fill="FFFFFF"/>
          <w:lang w:eastAsia="zh-CN"/>
        </w:rPr>
        <w:t>。</w:t>
      </w:r>
    </w:p>
    <w:p>
      <w:pPr>
        <w:keepNext w:val="0"/>
        <w:keepLines w:val="0"/>
        <w:pageBreakBefore w:val="0"/>
        <w:widowControl/>
        <w:kinsoku/>
        <w:wordWrap/>
        <w:overflowPunct/>
        <w:topLinePunct w:val="0"/>
        <w:autoSpaceDE/>
        <w:autoSpaceDN/>
        <w:bidi w:val="0"/>
        <w:adjustRightInd w:val="0"/>
        <w:snapToGrid w:val="0"/>
        <w:spacing w:after="0" w:line="240" w:lineRule="atLeast"/>
        <w:ind w:firstLine="357" w:firstLineChars="0"/>
        <w:jc w:val="center"/>
        <w:textAlignment w:val="auto"/>
        <w:rPr>
          <w:rFonts w:hint="eastAsia" w:ascii="宋体" w:hAnsi="宋体" w:eastAsia="宋体" w:cs="宋体"/>
          <w:kern w:val="0"/>
          <w:sz w:val="15"/>
          <w:szCs w:val="15"/>
          <w:lang w:val="en-US" w:eastAsia="zh-CN" w:bidi="ar"/>
        </w:rPr>
      </w:pPr>
      <w:r>
        <w:rPr>
          <w:rFonts w:hint="eastAsia" w:ascii="宋体" w:hAnsi="宋体" w:eastAsia="宋体" w:cs="宋体"/>
          <w:sz w:val="15"/>
          <w:szCs w:val="15"/>
          <w:shd w:val="clear" w:color="auto" w:fill="FFFFFF"/>
          <w:lang w:val="en-US" w:eastAsia="zh-CN"/>
        </w:rPr>
        <w:t>表1</w:t>
      </w:r>
      <w:r>
        <w:rPr>
          <w:rFonts w:hint="eastAsia" w:ascii="宋体" w:hAnsi="宋体" w:eastAsia="宋体" w:cs="宋体"/>
          <w:sz w:val="15"/>
          <w:szCs w:val="15"/>
          <w:shd w:val="clear" w:color="auto" w:fill="FFFFFF"/>
          <w:lang w:val="en-US" w:eastAsia="zh-CN"/>
        </w:rPr>
        <w:tab/>
      </w:r>
      <w:r>
        <w:rPr>
          <w:rFonts w:hint="eastAsia" w:ascii="宋体" w:hAnsi="宋体" w:eastAsia="宋体" w:cs="宋体"/>
          <w:sz w:val="15"/>
          <w:szCs w:val="15"/>
          <w:shd w:val="clear" w:color="auto" w:fill="FFFFFF"/>
          <w:lang w:val="en-US" w:eastAsia="zh-CN"/>
        </w:rPr>
        <w:t xml:space="preserve">   </w:t>
      </w:r>
      <w:r>
        <w:rPr>
          <w:rFonts w:hint="eastAsia" w:ascii="宋体" w:hAnsi="宋体" w:eastAsia="宋体" w:cs="宋体"/>
          <w:kern w:val="0"/>
          <w:sz w:val="15"/>
          <w:szCs w:val="15"/>
          <w:lang w:val="en-US" w:eastAsia="zh-CN" w:bidi="ar"/>
        </w:rPr>
        <w:t>全国城镇非私营单位社会平均工资水平</w:t>
      </w:r>
    </w:p>
    <w:p>
      <w:pPr>
        <w:keepNext w:val="0"/>
        <w:keepLines w:val="0"/>
        <w:pageBreakBefore w:val="0"/>
        <w:widowControl/>
        <w:kinsoku/>
        <w:wordWrap/>
        <w:overflowPunct/>
        <w:topLinePunct w:val="0"/>
        <w:autoSpaceDE/>
        <w:autoSpaceDN/>
        <w:bidi w:val="0"/>
        <w:adjustRightInd w:val="0"/>
        <w:snapToGrid w:val="0"/>
        <w:spacing w:after="0" w:line="240" w:lineRule="atLeast"/>
        <w:ind w:firstLine="357" w:firstLineChars="0"/>
        <w:jc w:val="center"/>
        <w:textAlignment w:val="auto"/>
        <w:rPr>
          <w:rFonts w:hint="eastAsia" w:ascii="宋体" w:hAnsi="宋体" w:eastAsia="宋体" w:cs="宋体"/>
          <w:sz w:val="15"/>
          <w:szCs w:val="15"/>
          <w:shd w:val="clear" w:color="auto" w:fill="FFFFFF"/>
        </w:rPr>
      </w:pPr>
      <w:r>
        <w:rPr>
          <w:rFonts w:hint="default" w:ascii="Times New Roman" w:hAnsi="Times New Roman" w:eastAsia="宋体" w:cs="Times New Roman"/>
          <w:kern w:val="0"/>
          <w:sz w:val="15"/>
          <w:szCs w:val="15"/>
          <w:lang w:val="en-US" w:eastAsia="zh-CN" w:bidi="ar"/>
        </w:rPr>
        <w:t>Table 1 Social average wage level of non-private units in cities and towns of China</w:t>
      </w:r>
    </w:p>
    <w:tbl>
      <w:tblPr>
        <w:tblStyle w:val="9"/>
        <w:tblW w:w="4879" w:type="pct"/>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300"/>
        <w:gridCol w:w="1040"/>
        <w:gridCol w:w="1060"/>
        <w:gridCol w:w="1020"/>
        <w:gridCol w:w="1150"/>
        <w:gridCol w:w="1060"/>
        <w:gridCol w:w="800"/>
        <w:gridCol w:w="88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0" w:hRule="atLeast"/>
        </w:trPr>
        <w:tc>
          <w:tcPr>
            <w:tcW w:w="781" w:type="pct"/>
            <w:tcBorders>
              <w:tl2br w:val="nil"/>
              <w:tr2bl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行业名称</w:t>
            </w:r>
          </w:p>
        </w:tc>
        <w:tc>
          <w:tcPr>
            <w:tcW w:w="625" w:type="pct"/>
            <w:tcBorders>
              <w:tl2br w:val="nil"/>
              <w:tr2bl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bidi="ar"/>
              </w:rPr>
              <w:t>2015年平均工资</w:t>
            </w:r>
            <w:r>
              <w:rPr>
                <w:rFonts w:hint="eastAsia" w:ascii="宋体" w:hAnsi="宋体" w:eastAsia="宋体" w:cs="宋体"/>
                <w:color w:val="000000"/>
                <w:kern w:val="0"/>
                <w:sz w:val="15"/>
                <w:szCs w:val="15"/>
                <w:lang w:val="en-US" w:eastAsia="zh-CN" w:bidi="ar"/>
              </w:rPr>
              <w:t>/元</w:t>
            </w:r>
          </w:p>
        </w:tc>
        <w:tc>
          <w:tcPr>
            <w:tcW w:w="637" w:type="pct"/>
            <w:tcBorders>
              <w:tl2br w:val="nil"/>
              <w:tr2bl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2016年平均工资</w:t>
            </w:r>
            <w:r>
              <w:rPr>
                <w:rFonts w:hint="eastAsia" w:ascii="宋体" w:hAnsi="宋体" w:eastAsia="宋体" w:cs="宋体"/>
                <w:color w:val="000000"/>
                <w:kern w:val="0"/>
                <w:sz w:val="15"/>
                <w:szCs w:val="15"/>
                <w:lang w:val="en-US" w:eastAsia="zh-CN" w:bidi="ar"/>
              </w:rPr>
              <w:t>/元</w:t>
            </w:r>
          </w:p>
        </w:tc>
        <w:tc>
          <w:tcPr>
            <w:tcW w:w="613" w:type="pct"/>
            <w:tcBorders>
              <w:tl2br w:val="nil"/>
              <w:tr2bl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2017年平均工资</w:t>
            </w:r>
            <w:r>
              <w:rPr>
                <w:rFonts w:hint="eastAsia" w:ascii="宋体" w:hAnsi="宋体" w:eastAsia="宋体" w:cs="宋体"/>
                <w:color w:val="000000"/>
                <w:kern w:val="0"/>
                <w:sz w:val="15"/>
                <w:szCs w:val="15"/>
                <w:lang w:val="en-US" w:eastAsia="zh-CN" w:bidi="ar"/>
              </w:rPr>
              <w:t>/元</w:t>
            </w:r>
          </w:p>
        </w:tc>
        <w:tc>
          <w:tcPr>
            <w:tcW w:w="691" w:type="pct"/>
            <w:tcBorders>
              <w:tl2br w:val="nil"/>
              <w:tr2bl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2018年平均工资</w:t>
            </w:r>
            <w:r>
              <w:rPr>
                <w:rFonts w:hint="eastAsia" w:ascii="宋体" w:hAnsi="宋体" w:eastAsia="宋体" w:cs="宋体"/>
                <w:color w:val="000000"/>
                <w:kern w:val="0"/>
                <w:sz w:val="15"/>
                <w:szCs w:val="15"/>
                <w:lang w:val="en-US" w:eastAsia="zh-CN" w:bidi="ar"/>
              </w:rPr>
              <w:t>/元</w:t>
            </w:r>
          </w:p>
        </w:tc>
        <w:tc>
          <w:tcPr>
            <w:tcW w:w="637" w:type="pct"/>
            <w:tcBorders>
              <w:tl2br w:val="nil"/>
              <w:tr2bl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2019年平均工资</w:t>
            </w:r>
            <w:r>
              <w:rPr>
                <w:rFonts w:hint="eastAsia" w:ascii="宋体" w:hAnsi="宋体" w:eastAsia="宋体" w:cs="宋体"/>
                <w:color w:val="000000"/>
                <w:kern w:val="0"/>
                <w:sz w:val="15"/>
                <w:szCs w:val="15"/>
                <w:lang w:val="en-US" w:eastAsia="zh-CN" w:bidi="ar"/>
              </w:rPr>
              <w:t>/元</w:t>
            </w:r>
          </w:p>
        </w:tc>
        <w:tc>
          <w:tcPr>
            <w:tcW w:w="481" w:type="pct"/>
            <w:tcBorders>
              <w:tl2br w:val="nil"/>
              <w:tr2bl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val="en-US" w:bidi="ar"/>
              </w:rPr>
            </w:pPr>
            <w:r>
              <w:rPr>
                <w:rFonts w:hint="eastAsia" w:ascii="宋体" w:hAnsi="宋体" w:eastAsia="宋体" w:cs="宋体"/>
                <w:color w:val="000000"/>
                <w:kern w:val="0"/>
                <w:sz w:val="15"/>
                <w:szCs w:val="15"/>
                <w:lang w:bidi="ar"/>
              </w:rPr>
              <w:t>平均年增幅</w:t>
            </w:r>
            <w:r>
              <w:rPr>
                <w:rFonts w:hint="eastAsia" w:ascii="宋体" w:hAnsi="宋体" w:eastAsia="宋体" w:cs="宋体"/>
                <w:color w:val="000000"/>
                <w:kern w:val="0"/>
                <w:sz w:val="15"/>
                <w:szCs w:val="15"/>
                <w:lang w:val="en-US" w:eastAsia="zh-CN" w:bidi="ar"/>
              </w:rPr>
              <w:t>/%</w:t>
            </w:r>
          </w:p>
        </w:tc>
        <w:tc>
          <w:tcPr>
            <w:tcW w:w="532" w:type="pct"/>
            <w:tcBorders>
              <w:tl2br w:val="nil"/>
              <w:tr2bl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bidi="ar"/>
              </w:rPr>
              <w:t>年平均增加值</w:t>
            </w:r>
            <w:r>
              <w:rPr>
                <w:rFonts w:hint="eastAsia" w:ascii="宋体" w:hAnsi="宋体" w:eastAsia="宋体" w:cs="宋体"/>
                <w:color w:val="000000"/>
                <w:kern w:val="0"/>
                <w:sz w:val="15"/>
                <w:szCs w:val="15"/>
                <w:lang w:val="en-US" w:eastAsia="zh-CN" w:bidi="ar"/>
              </w:rPr>
              <w:t>/元</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63" w:hRule="atLeast"/>
        </w:trPr>
        <w:tc>
          <w:tcPr>
            <w:tcW w:w="781" w:type="pct"/>
            <w:tcBorders>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IT行业</w:t>
            </w:r>
          </w:p>
        </w:tc>
        <w:tc>
          <w:tcPr>
            <w:tcW w:w="625" w:type="pct"/>
            <w:tcBorders>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112042</w:t>
            </w:r>
          </w:p>
        </w:tc>
        <w:tc>
          <w:tcPr>
            <w:tcW w:w="637" w:type="pct"/>
            <w:tcBorders>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122478</w:t>
            </w:r>
          </w:p>
        </w:tc>
        <w:tc>
          <w:tcPr>
            <w:tcW w:w="613" w:type="pct"/>
            <w:tcBorders>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133150</w:t>
            </w:r>
          </w:p>
        </w:tc>
        <w:tc>
          <w:tcPr>
            <w:tcW w:w="691" w:type="pct"/>
            <w:tcBorders>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147678</w:t>
            </w:r>
          </w:p>
        </w:tc>
        <w:tc>
          <w:tcPr>
            <w:tcW w:w="637" w:type="pct"/>
            <w:tcBorders>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161352</w:t>
            </w:r>
          </w:p>
        </w:tc>
        <w:tc>
          <w:tcPr>
            <w:tcW w:w="481" w:type="pct"/>
            <w:tcBorders>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11</w:t>
            </w:r>
          </w:p>
        </w:tc>
        <w:tc>
          <w:tcPr>
            <w:tcW w:w="532" w:type="pct"/>
            <w:tcBorders>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12327.5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82" w:hRule="atLeast"/>
        </w:trPr>
        <w:tc>
          <w:tcPr>
            <w:tcW w:w="781"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科研技术服务业</w:t>
            </w:r>
          </w:p>
        </w:tc>
        <w:tc>
          <w:tcPr>
            <w:tcW w:w="625"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89410</w:t>
            </w:r>
          </w:p>
        </w:tc>
        <w:tc>
          <w:tcPr>
            <w:tcW w:w="637"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96638</w:t>
            </w:r>
          </w:p>
        </w:tc>
        <w:tc>
          <w:tcPr>
            <w:tcW w:w="613"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107815</w:t>
            </w:r>
          </w:p>
        </w:tc>
        <w:tc>
          <w:tcPr>
            <w:tcW w:w="691"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123343</w:t>
            </w:r>
          </w:p>
        </w:tc>
        <w:tc>
          <w:tcPr>
            <w:tcW w:w="637"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133459</w:t>
            </w:r>
          </w:p>
        </w:tc>
        <w:tc>
          <w:tcPr>
            <w:tcW w:w="481"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12.31</w:t>
            </w:r>
          </w:p>
        </w:tc>
        <w:tc>
          <w:tcPr>
            <w:tcW w:w="532"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11012.25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41" w:hRule="atLeast"/>
        </w:trPr>
        <w:tc>
          <w:tcPr>
            <w:tcW w:w="781"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金融业</w:t>
            </w:r>
          </w:p>
        </w:tc>
        <w:tc>
          <w:tcPr>
            <w:tcW w:w="625"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114777</w:t>
            </w:r>
          </w:p>
        </w:tc>
        <w:tc>
          <w:tcPr>
            <w:tcW w:w="637"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sz w:val="15"/>
                <w:szCs w:val="15"/>
                <w:shd w:val="clear" w:color="auto" w:fill="FFFFFF"/>
              </w:rPr>
              <w:t>117418</w:t>
            </w:r>
          </w:p>
        </w:tc>
        <w:tc>
          <w:tcPr>
            <w:tcW w:w="613"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122851</w:t>
            </w:r>
          </w:p>
        </w:tc>
        <w:tc>
          <w:tcPr>
            <w:tcW w:w="691"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129837</w:t>
            </w:r>
          </w:p>
        </w:tc>
        <w:tc>
          <w:tcPr>
            <w:tcW w:w="637"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131405</w:t>
            </w:r>
          </w:p>
        </w:tc>
        <w:tc>
          <w:tcPr>
            <w:tcW w:w="481"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3.62</w:t>
            </w:r>
          </w:p>
        </w:tc>
        <w:tc>
          <w:tcPr>
            <w:tcW w:w="532" w:type="pct"/>
            <w:tcBorders>
              <w:top w:val="nil"/>
              <w:bottom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4157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781" w:type="pct"/>
            <w:tcBorders>
              <w:top w:val="nil"/>
            </w:tcBorders>
            <w:shd w:val="clear" w:color="auto" w:fill="FFFFFF"/>
            <w:noWrap w:val="0"/>
            <w:vAlign w:val="center"/>
          </w:tcPr>
          <w:p>
            <w:pPr>
              <w:widowControl/>
              <w:spacing w:line="240" w:lineRule="exact"/>
              <w:jc w:val="center"/>
              <w:rPr>
                <w:rFonts w:hint="eastAsia" w:ascii="宋体" w:hAnsi="宋体" w:eastAsia="宋体" w:cs="宋体"/>
                <w:b/>
                <w:bCs/>
                <w:color w:val="000000"/>
                <w:kern w:val="0"/>
                <w:sz w:val="15"/>
                <w:szCs w:val="15"/>
                <w:lang w:bidi="ar"/>
              </w:rPr>
            </w:pPr>
            <w:r>
              <w:rPr>
                <w:rFonts w:hint="eastAsia" w:ascii="宋体" w:hAnsi="宋体" w:eastAsia="宋体" w:cs="宋体"/>
                <w:color w:val="000000"/>
                <w:kern w:val="0"/>
                <w:sz w:val="15"/>
                <w:szCs w:val="15"/>
                <w:lang w:bidi="ar"/>
              </w:rPr>
              <w:t>城镇非私营单位年均工资</w:t>
            </w:r>
          </w:p>
        </w:tc>
        <w:tc>
          <w:tcPr>
            <w:tcW w:w="625" w:type="pct"/>
            <w:tcBorders>
              <w:top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62029</w:t>
            </w:r>
          </w:p>
        </w:tc>
        <w:tc>
          <w:tcPr>
            <w:tcW w:w="637" w:type="pct"/>
            <w:tcBorders>
              <w:top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sz w:val="15"/>
                <w:szCs w:val="15"/>
                <w:shd w:val="clear" w:color="auto" w:fill="FFFFFF"/>
              </w:rPr>
              <w:t>67569</w:t>
            </w:r>
          </w:p>
        </w:tc>
        <w:tc>
          <w:tcPr>
            <w:tcW w:w="613" w:type="pct"/>
            <w:tcBorders>
              <w:top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74318</w:t>
            </w:r>
          </w:p>
        </w:tc>
        <w:tc>
          <w:tcPr>
            <w:tcW w:w="691" w:type="pct"/>
            <w:tcBorders>
              <w:top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82413</w:t>
            </w:r>
          </w:p>
        </w:tc>
        <w:tc>
          <w:tcPr>
            <w:tcW w:w="637" w:type="pct"/>
            <w:tcBorders>
              <w:top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90501</w:t>
            </w:r>
          </w:p>
        </w:tc>
        <w:tc>
          <w:tcPr>
            <w:tcW w:w="481" w:type="pct"/>
            <w:tcBorders>
              <w:top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11.47</w:t>
            </w:r>
          </w:p>
        </w:tc>
        <w:tc>
          <w:tcPr>
            <w:tcW w:w="532" w:type="pct"/>
            <w:tcBorders>
              <w:top w:val="nil"/>
            </w:tcBorders>
            <w:shd w:val="clear" w:color="auto" w:fill="FFFFFF"/>
            <w:noWrap w:val="0"/>
            <w:vAlign w:val="center"/>
          </w:tcPr>
          <w:p>
            <w:pPr>
              <w:widowControl/>
              <w:spacing w:line="240" w:lineRule="exact"/>
              <w:jc w:val="center"/>
              <w:rPr>
                <w:rFonts w:hint="eastAsia" w:ascii="宋体" w:hAnsi="宋体" w:eastAsia="宋体" w:cs="宋体"/>
                <w:color w:val="000000"/>
                <w:kern w:val="0"/>
                <w:sz w:val="15"/>
                <w:szCs w:val="15"/>
                <w:lang w:bidi="ar"/>
              </w:rPr>
            </w:pPr>
            <w:r>
              <w:rPr>
                <w:rFonts w:hint="eastAsia" w:ascii="宋体" w:hAnsi="宋体" w:eastAsia="宋体" w:cs="宋体"/>
                <w:color w:val="000000"/>
                <w:kern w:val="0"/>
                <w:sz w:val="15"/>
                <w:szCs w:val="15"/>
                <w:lang w:bidi="ar"/>
              </w:rPr>
              <w:t>7118</w:t>
            </w:r>
          </w:p>
        </w:tc>
      </w:tr>
    </w:tbl>
    <w:p>
      <w:pPr>
        <w:spacing w:after="0" w:line="220" w:lineRule="atLeast"/>
        <w:jc w:val="both"/>
        <w:rPr>
          <w:rFonts w:ascii="仿宋" w:hAnsi="仿宋" w:eastAsia="仿宋"/>
          <w:sz w:val="21"/>
          <w:szCs w:val="21"/>
        </w:rPr>
      </w:pPr>
    </w:p>
    <w:p>
      <w:pPr>
        <w:keepNext w:val="0"/>
        <w:keepLines w:val="0"/>
        <w:pageBreakBefore w:val="0"/>
        <w:widowControl/>
        <w:kinsoku/>
        <w:wordWrap/>
        <w:overflowPunct/>
        <w:topLinePunct w:val="0"/>
        <w:autoSpaceDE/>
        <w:autoSpaceDN/>
        <w:bidi w:val="0"/>
        <w:adjustRightInd w:val="0"/>
        <w:snapToGrid w:val="0"/>
        <w:spacing w:after="0" w:line="240" w:lineRule="atLeast"/>
        <w:ind w:firstLine="357" w:firstLineChars="0"/>
        <w:jc w:val="center"/>
        <w:textAlignment w:val="auto"/>
        <w:rPr>
          <w:rFonts w:hint="eastAsia" w:ascii="宋体" w:hAnsi="宋体" w:eastAsia="宋体" w:cs="宋体"/>
          <w:kern w:val="0"/>
          <w:sz w:val="15"/>
          <w:szCs w:val="15"/>
          <w:lang w:val="en-US" w:eastAsia="zh-CN" w:bidi="ar"/>
        </w:rPr>
      </w:pPr>
      <w:r>
        <w:rPr>
          <w:rFonts w:hint="eastAsia" w:ascii="宋体" w:hAnsi="宋体" w:eastAsia="宋体" w:cs="宋体"/>
          <w:sz w:val="15"/>
          <w:szCs w:val="15"/>
          <w:shd w:val="clear" w:color="auto" w:fill="FFFFFF"/>
          <w:lang w:val="en-US" w:eastAsia="zh-CN"/>
        </w:rPr>
        <w:t>表2</w:t>
      </w:r>
      <w:r>
        <w:rPr>
          <w:rFonts w:hint="eastAsia" w:ascii="宋体" w:hAnsi="宋体" w:eastAsia="宋体" w:cs="宋体"/>
          <w:sz w:val="15"/>
          <w:szCs w:val="15"/>
          <w:shd w:val="clear" w:color="auto" w:fill="FFFFFF"/>
          <w:lang w:val="en-US" w:eastAsia="zh-CN"/>
        </w:rPr>
        <w:tab/>
      </w:r>
      <w:r>
        <w:rPr>
          <w:rFonts w:hint="eastAsia" w:ascii="宋体" w:hAnsi="宋体" w:eastAsia="宋体" w:cs="宋体"/>
          <w:sz w:val="15"/>
          <w:szCs w:val="15"/>
          <w:shd w:val="clear" w:color="auto" w:fill="FFFFFF"/>
          <w:lang w:val="en-US" w:eastAsia="zh-CN"/>
        </w:rPr>
        <w:t xml:space="preserve">   </w:t>
      </w:r>
      <w:r>
        <w:rPr>
          <w:rFonts w:hint="eastAsia" w:ascii="宋体" w:hAnsi="宋体" w:eastAsia="宋体" w:cs="宋体"/>
          <w:kern w:val="0"/>
          <w:sz w:val="15"/>
          <w:szCs w:val="15"/>
          <w:lang w:val="en-US" w:eastAsia="zh-CN" w:bidi="ar"/>
        </w:rPr>
        <w:t>全国城镇私营单位社会平均工资水平</w:t>
      </w:r>
    </w:p>
    <w:p>
      <w:pPr>
        <w:keepNext w:val="0"/>
        <w:keepLines w:val="0"/>
        <w:pageBreakBefore w:val="0"/>
        <w:widowControl/>
        <w:kinsoku/>
        <w:wordWrap/>
        <w:overflowPunct/>
        <w:topLinePunct w:val="0"/>
        <w:autoSpaceDE/>
        <w:autoSpaceDN/>
        <w:bidi w:val="0"/>
        <w:adjustRightInd w:val="0"/>
        <w:snapToGrid w:val="0"/>
        <w:spacing w:after="0" w:line="240" w:lineRule="atLeast"/>
        <w:ind w:firstLine="357" w:firstLineChars="0"/>
        <w:jc w:val="center"/>
        <w:textAlignment w:val="auto"/>
        <w:rPr>
          <w:rFonts w:hint="default" w:ascii="Times New Roman" w:hAnsi="Times New Roman" w:eastAsia="宋体" w:cs="Times New Roman"/>
          <w:kern w:val="0"/>
          <w:sz w:val="15"/>
          <w:szCs w:val="15"/>
          <w:lang w:val="en-US" w:eastAsia="zh-CN" w:bidi="ar"/>
        </w:rPr>
      </w:pPr>
      <w:r>
        <w:rPr>
          <w:rFonts w:hint="default" w:ascii="Times New Roman" w:hAnsi="Times New Roman" w:eastAsia="宋体" w:cs="Times New Roman"/>
          <w:kern w:val="0"/>
          <w:sz w:val="15"/>
          <w:szCs w:val="15"/>
          <w:lang w:val="en-US" w:eastAsia="zh-CN" w:bidi="ar"/>
        </w:rPr>
        <w:t xml:space="preserve">Table </w:t>
      </w:r>
      <w:r>
        <w:rPr>
          <w:rFonts w:hint="eastAsia" w:ascii="Times New Roman" w:hAnsi="Times New Roman" w:eastAsia="宋体" w:cs="Times New Roman"/>
          <w:kern w:val="0"/>
          <w:sz w:val="15"/>
          <w:szCs w:val="15"/>
          <w:lang w:val="en-US" w:eastAsia="zh-CN" w:bidi="ar"/>
        </w:rPr>
        <w:t>2</w:t>
      </w:r>
      <w:r>
        <w:rPr>
          <w:rFonts w:hint="default" w:ascii="Times New Roman" w:hAnsi="Times New Roman" w:eastAsia="宋体" w:cs="Times New Roman"/>
          <w:kern w:val="0"/>
          <w:sz w:val="15"/>
          <w:szCs w:val="15"/>
          <w:lang w:val="en-US" w:eastAsia="zh-CN" w:bidi="ar"/>
        </w:rPr>
        <w:t xml:space="preserve"> The average wage level of private sector in cities and towns in China</w:t>
      </w:r>
    </w:p>
    <w:tbl>
      <w:tblPr>
        <w:tblStyle w:val="9"/>
        <w:tblW w:w="489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63"/>
        <w:gridCol w:w="1069"/>
        <w:gridCol w:w="1051"/>
        <w:gridCol w:w="1069"/>
        <w:gridCol w:w="1011"/>
        <w:gridCol w:w="1020"/>
        <w:gridCol w:w="800"/>
        <w:gridCol w:w="95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0" w:hRule="atLeast"/>
          <w:jc w:val="center"/>
        </w:trPr>
        <w:tc>
          <w:tcPr>
            <w:tcW w:w="817" w:type="pct"/>
            <w:tcBorders>
              <w:bottom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单位性质</w:t>
            </w:r>
          </w:p>
        </w:tc>
        <w:tc>
          <w:tcPr>
            <w:tcW w:w="641" w:type="pct"/>
            <w:tcBorders>
              <w:bottom w:val="single" w:color="auto" w:sz="4" w:space="0"/>
            </w:tcBorders>
            <w:noWrap w:val="0"/>
            <w:vAlign w:val="center"/>
          </w:tcPr>
          <w:p>
            <w:pPr>
              <w:widowControl/>
              <w:spacing w:line="240" w:lineRule="exact"/>
              <w:jc w:val="center"/>
              <w:rPr>
                <w:rFonts w:hint="default" w:ascii="宋体" w:hAnsi="宋体" w:eastAsia="宋体" w:cs="宋体"/>
                <w:kern w:val="0"/>
                <w:sz w:val="15"/>
                <w:szCs w:val="15"/>
                <w:lang w:val="en-US" w:eastAsia="zh-CN" w:bidi="ar"/>
              </w:rPr>
            </w:pPr>
            <w:r>
              <w:rPr>
                <w:rFonts w:hint="eastAsia" w:ascii="宋体" w:hAnsi="宋体" w:eastAsia="宋体" w:cs="宋体"/>
                <w:kern w:val="0"/>
                <w:sz w:val="15"/>
                <w:szCs w:val="15"/>
                <w:lang w:bidi="ar"/>
              </w:rPr>
              <w:t>2015年平均工资</w:t>
            </w:r>
            <w:r>
              <w:rPr>
                <w:rFonts w:hint="eastAsia" w:ascii="宋体" w:hAnsi="宋体" w:eastAsia="宋体" w:cs="宋体"/>
                <w:kern w:val="0"/>
                <w:sz w:val="15"/>
                <w:szCs w:val="15"/>
                <w:lang w:val="en-US" w:eastAsia="zh-CN" w:bidi="ar"/>
              </w:rPr>
              <w:t>/元</w:t>
            </w:r>
          </w:p>
        </w:tc>
        <w:tc>
          <w:tcPr>
            <w:tcW w:w="630" w:type="pct"/>
            <w:tcBorders>
              <w:bottom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2016年平均工资</w:t>
            </w:r>
            <w:r>
              <w:rPr>
                <w:rFonts w:hint="eastAsia" w:ascii="宋体" w:hAnsi="宋体" w:eastAsia="宋体" w:cs="宋体"/>
                <w:kern w:val="0"/>
                <w:sz w:val="15"/>
                <w:szCs w:val="15"/>
                <w:lang w:val="en-US" w:eastAsia="zh-CN" w:bidi="ar"/>
              </w:rPr>
              <w:t>/元</w:t>
            </w:r>
          </w:p>
        </w:tc>
        <w:tc>
          <w:tcPr>
            <w:tcW w:w="641" w:type="pct"/>
            <w:tcBorders>
              <w:bottom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2017年平均工资</w:t>
            </w:r>
            <w:r>
              <w:rPr>
                <w:rFonts w:hint="eastAsia" w:ascii="宋体" w:hAnsi="宋体" w:eastAsia="宋体" w:cs="宋体"/>
                <w:kern w:val="0"/>
                <w:sz w:val="15"/>
                <w:szCs w:val="15"/>
                <w:lang w:val="en-US" w:eastAsia="zh-CN" w:bidi="ar"/>
              </w:rPr>
              <w:t>/元</w:t>
            </w:r>
          </w:p>
        </w:tc>
        <w:tc>
          <w:tcPr>
            <w:tcW w:w="606" w:type="pct"/>
            <w:tcBorders>
              <w:bottom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2018年平均工资</w:t>
            </w:r>
            <w:r>
              <w:rPr>
                <w:rFonts w:hint="eastAsia" w:ascii="宋体" w:hAnsi="宋体" w:eastAsia="宋体" w:cs="宋体"/>
                <w:kern w:val="0"/>
                <w:sz w:val="15"/>
                <w:szCs w:val="15"/>
                <w:lang w:val="en-US" w:eastAsia="zh-CN" w:bidi="ar"/>
              </w:rPr>
              <w:t>/元</w:t>
            </w:r>
          </w:p>
        </w:tc>
        <w:tc>
          <w:tcPr>
            <w:tcW w:w="611" w:type="pct"/>
            <w:tcBorders>
              <w:bottom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2019年平均工资</w:t>
            </w:r>
            <w:r>
              <w:rPr>
                <w:rFonts w:hint="eastAsia" w:ascii="宋体" w:hAnsi="宋体" w:eastAsia="宋体" w:cs="宋体"/>
                <w:kern w:val="0"/>
                <w:sz w:val="15"/>
                <w:szCs w:val="15"/>
                <w:lang w:val="en-US" w:eastAsia="zh-CN" w:bidi="ar"/>
              </w:rPr>
              <w:t>/元</w:t>
            </w:r>
          </w:p>
        </w:tc>
        <w:tc>
          <w:tcPr>
            <w:tcW w:w="479" w:type="pct"/>
            <w:tcBorders>
              <w:bottom w:val="single" w:color="auto" w:sz="4" w:space="0"/>
            </w:tcBorders>
            <w:noWrap w:val="0"/>
            <w:vAlign w:val="center"/>
          </w:tcPr>
          <w:p>
            <w:pPr>
              <w:widowControl/>
              <w:spacing w:line="240" w:lineRule="exact"/>
              <w:jc w:val="center"/>
              <w:rPr>
                <w:rFonts w:hint="default" w:ascii="宋体" w:hAnsi="宋体" w:eastAsia="宋体" w:cs="宋体"/>
                <w:kern w:val="0"/>
                <w:sz w:val="15"/>
                <w:szCs w:val="15"/>
                <w:lang w:val="en-US" w:bidi="ar"/>
              </w:rPr>
            </w:pPr>
            <w:r>
              <w:rPr>
                <w:rFonts w:hint="eastAsia" w:ascii="宋体" w:hAnsi="宋体" w:eastAsia="宋体" w:cs="宋体"/>
                <w:kern w:val="0"/>
                <w:sz w:val="15"/>
                <w:szCs w:val="15"/>
                <w:lang w:bidi="ar"/>
              </w:rPr>
              <w:t>平均年增幅</w:t>
            </w:r>
            <w:r>
              <w:rPr>
                <w:rFonts w:hint="eastAsia" w:ascii="宋体" w:hAnsi="宋体" w:eastAsia="宋体" w:cs="宋体"/>
                <w:kern w:val="0"/>
                <w:sz w:val="15"/>
                <w:szCs w:val="15"/>
                <w:lang w:val="en-US" w:eastAsia="zh-CN" w:bidi="ar"/>
              </w:rPr>
              <w:t>/%</w:t>
            </w:r>
          </w:p>
        </w:tc>
        <w:tc>
          <w:tcPr>
            <w:tcW w:w="571" w:type="pct"/>
            <w:tcBorders>
              <w:bottom w:val="single" w:color="auto" w:sz="4" w:space="0"/>
            </w:tcBorders>
            <w:noWrap w:val="0"/>
            <w:vAlign w:val="center"/>
          </w:tcPr>
          <w:p>
            <w:pPr>
              <w:widowControl/>
              <w:spacing w:line="240" w:lineRule="exact"/>
              <w:jc w:val="center"/>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bidi="ar"/>
              </w:rPr>
              <w:t>年平均增加值</w:t>
            </w:r>
            <w:r>
              <w:rPr>
                <w:rFonts w:hint="eastAsia" w:ascii="宋体" w:hAnsi="宋体" w:eastAsia="宋体" w:cs="宋体"/>
                <w:kern w:val="0"/>
                <w:sz w:val="15"/>
                <w:szCs w:val="15"/>
                <w:lang w:val="en-US" w:eastAsia="zh-CN" w:bidi="ar"/>
              </w:rPr>
              <w:t>/元</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5" w:hRule="atLeast"/>
          <w:jc w:val="center"/>
        </w:trPr>
        <w:tc>
          <w:tcPr>
            <w:tcW w:w="817" w:type="pct"/>
            <w:tcBorders>
              <w:top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sz w:val="15"/>
                <w:szCs w:val="15"/>
              </w:rPr>
              <w:t>IT行业</w:t>
            </w:r>
          </w:p>
        </w:tc>
        <w:tc>
          <w:tcPr>
            <w:tcW w:w="641" w:type="pct"/>
            <w:tcBorders>
              <w:top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57719</w:t>
            </w:r>
          </w:p>
        </w:tc>
        <w:tc>
          <w:tcPr>
            <w:tcW w:w="630" w:type="pct"/>
            <w:tcBorders>
              <w:top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63578</w:t>
            </w:r>
          </w:p>
        </w:tc>
        <w:tc>
          <w:tcPr>
            <w:tcW w:w="641" w:type="pct"/>
            <w:tcBorders>
              <w:top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70415</w:t>
            </w:r>
          </w:p>
        </w:tc>
        <w:tc>
          <w:tcPr>
            <w:tcW w:w="606" w:type="pct"/>
            <w:tcBorders>
              <w:top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76326</w:t>
            </w:r>
          </w:p>
        </w:tc>
        <w:tc>
          <w:tcPr>
            <w:tcW w:w="611" w:type="pct"/>
            <w:tcBorders>
              <w:top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85301</w:t>
            </w:r>
          </w:p>
        </w:tc>
        <w:tc>
          <w:tcPr>
            <w:tcW w:w="479" w:type="pct"/>
            <w:tcBorders>
              <w:top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11.95%</w:t>
            </w:r>
          </w:p>
        </w:tc>
        <w:tc>
          <w:tcPr>
            <w:tcW w:w="571" w:type="pct"/>
            <w:tcBorders>
              <w:top w:val="single" w:color="auto" w:sz="4" w:space="0"/>
            </w:tcBorders>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6895.5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17"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科研技术服务业</w:t>
            </w:r>
          </w:p>
        </w:tc>
        <w:tc>
          <w:tcPr>
            <w:tcW w:w="64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50441</w:t>
            </w:r>
          </w:p>
        </w:tc>
        <w:tc>
          <w:tcPr>
            <w:tcW w:w="630" w:type="pct"/>
            <w:noWrap w:val="0"/>
            <w:vAlign w:val="center"/>
          </w:tcPr>
          <w:p>
            <w:pPr>
              <w:widowControl/>
              <w:spacing w:line="240" w:lineRule="exact"/>
              <w:jc w:val="center"/>
              <w:rPr>
                <w:rFonts w:hint="eastAsia" w:ascii="宋体" w:hAnsi="宋体" w:eastAsia="宋体" w:cs="宋体"/>
                <w:color w:val="000000"/>
                <w:spacing w:val="8"/>
                <w:sz w:val="15"/>
                <w:szCs w:val="15"/>
                <w:shd w:val="clear" w:color="auto" w:fill="FCF8E3"/>
              </w:rPr>
            </w:pPr>
            <w:r>
              <w:rPr>
                <w:rFonts w:hint="eastAsia" w:ascii="宋体" w:hAnsi="宋体" w:eastAsia="宋体" w:cs="宋体"/>
                <w:color w:val="000000"/>
                <w:spacing w:val="8"/>
                <w:sz w:val="15"/>
                <w:szCs w:val="15"/>
                <w:shd w:val="clear" w:color="auto" w:fill="auto"/>
              </w:rPr>
              <w:t>54764</w:t>
            </w:r>
          </w:p>
        </w:tc>
        <w:tc>
          <w:tcPr>
            <w:tcW w:w="64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58102</w:t>
            </w:r>
          </w:p>
        </w:tc>
        <w:tc>
          <w:tcPr>
            <w:tcW w:w="606"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61876</w:t>
            </w:r>
          </w:p>
        </w:tc>
        <w:tc>
          <w:tcPr>
            <w:tcW w:w="61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67642</w:t>
            </w:r>
          </w:p>
        </w:tc>
        <w:tc>
          <w:tcPr>
            <w:tcW w:w="479"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8.53%</w:t>
            </w:r>
          </w:p>
        </w:tc>
        <w:tc>
          <w:tcPr>
            <w:tcW w:w="57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4300.25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jc w:val="center"/>
        </w:trPr>
        <w:tc>
          <w:tcPr>
            <w:tcW w:w="817"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金融业</w:t>
            </w:r>
          </w:p>
        </w:tc>
        <w:tc>
          <w:tcPr>
            <w:tcW w:w="64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44898</w:t>
            </w:r>
          </w:p>
        </w:tc>
        <w:tc>
          <w:tcPr>
            <w:tcW w:w="630"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50366</w:t>
            </w:r>
          </w:p>
        </w:tc>
        <w:tc>
          <w:tcPr>
            <w:tcW w:w="64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52289</w:t>
            </w:r>
          </w:p>
        </w:tc>
        <w:tc>
          <w:tcPr>
            <w:tcW w:w="606"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62943</w:t>
            </w:r>
          </w:p>
        </w:tc>
        <w:tc>
          <w:tcPr>
            <w:tcW w:w="61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76107</w:t>
            </w:r>
          </w:p>
        </w:tc>
        <w:tc>
          <w:tcPr>
            <w:tcW w:w="479"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17.38%</w:t>
            </w:r>
          </w:p>
        </w:tc>
        <w:tc>
          <w:tcPr>
            <w:tcW w:w="57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7802.25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817"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城镇私营单位平均工资</w:t>
            </w:r>
          </w:p>
        </w:tc>
        <w:tc>
          <w:tcPr>
            <w:tcW w:w="64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39589</w:t>
            </w:r>
          </w:p>
        </w:tc>
        <w:tc>
          <w:tcPr>
            <w:tcW w:w="630"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42833</w:t>
            </w:r>
          </w:p>
        </w:tc>
        <w:tc>
          <w:tcPr>
            <w:tcW w:w="64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45761</w:t>
            </w:r>
          </w:p>
        </w:tc>
        <w:tc>
          <w:tcPr>
            <w:tcW w:w="606"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49575</w:t>
            </w:r>
          </w:p>
        </w:tc>
        <w:tc>
          <w:tcPr>
            <w:tcW w:w="61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53604</w:t>
            </w:r>
          </w:p>
        </w:tc>
        <w:tc>
          <w:tcPr>
            <w:tcW w:w="479"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8.85%</w:t>
            </w:r>
          </w:p>
        </w:tc>
        <w:tc>
          <w:tcPr>
            <w:tcW w:w="571" w:type="pct"/>
            <w:noWrap w:val="0"/>
            <w:vAlign w:val="center"/>
          </w:tcPr>
          <w:p>
            <w:pPr>
              <w:widowControl/>
              <w:spacing w:line="240" w:lineRule="exact"/>
              <w:jc w:val="center"/>
              <w:rPr>
                <w:rFonts w:hint="eastAsia" w:ascii="宋体" w:hAnsi="宋体" w:eastAsia="宋体" w:cs="宋体"/>
                <w:kern w:val="0"/>
                <w:sz w:val="15"/>
                <w:szCs w:val="15"/>
                <w:lang w:bidi="ar"/>
              </w:rPr>
            </w:pPr>
            <w:r>
              <w:rPr>
                <w:rFonts w:hint="eastAsia" w:ascii="宋体" w:hAnsi="宋体" w:eastAsia="宋体" w:cs="宋体"/>
                <w:kern w:val="0"/>
                <w:sz w:val="15"/>
                <w:szCs w:val="15"/>
                <w:lang w:bidi="ar"/>
              </w:rPr>
              <w:t>3503.75</w:t>
            </w:r>
          </w:p>
        </w:tc>
      </w:tr>
    </w:tbl>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240" w:lineRule="auto"/>
        <w:jc w:val="both"/>
        <w:textAlignment w:val="auto"/>
        <w:rPr>
          <w:rFonts w:hint="eastAsia" w:ascii="宋体" w:hAnsi="宋体" w:eastAsia="宋体" w:cs="宋体"/>
          <w:color w:val="121212"/>
          <w:sz w:val="18"/>
          <w:szCs w:val="18"/>
          <w:shd w:val="clear" w:color="auto" w:fill="FFFFFF"/>
          <w:lang w:eastAsia="zh-CN"/>
        </w:rPr>
      </w:pPr>
    </w:p>
    <w:p>
      <w:pPr>
        <w:pStyle w:val="2"/>
        <w:numPr>
          <w:ilvl w:val="0"/>
          <w:numId w:val="1"/>
        </w:numPr>
        <w:rPr>
          <w:rFonts w:hint="default" w:ascii="宋体" w:hAnsi="宋体" w:eastAsia="宋体" w:cs="宋体"/>
          <w:spacing w:val="8"/>
          <w:sz w:val="18"/>
          <w:szCs w:val="18"/>
          <w:shd w:val="clear" w:color="auto" w:fill="FFFFFF"/>
          <w:lang w:val="en-US" w:eastAsia="zh-CN"/>
        </w:rPr>
      </w:pPr>
      <w:r>
        <w:rPr>
          <w:rFonts w:hint="eastAsia" w:ascii="黑体" w:hAnsi="黑体" w:eastAsia="黑体"/>
          <w:szCs w:val="21"/>
          <w:lang w:val="en-US" w:eastAsia="zh-CN"/>
        </w:rPr>
        <w:t>IT行业在区域影响下的薪酬变化</w:t>
      </w:r>
    </w:p>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240" w:lineRule="atLeast"/>
        <w:ind w:firstLine="357" w:firstLineChars="0"/>
        <w:jc w:val="center"/>
        <w:textAlignment w:val="auto"/>
        <w:rPr>
          <w:rFonts w:hint="eastAsia" w:ascii="宋体" w:hAnsi="宋体" w:eastAsia="宋体" w:cs="宋体"/>
          <w:spacing w:val="8"/>
          <w:sz w:val="15"/>
          <w:szCs w:val="15"/>
          <w:shd w:val="clear" w:color="auto" w:fill="FFFFFF"/>
          <w:lang w:val="en-US" w:eastAsia="zh-CN"/>
        </w:rPr>
      </w:pPr>
      <w:r>
        <w:rPr>
          <w:rFonts w:hint="eastAsia" w:ascii="宋体" w:hAnsi="宋体" w:eastAsia="宋体" w:cs="宋体"/>
          <w:spacing w:val="8"/>
          <w:sz w:val="15"/>
          <w:szCs w:val="15"/>
          <w:shd w:val="clear" w:color="auto" w:fill="FFFFFF"/>
          <w:lang w:eastAsia="zh-CN"/>
        </w:rPr>
        <w:pict>
          <v:shape id="_x0000_s2051" o:spid="_x0000_s2051" o:spt="75" alt="echarts" type="#_x0000_t75" style="position:absolute;left:0pt;margin-left:16.5pt;margin-top:5.95pt;height:202.7pt;width:400.8pt;mso-wrap-distance-bottom:0pt;mso-wrap-distance-top:0pt;z-index:251659264;mso-width-relative:page;mso-height-relative:page;" filled="f" o:preferrelative="t" stroked="f" coordsize="21600,21600">
            <v:path/>
            <v:fill on="f" focussize="0,0"/>
            <v:stroke on="f"/>
            <v:imagedata r:id="rId11" cropbottom="5878f" o:title="echarts"/>
            <o:lock v:ext="edit" aspectratio="t"/>
            <w10:wrap type="topAndBottom"/>
          </v:shape>
        </w:pict>
      </w:r>
      <w:r>
        <w:rPr>
          <w:rFonts w:hint="eastAsia" w:ascii="宋体" w:hAnsi="宋体" w:eastAsia="宋体" w:cs="宋体"/>
          <w:spacing w:val="8"/>
          <w:sz w:val="15"/>
          <w:szCs w:val="15"/>
          <w:shd w:val="clear" w:color="auto" w:fill="FFFFFF"/>
          <w:lang w:val="en-US" w:eastAsia="zh-CN"/>
        </w:rPr>
        <w:t>图1   2018年各省份IT行业劳动者薪酬占IT行业总薪酬百分比</w:t>
      </w:r>
    </w:p>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240" w:lineRule="atLeast"/>
        <w:ind w:firstLine="357" w:firstLineChars="0"/>
        <w:jc w:val="center"/>
        <w:textAlignment w:val="auto"/>
        <w:rPr>
          <w:rFonts w:hint="default" w:ascii="Times New Roman" w:hAnsi="Times New Roman" w:eastAsia="宋体" w:cs="Times New Roman"/>
          <w:spacing w:val="8"/>
          <w:sz w:val="15"/>
          <w:szCs w:val="15"/>
          <w:shd w:val="clear" w:color="auto" w:fill="FFFFFF"/>
          <w:lang w:val="en-US" w:eastAsia="zh-CN"/>
        </w:rPr>
      </w:pPr>
      <w:r>
        <w:rPr>
          <w:rFonts w:hint="default" w:ascii="Times New Roman" w:hAnsi="Times New Roman" w:eastAsia="宋体" w:cs="Times New Roman"/>
          <w:spacing w:val="8"/>
          <w:sz w:val="15"/>
          <w:szCs w:val="15"/>
          <w:shd w:val="clear" w:color="auto" w:fill="FFFFFF"/>
          <w:lang w:val="en-US" w:eastAsia="zh-CN"/>
        </w:rPr>
        <w:t>Fig.1 Percentage of IT industry employees' salary in total IT industry salary in 2018</w:t>
      </w:r>
    </w:p>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240" w:lineRule="atLeast"/>
        <w:ind w:firstLine="357" w:firstLineChars="0"/>
        <w:jc w:val="center"/>
        <w:textAlignment w:val="auto"/>
        <w:rPr>
          <w:rFonts w:hint="default" w:ascii="Times New Roman" w:hAnsi="Times New Roman" w:eastAsia="宋体" w:cs="Times New Roman"/>
          <w:spacing w:val="8"/>
          <w:sz w:val="15"/>
          <w:szCs w:val="15"/>
          <w:shd w:val="clear" w:color="auto" w:fill="FFFFFF"/>
          <w:lang w:val="en-US" w:eastAsia="zh-CN"/>
        </w:rPr>
      </w:pPr>
    </w:p>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400" w:lineRule="exact"/>
        <w:ind w:firstLine="392" w:firstLineChars="200"/>
        <w:jc w:val="both"/>
        <w:textAlignment w:val="auto"/>
        <w:rPr>
          <w:rFonts w:hint="eastAsia" w:ascii="宋体" w:hAnsi="宋体" w:eastAsia="宋体" w:cs="宋体"/>
          <w:spacing w:val="8"/>
          <w:sz w:val="18"/>
          <w:szCs w:val="18"/>
          <w:shd w:val="clear" w:color="auto" w:fill="FFFFFF"/>
          <w:lang w:val="en-US" w:eastAsia="zh-CN"/>
        </w:rPr>
      </w:pPr>
      <w:r>
        <w:rPr>
          <w:rFonts w:hint="eastAsia" w:ascii="宋体" w:hAnsi="宋体" w:eastAsia="宋体" w:cs="宋体"/>
          <w:spacing w:val="8"/>
          <w:sz w:val="18"/>
          <w:szCs w:val="18"/>
          <w:shd w:val="clear" w:color="auto" w:fill="FFFFFF"/>
          <w:lang w:val="en-US" w:eastAsia="zh-CN"/>
        </w:rPr>
        <w:t>根据来自</w:t>
      </w:r>
      <w:r>
        <w:rPr>
          <w:rFonts w:hint="eastAsia" w:ascii="Times New Roman" w:hAnsi="Times New Roman" w:eastAsia="宋体" w:cs="Times New Roman"/>
          <w:i w:val="0"/>
          <w:iCs w:val="0"/>
          <w:sz w:val="18"/>
          <w:szCs w:val="18"/>
          <w:lang w:val="en-US" w:eastAsia="zh-CN"/>
        </w:rPr>
        <w:t>国务院发展研究中心信息网</w:t>
      </w:r>
      <w:r>
        <w:rPr>
          <w:rFonts w:hint="eastAsia" w:ascii="宋体" w:hAnsi="宋体" w:eastAsia="宋体" w:cs="宋体"/>
          <w:spacing w:val="8"/>
          <w:sz w:val="18"/>
          <w:szCs w:val="18"/>
          <w:shd w:val="clear" w:color="auto" w:fill="FFFFFF"/>
          <w:lang w:val="en-US" w:eastAsia="zh-CN"/>
        </w:rPr>
        <w:t>的数据</w:t>
      </w:r>
      <w:r>
        <w:rPr>
          <w:rFonts w:hint="eastAsia" w:ascii="宋体" w:hAnsi="宋体" w:eastAsia="宋体" w:cs="宋体"/>
          <w:spacing w:val="8"/>
          <w:sz w:val="18"/>
          <w:szCs w:val="18"/>
          <w:shd w:val="clear" w:color="auto" w:fill="FFFFFF"/>
          <w:vertAlign w:val="superscript"/>
          <w:lang w:val="en-US" w:eastAsia="zh-CN"/>
        </w:rPr>
        <w:t>[3]</w:t>
      </w:r>
      <w:r>
        <w:rPr>
          <w:rFonts w:hint="eastAsia" w:ascii="宋体" w:hAnsi="宋体" w:eastAsia="宋体" w:cs="宋体"/>
          <w:spacing w:val="8"/>
          <w:sz w:val="18"/>
          <w:szCs w:val="18"/>
          <w:shd w:val="clear" w:color="auto" w:fill="FFFFFF"/>
          <w:lang w:val="en-US" w:eastAsia="zh-CN"/>
        </w:rPr>
        <w:t>统计并绘制的2018年各省份IT行业劳动者薪酬占IT行业总薪酬百分比的饼状图（见图1）可以看出：北京、广东、江苏这三个地区IT行业的薪酬所占比重最高，总的来说，东部地区的省份有着较高的薪酬，中部地区其次，西部地区的薪资最低。</w:t>
      </w:r>
    </w:p>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400" w:lineRule="exact"/>
        <w:ind w:firstLine="392" w:firstLineChars="200"/>
        <w:jc w:val="both"/>
        <w:textAlignment w:val="auto"/>
        <w:rPr>
          <w:rFonts w:hint="eastAsia" w:ascii="宋体" w:hAnsi="宋体" w:eastAsia="宋体" w:cs="宋体"/>
          <w:spacing w:val="8"/>
          <w:sz w:val="18"/>
          <w:szCs w:val="18"/>
          <w:shd w:val="clear" w:color="auto" w:fill="FFFFFF"/>
          <w:lang w:eastAsia="zh-CN"/>
        </w:rPr>
      </w:pPr>
      <w:r>
        <w:rPr>
          <w:rFonts w:hint="eastAsia" w:ascii="宋体" w:hAnsi="宋体" w:eastAsia="宋体" w:cs="宋体"/>
          <w:spacing w:val="8"/>
          <w:sz w:val="18"/>
          <w:szCs w:val="18"/>
          <w:shd w:val="clear" w:color="auto" w:fill="FFFFFF"/>
          <w:lang w:val="en-US" w:eastAsia="zh-CN"/>
        </w:rPr>
        <w:t>对于IT行业在不同省、自治区、直辖市的不同薪酬水平的变化，可以看出同行业、同水平，在经济程度发展不同的地区，IT薪酬具有“地区差”，这是因为IT行业是资本，是人才密集型行业，它的产品将跟随着不同项目的需求而进行设计和创造，而能提出需求的多为高技术产业，需要有一定的经济能力支持，所以区域的经济发展水平将会使IT行业的薪酬在地域上呈现出一定的差异。</w:t>
      </w:r>
    </w:p>
    <w:p>
      <w:pPr>
        <w:pStyle w:val="2"/>
        <w:keepNext w:val="0"/>
        <w:keepLines w:val="0"/>
        <w:pageBreakBefore w:val="0"/>
        <w:widowControl w:val="0"/>
        <w:numPr>
          <w:ilvl w:val="0"/>
          <w:numId w:val="1"/>
        </w:numPr>
        <w:kinsoku/>
        <w:wordWrap/>
        <w:overflowPunct/>
        <w:topLinePunct w:val="0"/>
        <w:autoSpaceDE/>
        <w:autoSpaceDN/>
        <w:bidi w:val="0"/>
        <w:adjustRightInd/>
        <w:snapToGrid/>
        <w:spacing w:line="400" w:lineRule="exact"/>
        <w:ind w:left="363" w:hanging="363"/>
        <w:textAlignment w:val="auto"/>
      </w:pPr>
      <w:r>
        <w:rPr>
          <w:rFonts w:hint="eastAsia" w:ascii="黑体" w:hAnsi="黑体" w:eastAsia="黑体"/>
          <w:szCs w:val="21"/>
          <w:lang w:val="en-US" w:eastAsia="zh-CN"/>
        </w:rPr>
        <w:t>IT行业岗位差异中的薪酬变化</w:t>
      </w:r>
    </w:p>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400" w:lineRule="exact"/>
        <w:ind w:firstLine="392" w:firstLineChars="200"/>
        <w:jc w:val="both"/>
        <w:textAlignment w:val="auto"/>
        <w:rPr>
          <w:rFonts w:hint="default" w:ascii="宋体" w:hAnsi="宋体" w:eastAsia="宋体" w:cs="宋体"/>
          <w:spacing w:val="8"/>
          <w:sz w:val="18"/>
          <w:szCs w:val="18"/>
          <w:shd w:val="clear" w:color="auto" w:fill="FFFFFF"/>
          <w:lang w:val="en-US" w:eastAsia="zh-CN"/>
        </w:rPr>
      </w:pPr>
      <w:r>
        <w:rPr>
          <w:rFonts w:hint="eastAsia" w:ascii="宋体" w:hAnsi="宋体" w:eastAsia="宋体" w:cs="宋体"/>
          <w:spacing w:val="8"/>
          <w:sz w:val="18"/>
          <w:szCs w:val="18"/>
          <w:shd w:val="clear" w:color="auto" w:fill="FFFFFF"/>
          <w:lang w:val="en-US" w:eastAsia="zh-CN"/>
        </w:rPr>
        <w:t>根据互联网上各大IT企业发布的招聘信息，统计出IT行业内主要岗位的平均薪酬（见表3）。可以看到，无论在哪个IT企业，技术岗的薪酬从起薪到随着工作时间增加而增加的薪酬都高居榜首，而产品经理作为为数不多的非技术岗位，也成为了平均起薪比较高的职位，同时对比不同岗位随着工作经验的涨幅，产品经理以微弱的优势超过技术岗居第一。</w:t>
      </w:r>
    </w:p>
    <w:p>
      <w:pPr>
        <w:keepNext w:val="0"/>
        <w:keepLines w:val="0"/>
        <w:pageBreakBefore w:val="0"/>
        <w:widowControl/>
        <w:kinsoku/>
        <w:wordWrap/>
        <w:overflowPunct/>
        <w:topLinePunct w:val="0"/>
        <w:autoSpaceDE/>
        <w:autoSpaceDN/>
        <w:bidi w:val="0"/>
        <w:adjustRightInd w:val="0"/>
        <w:snapToGrid w:val="0"/>
        <w:spacing w:after="0" w:line="240" w:lineRule="atLeast"/>
        <w:ind w:firstLine="357" w:firstLineChars="0"/>
        <w:jc w:val="center"/>
        <w:textAlignment w:val="auto"/>
        <w:rPr>
          <w:rFonts w:hint="default" w:ascii="宋体" w:hAnsi="宋体" w:eastAsia="宋体" w:cs="宋体"/>
          <w:kern w:val="0"/>
          <w:sz w:val="15"/>
          <w:szCs w:val="15"/>
          <w:lang w:val="en-US" w:eastAsia="zh-CN" w:bidi="ar"/>
        </w:rPr>
      </w:pPr>
      <w:r>
        <w:rPr>
          <w:rFonts w:hint="eastAsia" w:ascii="宋体" w:hAnsi="宋体" w:eastAsia="宋体" w:cs="宋体"/>
          <w:sz w:val="15"/>
          <w:szCs w:val="15"/>
          <w:shd w:val="clear" w:color="auto" w:fill="FFFFFF"/>
          <w:lang w:val="en-US" w:eastAsia="zh-CN"/>
        </w:rPr>
        <w:t>表3</w:t>
      </w:r>
      <w:r>
        <w:rPr>
          <w:rFonts w:hint="eastAsia" w:ascii="宋体" w:hAnsi="宋体" w:eastAsia="宋体" w:cs="宋体"/>
          <w:sz w:val="15"/>
          <w:szCs w:val="15"/>
          <w:shd w:val="clear" w:color="auto" w:fill="FFFFFF"/>
          <w:lang w:val="en-US" w:eastAsia="zh-CN"/>
        </w:rPr>
        <w:tab/>
      </w:r>
      <w:r>
        <w:rPr>
          <w:rFonts w:hint="eastAsia" w:ascii="宋体" w:hAnsi="宋体" w:eastAsia="宋体" w:cs="宋体"/>
          <w:sz w:val="15"/>
          <w:szCs w:val="15"/>
          <w:shd w:val="clear" w:color="auto" w:fill="FFFFFF"/>
          <w:lang w:val="en-US" w:eastAsia="zh-CN"/>
        </w:rPr>
        <w:t xml:space="preserve">   IT行业主要岗位的平均薪酬</w:t>
      </w:r>
    </w:p>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181" w:afterLines="50" w:afterAutospacing="0" w:line="240" w:lineRule="atLeast"/>
        <w:ind w:firstLine="357" w:firstLineChars="0"/>
        <w:jc w:val="center"/>
        <w:textAlignment w:val="auto"/>
        <w:rPr>
          <w:rFonts w:hint="eastAsia" w:ascii="宋体" w:hAnsi="宋体" w:eastAsia="宋体" w:cs="宋体"/>
          <w:spacing w:val="8"/>
          <w:sz w:val="15"/>
          <w:szCs w:val="15"/>
          <w:shd w:val="clear" w:color="auto" w:fill="FFFFFF"/>
          <w:lang w:val="en-US" w:eastAsia="zh-CN"/>
        </w:rPr>
      </w:pPr>
      <w:r>
        <w:rPr>
          <w:rFonts w:hint="default" w:ascii="Times New Roman" w:hAnsi="Times New Roman" w:eastAsia="宋体" w:cs="Times New Roman"/>
          <w:kern w:val="0"/>
          <w:sz w:val="15"/>
          <w:szCs w:val="15"/>
          <w:lang w:val="en-US" w:eastAsia="zh-CN" w:bidi="ar"/>
        </w:rPr>
        <w:t xml:space="preserve">Table </w:t>
      </w:r>
      <w:r>
        <w:rPr>
          <w:rFonts w:hint="eastAsia" w:ascii="Times New Roman" w:hAnsi="Times New Roman" w:eastAsia="宋体" w:cs="Times New Roman"/>
          <w:kern w:val="0"/>
          <w:sz w:val="15"/>
          <w:szCs w:val="15"/>
          <w:lang w:val="en-US" w:eastAsia="zh-CN" w:bidi="ar"/>
        </w:rPr>
        <w:t xml:space="preserve">3 </w:t>
      </w:r>
      <w:r>
        <w:rPr>
          <w:rFonts w:hint="default" w:ascii="Times New Roman" w:hAnsi="Times New Roman" w:eastAsia="宋体" w:cs="Times New Roman"/>
          <w:kern w:val="0"/>
          <w:sz w:val="15"/>
          <w:szCs w:val="15"/>
          <w:lang w:val="en-US" w:eastAsia="zh-CN" w:bidi="ar"/>
        </w:rPr>
        <w:t xml:space="preserve"> Average salary of major positions in IT industry</w:t>
      </w:r>
    </w:p>
    <w:tbl>
      <w:tblPr>
        <w:tblStyle w:val="1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34"/>
        <w:gridCol w:w="694"/>
        <w:gridCol w:w="746"/>
        <w:gridCol w:w="680"/>
        <w:gridCol w:w="710"/>
        <w:gridCol w:w="793"/>
        <w:gridCol w:w="793"/>
        <w:gridCol w:w="793"/>
        <w:gridCol w:w="871"/>
        <w:gridCol w:w="774"/>
        <w:gridCol w:w="73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 w:hRule="atLeast"/>
        </w:trPr>
        <w:tc>
          <w:tcPr>
            <w:tcW w:w="934"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岗位</w:t>
            </w:r>
          </w:p>
        </w:tc>
        <w:tc>
          <w:tcPr>
            <w:tcW w:w="694"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产品</w:t>
            </w:r>
          </w:p>
        </w:tc>
        <w:tc>
          <w:tcPr>
            <w:tcW w:w="746"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技术</w:t>
            </w:r>
          </w:p>
        </w:tc>
        <w:tc>
          <w:tcPr>
            <w:tcW w:w="680"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运营</w:t>
            </w:r>
          </w:p>
        </w:tc>
        <w:tc>
          <w:tcPr>
            <w:tcW w:w="710"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设计</w:t>
            </w:r>
          </w:p>
        </w:tc>
        <w:tc>
          <w:tcPr>
            <w:tcW w:w="793"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人事财政行政</w:t>
            </w:r>
          </w:p>
        </w:tc>
        <w:tc>
          <w:tcPr>
            <w:tcW w:w="793"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市场</w:t>
            </w:r>
          </w:p>
        </w:tc>
        <w:tc>
          <w:tcPr>
            <w:tcW w:w="793"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传媒</w:t>
            </w:r>
          </w:p>
        </w:tc>
        <w:tc>
          <w:tcPr>
            <w:tcW w:w="871"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教育培训</w:t>
            </w:r>
          </w:p>
        </w:tc>
        <w:tc>
          <w:tcPr>
            <w:tcW w:w="774"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金融</w:t>
            </w:r>
          </w:p>
        </w:tc>
        <w:tc>
          <w:tcPr>
            <w:tcW w:w="734" w:type="dxa"/>
            <w:tcBorders>
              <w:bottom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销售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 w:type="dxa"/>
            <w:tcBorders>
              <w:top w:val="single" w:color="auto" w:sz="4" w:space="0"/>
            </w:tcBorders>
            <w:vAlign w:val="center"/>
          </w:tcPr>
          <w:p>
            <w:pPr>
              <w:widowControl w:val="0"/>
              <w:jc w:val="center"/>
              <w:rPr>
                <w:rFonts w:hint="eastAsia" w:ascii="宋体" w:hAnsi="宋体" w:eastAsia="宋体" w:cs="宋体"/>
                <w:kern w:val="2"/>
                <w:sz w:val="15"/>
                <w:szCs w:val="15"/>
                <w:vertAlign w:val="baseline"/>
                <w:lang w:val="en-US" w:eastAsia="zh-CN" w:bidi="ar-SA"/>
              </w:rPr>
            </w:pPr>
            <w:r>
              <w:rPr>
                <w:rFonts w:hint="eastAsia" w:ascii="宋体" w:hAnsi="宋体" w:eastAsia="宋体" w:cs="宋体"/>
                <w:sz w:val="15"/>
                <w:szCs w:val="15"/>
                <w:vertAlign w:val="baseline"/>
                <w:lang w:val="en-US" w:eastAsia="zh-CN"/>
              </w:rPr>
              <w:t>1年及以下</w:t>
            </w:r>
          </w:p>
        </w:tc>
        <w:tc>
          <w:tcPr>
            <w:tcW w:w="694" w:type="dxa"/>
            <w:tcBorders>
              <w:top w:val="single" w:color="auto" w:sz="4" w:space="0"/>
            </w:tcBorders>
            <w:vAlign w:val="center"/>
          </w:tcPr>
          <w:p>
            <w:pPr>
              <w:widowControl w:val="0"/>
              <w:jc w:val="center"/>
              <w:rPr>
                <w:rFonts w:hint="eastAsia" w:ascii="宋体" w:hAnsi="宋体" w:eastAsia="宋体" w:cs="宋体"/>
                <w:kern w:val="2"/>
                <w:sz w:val="15"/>
                <w:szCs w:val="15"/>
                <w:vertAlign w:val="baseline"/>
                <w:lang w:val="en-US" w:eastAsia="zh-CN" w:bidi="ar-SA"/>
              </w:rPr>
            </w:pPr>
            <w:r>
              <w:rPr>
                <w:rFonts w:hint="eastAsia" w:ascii="宋体" w:hAnsi="宋体" w:eastAsia="宋体" w:cs="宋体"/>
                <w:kern w:val="2"/>
                <w:sz w:val="15"/>
                <w:szCs w:val="15"/>
                <w:vertAlign w:val="baseline"/>
                <w:lang w:val="en-US" w:eastAsia="zh-CN" w:bidi="ar-SA"/>
              </w:rPr>
              <w:t>7.28K</w:t>
            </w:r>
          </w:p>
        </w:tc>
        <w:tc>
          <w:tcPr>
            <w:tcW w:w="746" w:type="dxa"/>
            <w:tcBorders>
              <w:top w:val="single" w:color="auto" w:sz="4" w:space="0"/>
            </w:tcBorders>
            <w:vAlign w:val="center"/>
          </w:tcPr>
          <w:p>
            <w:pPr>
              <w:widowControl w:val="0"/>
              <w:jc w:val="center"/>
              <w:rPr>
                <w:rFonts w:hint="eastAsia" w:ascii="宋体" w:hAnsi="宋体" w:eastAsia="宋体" w:cs="宋体"/>
                <w:kern w:val="2"/>
                <w:sz w:val="15"/>
                <w:szCs w:val="15"/>
                <w:vertAlign w:val="baseline"/>
                <w:lang w:val="en-US" w:eastAsia="zh-CN" w:bidi="ar-SA"/>
              </w:rPr>
            </w:pPr>
            <w:r>
              <w:rPr>
                <w:rFonts w:hint="eastAsia" w:ascii="宋体" w:hAnsi="宋体" w:eastAsia="宋体" w:cs="宋体"/>
                <w:kern w:val="2"/>
                <w:sz w:val="15"/>
                <w:szCs w:val="15"/>
                <w:vertAlign w:val="baseline"/>
                <w:lang w:val="en-US" w:eastAsia="zh-CN" w:bidi="ar-SA"/>
              </w:rPr>
              <w:t>7.39K</w:t>
            </w:r>
          </w:p>
        </w:tc>
        <w:tc>
          <w:tcPr>
            <w:tcW w:w="680" w:type="dxa"/>
            <w:tcBorders>
              <w:top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5.60K</w:t>
            </w:r>
          </w:p>
        </w:tc>
        <w:tc>
          <w:tcPr>
            <w:tcW w:w="710" w:type="dxa"/>
            <w:tcBorders>
              <w:top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5.54K</w:t>
            </w:r>
          </w:p>
        </w:tc>
        <w:tc>
          <w:tcPr>
            <w:tcW w:w="793" w:type="dxa"/>
            <w:tcBorders>
              <w:top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4.59K</w:t>
            </w:r>
          </w:p>
        </w:tc>
        <w:tc>
          <w:tcPr>
            <w:tcW w:w="793" w:type="dxa"/>
            <w:tcBorders>
              <w:top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6.83K</w:t>
            </w:r>
          </w:p>
        </w:tc>
        <w:tc>
          <w:tcPr>
            <w:tcW w:w="793" w:type="dxa"/>
            <w:tcBorders>
              <w:top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6.52K</w:t>
            </w:r>
          </w:p>
        </w:tc>
        <w:tc>
          <w:tcPr>
            <w:tcW w:w="871" w:type="dxa"/>
            <w:tcBorders>
              <w:top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6.70K</w:t>
            </w:r>
          </w:p>
        </w:tc>
        <w:tc>
          <w:tcPr>
            <w:tcW w:w="774" w:type="dxa"/>
            <w:tcBorders>
              <w:top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8.62K</w:t>
            </w:r>
          </w:p>
        </w:tc>
        <w:tc>
          <w:tcPr>
            <w:tcW w:w="734" w:type="dxa"/>
            <w:tcBorders>
              <w:top w:val="single" w:color="auto" w:sz="4" w:space="0"/>
            </w:tcBorders>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8.09K</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 w:hRule="atLeast"/>
        </w:trPr>
        <w:tc>
          <w:tcPr>
            <w:tcW w:w="934" w:type="dxa"/>
            <w:vAlign w:val="center"/>
          </w:tcPr>
          <w:p>
            <w:pPr>
              <w:widowControl w:val="0"/>
              <w:jc w:val="center"/>
              <w:rPr>
                <w:rFonts w:hint="eastAsia" w:ascii="宋体" w:hAnsi="宋体" w:eastAsia="宋体" w:cs="宋体"/>
                <w:kern w:val="2"/>
                <w:sz w:val="15"/>
                <w:szCs w:val="15"/>
                <w:vertAlign w:val="baseline"/>
                <w:lang w:val="en-US" w:eastAsia="zh-CN" w:bidi="ar-SA"/>
              </w:rPr>
            </w:pPr>
            <w:r>
              <w:rPr>
                <w:rFonts w:hint="eastAsia" w:ascii="宋体" w:hAnsi="宋体" w:eastAsia="宋体" w:cs="宋体"/>
                <w:sz w:val="15"/>
                <w:szCs w:val="15"/>
                <w:vertAlign w:val="baseline"/>
                <w:lang w:val="en-US" w:eastAsia="zh-CN"/>
              </w:rPr>
              <w:t>1-3年</w:t>
            </w:r>
          </w:p>
        </w:tc>
        <w:tc>
          <w:tcPr>
            <w:tcW w:w="69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11.02K</w:t>
            </w:r>
          </w:p>
        </w:tc>
        <w:tc>
          <w:tcPr>
            <w:tcW w:w="746"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11.00K</w:t>
            </w:r>
          </w:p>
        </w:tc>
        <w:tc>
          <w:tcPr>
            <w:tcW w:w="680"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7.13K</w:t>
            </w:r>
          </w:p>
        </w:tc>
        <w:tc>
          <w:tcPr>
            <w:tcW w:w="710"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7.33K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5.58K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7.85K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7.33K</w:t>
            </w:r>
          </w:p>
        </w:tc>
        <w:tc>
          <w:tcPr>
            <w:tcW w:w="871"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7.87K</w:t>
            </w:r>
          </w:p>
        </w:tc>
        <w:tc>
          <w:tcPr>
            <w:tcW w:w="77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9.02K</w:t>
            </w:r>
          </w:p>
        </w:tc>
        <w:tc>
          <w:tcPr>
            <w:tcW w:w="73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9.02K</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 w:type="dxa"/>
            <w:vAlign w:val="center"/>
          </w:tcPr>
          <w:p>
            <w:pPr>
              <w:widowControl w:val="0"/>
              <w:jc w:val="center"/>
              <w:rPr>
                <w:rFonts w:hint="eastAsia" w:ascii="宋体" w:hAnsi="宋体" w:eastAsia="宋体" w:cs="宋体"/>
                <w:kern w:val="2"/>
                <w:sz w:val="15"/>
                <w:szCs w:val="15"/>
                <w:vertAlign w:val="baseline"/>
                <w:lang w:val="en-US" w:eastAsia="zh-CN" w:bidi="ar-SA"/>
              </w:rPr>
            </w:pPr>
            <w:r>
              <w:rPr>
                <w:rFonts w:hint="eastAsia" w:ascii="宋体" w:hAnsi="宋体" w:eastAsia="宋体" w:cs="宋体"/>
                <w:sz w:val="15"/>
                <w:szCs w:val="15"/>
                <w:vertAlign w:val="baseline"/>
                <w:lang w:val="en-US" w:eastAsia="zh-CN"/>
              </w:rPr>
              <w:t>3-5年</w:t>
            </w:r>
          </w:p>
        </w:tc>
        <w:tc>
          <w:tcPr>
            <w:tcW w:w="69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18.47K</w:t>
            </w:r>
          </w:p>
        </w:tc>
        <w:tc>
          <w:tcPr>
            <w:tcW w:w="746"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17.40K</w:t>
            </w:r>
          </w:p>
        </w:tc>
        <w:tc>
          <w:tcPr>
            <w:tcW w:w="680"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11.89K</w:t>
            </w:r>
          </w:p>
        </w:tc>
        <w:tc>
          <w:tcPr>
            <w:tcW w:w="710"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11.39K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8.65K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12.01K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10.07K</w:t>
            </w:r>
          </w:p>
        </w:tc>
        <w:tc>
          <w:tcPr>
            <w:tcW w:w="871"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10.97K</w:t>
            </w:r>
          </w:p>
        </w:tc>
        <w:tc>
          <w:tcPr>
            <w:tcW w:w="77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13.81K</w:t>
            </w:r>
          </w:p>
        </w:tc>
        <w:tc>
          <w:tcPr>
            <w:tcW w:w="73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12.67K</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5-10年</w:t>
            </w:r>
          </w:p>
        </w:tc>
        <w:tc>
          <w:tcPr>
            <w:tcW w:w="69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27.35K</w:t>
            </w:r>
          </w:p>
        </w:tc>
        <w:tc>
          <w:tcPr>
            <w:tcW w:w="746"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25.83K</w:t>
            </w:r>
          </w:p>
        </w:tc>
        <w:tc>
          <w:tcPr>
            <w:tcW w:w="680"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20.17K</w:t>
            </w:r>
          </w:p>
        </w:tc>
        <w:tc>
          <w:tcPr>
            <w:tcW w:w="710"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17.30K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14.25K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18.93K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16.48K</w:t>
            </w:r>
          </w:p>
        </w:tc>
        <w:tc>
          <w:tcPr>
            <w:tcW w:w="871"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15.22K</w:t>
            </w:r>
          </w:p>
        </w:tc>
        <w:tc>
          <w:tcPr>
            <w:tcW w:w="77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21.97K</w:t>
            </w:r>
          </w:p>
        </w:tc>
        <w:tc>
          <w:tcPr>
            <w:tcW w:w="73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20.90K</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3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10年以上</w:t>
            </w:r>
          </w:p>
        </w:tc>
        <w:tc>
          <w:tcPr>
            <w:tcW w:w="69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40.91K</w:t>
            </w:r>
          </w:p>
        </w:tc>
        <w:tc>
          <w:tcPr>
            <w:tcW w:w="746"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39.43K</w:t>
            </w:r>
          </w:p>
        </w:tc>
        <w:tc>
          <w:tcPr>
            <w:tcW w:w="680"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30.22K</w:t>
            </w:r>
          </w:p>
        </w:tc>
        <w:tc>
          <w:tcPr>
            <w:tcW w:w="710"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24.86K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24.03K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31.76K</w:t>
            </w:r>
          </w:p>
        </w:tc>
        <w:tc>
          <w:tcPr>
            <w:tcW w:w="793"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23.98K</w:t>
            </w:r>
          </w:p>
        </w:tc>
        <w:tc>
          <w:tcPr>
            <w:tcW w:w="871"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18.12K</w:t>
            </w:r>
          </w:p>
        </w:tc>
        <w:tc>
          <w:tcPr>
            <w:tcW w:w="77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36.97K</w:t>
            </w:r>
          </w:p>
        </w:tc>
        <w:tc>
          <w:tcPr>
            <w:tcW w:w="734" w:type="dxa"/>
            <w:vAlign w:val="center"/>
          </w:tcPr>
          <w:p>
            <w:pPr>
              <w:widowControl w:val="0"/>
              <w:jc w:val="cente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28.55K</w:t>
            </w:r>
          </w:p>
        </w:tc>
      </w:tr>
    </w:tbl>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400" w:lineRule="exact"/>
        <w:ind w:left="0" w:leftChars="0" w:firstLine="392" w:firstLineChars="200"/>
        <w:jc w:val="both"/>
        <w:textAlignment w:val="auto"/>
        <w:rPr>
          <w:rFonts w:hint="default" w:ascii="宋体" w:hAnsi="宋体" w:eastAsia="宋体" w:cs="宋体"/>
          <w:spacing w:val="8"/>
          <w:sz w:val="18"/>
          <w:szCs w:val="18"/>
          <w:shd w:val="clear" w:color="auto" w:fill="FFFFFF"/>
          <w:lang w:val="en-US" w:eastAsia="zh-CN"/>
        </w:rPr>
      </w:pPr>
      <w:r>
        <w:rPr>
          <w:rFonts w:hint="eastAsia" w:ascii="宋体" w:hAnsi="宋体" w:eastAsia="宋体" w:cs="宋体"/>
          <w:spacing w:val="8"/>
          <w:sz w:val="18"/>
          <w:szCs w:val="18"/>
          <w:shd w:val="clear" w:color="auto" w:fill="FFFFFF"/>
          <w:lang w:val="en-US" w:eastAsia="zh-CN"/>
        </w:rPr>
        <w:t>从IT行业岗位起薪的差异和随着工作经验涨幅的薪酬变化的情况可以看出，IT行业对技术型的人才需求大，在激烈的市场竞争中，有好多技术支持不仅能给予客户优质服务，还能为企业带来良好的信誉，所以公司愿意用高薪聘用技术岗的人员，同比之下，项目经理这类的管理岗则需要时间积累经验，非技术岗的薪酬大多会随着工作经验的丰富而涨幅，最终也能达到与技术岗相同的薪酬水平</w:t>
      </w:r>
      <w:r>
        <w:rPr>
          <w:rFonts w:hint="eastAsia" w:ascii="宋体" w:hAnsi="宋体" w:eastAsia="宋体" w:cs="宋体"/>
          <w:spacing w:val="8"/>
          <w:sz w:val="18"/>
          <w:szCs w:val="18"/>
          <w:shd w:val="clear" w:color="auto" w:fill="FFFFFF"/>
          <w:lang w:eastAsia="zh-CN"/>
        </w:rPr>
        <w:t>，</w:t>
      </w:r>
      <w:r>
        <w:rPr>
          <w:rFonts w:hint="eastAsia" w:ascii="宋体" w:hAnsi="宋体" w:eastAsia="宋体" w:cs="宋体"/>
          <w:spacing w:val="8"/>
          <w:sz w:val="18"/>
          <w:szCs w:val="18"/>
          <w:shd w:val="clear" w:color="auto" w:fill="FFFFFF"/>
          <w:lang w:val="en-US" w:eastAsia="zh-CN"/>
        </w:rPr>
        <w:t>这也证实了IT行业具有用薪酬支持公司发展的特征</w:t>
      </w:r>
      <w:r>
        <w:rPr>
          <w:rFonts w:hint="eastAsia" w:ascii="宋体" w:hAnsi="宋体" w:eastAsia="宋体" w:cs="宋体"/>
          <w:spacing w:val="8"/>
          <w:sz w:val="18"/>
          <w:szCs w:val="18"/>
          <w:shd w:val="clear" w:color="auto" w:fill="FFFFFF"/>
          <w:vertAlign w:val="superscript"/>
          <w:lang w:val="en-US" w:eastAsia="zh-CN"/>
        </w:rPr>
        <w:t>[4]</w:t>
      </w:r>
      <w:r>
        <w:rPr>
          <w:rFonts w:hint="eastAsia" w:ascii="宋体" w:hAnsi="宋体" w:eastAsia="宋体" w:cs="宋体"/>
          <w:spacing w:val="8"/>
          <w:sz w:val="18"/>
          <w:szCs w:val="18"/>
          <w:shd w:val="clear" w:color="auto" w:fill="FFFFFF"/>
          <w:lang w:val="en-US" w:eastAsia="zh-CN"/>
        </w:rPr>
        <w:t>。</w:t>
      </w:r>
    </w:p>
    <w:p>
      <w:pPr>
        <w:pStyle w:val="2"/>
        <w:keepNext w:val="0"/>
        <w:keepLines w:val="0"/>
        <w:pageBreakBefore w:val="0"/>
        <w:widowControl w:val="0"/>
        <w:numPr>
          <w:ilvl w:val="0"/>
          <w:numId w:val="1"/>
        </w:numPr>
        <w:kinsoku/>
        <w:wordWrap/>
        <w:overflowPunct/>
        <w:topLinePunct w:val="0"/>
        <w:autoSpaceDE/>
        <w:autoSpaceDN/>
        <w:bidi w:val="0"/>
        <w:adjustRightInd/>
        <w:snapToGrid/>
        <w:spacing w:line="400" w:lineRule="exact"/>
        <w:ind w:left="363" w:hanging="363"/>
        <w:textAlignment w:val="auto"/>
      </w:pPr>
      <w:r>
        <w:rPr>
          <w:rFonts w:hint="eastAsia" w:ascii="黑体" w:hAnsi="黑体" w:eastAsia="黑体"/>
          <w:szCs w:val="21"/>
          <w:lang w:val="en-US" w:eastAsia="zh-CN"/>
        </w:rPr>
        <w:t>结论</w:t>
      </w:r>
    </w:p>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400" w:lineRule="exact"/>
        <w:ind w:firstLine="392" w:firstLineChars="200"/>
        <w:jc w:val="both"/>
        <w:textAlignment w:val="auto"/>
        <w:rPr>
          <w:rFonts w:hint="eastAsia" w:ascii="宋体" w:hAnsi="宋体" w:eastAsia="宋体" w:cs="宋体"/>
          <w:spacing w:val="8"/>
          <w:sz w:val="18"/>
          <w:szCs w:val="18"/>
          <w:shd w:val="clear" w:color="auto" w:fill="FFFFFF"/>
          <w:lang w:val="en-US" w:eastAsia="zh-CN"/>
        </w:rPr>
      </w:pPr>
      <w:r>
        <w:rPr>
          <w:rFonts w:hint="eastAsia" w:ascii="宋体" w:hAnsi="宋体" w:eastAsia="宋体" w:cs="宋体"/>
          <w:spacing w:val="8"/>
          <w:sz w:val="18"/>
          <w:szCs w:val="18"/>
          <w:shd w:val="clear" w:color="auto" w:fill="FFFFFF"/>
          <w:lang w:val="en-US" w:eastAsia="zh-CN"/>
        </w:rPr>
        <w:t>IT行业的薪酬从整体上看呈现逐年上升的趋势，目前IT行业的薪酬涨幅远超传统行业，连续4年居于全国行业收入统计的首位。比较不同地区IT行业不同的薪酬变化可以发现，地区的经济发展水平对IT行业的薪酬有着重要的作用。而在同一地区，IT行业从业人员的单位性质不同，也会出现薪酬的差异。同在IT行业，业内的不同岗位也会对薪酬变化产生了一定影响，技术岗薪酬普遍偏高，而非技术岗的薪酬会随着经验的积累而增加。纵观各大IT行业招聘情况可以发现每年IT人才缺口大，行业对技术人才的需求较高，所以技术强且有经验的员工薪酬较高。IT行业作为高新技术产业，它的发展符合时代前进的方向，薪酬的变化展现的是IT行业近些年的迅猛发展，未来我国对信息化人才的需求将会继续</w:t>
      </w:r>
      <w:bookmarkStart w:id="0" w:name="_GoBack"/>
      <w:bookmarkEnd w:id="0"/>
      <w:r>
        <w:rPr>
          <w:rFonts w:hint="eastAsia" w:ascii="宋体" w:hAnsi="宋体" w:eastAsia="宋体" w:cs="宋体"/>
          <w:spacing w:val="8"/>
          <w:sz w:val="18"/>
          <w:szCs w:val="18"/>
          <w:shd w:val="clear" w:color="auto" w:fill="FFFFFF"/>
          <w:lang w:val="en-US" w:eastAsia="zh-CN"/>
        </w:rPr>
        <w:t>增加，这样高速的发展又伴随着人才短缺，所以IT行业薪酬上升的趋势持续将成为必然。</w:t>
      </w:r>
    </w:p>
    <w:p>
      <w:pPr>
        <w:pStyle w:val="7"/>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400" w:lineRule="exact"/>
        <w:jc w:val="both"/>
        <w:textAlignment w:val="auto"/>
        <w:rPr>
          <w:rFonts w:hint="eastAsia" w:ascii="宋体" w:hAnsi="宋体" w:eastAsia="宋体" w:cs="宋体"/>
          <w:spacing w:val="8"/>
          <w:sz w:val="18"/>
          <w:szCs w:val="18"/>
          <w:shd w:val="clear" w:color="auto" w:fill="FFFFFF"/>
          <w:lang w:val="en-US" w:eastAsia="zh-CN"/>
        </w:rPr>
      </w:pPr>
    </w:p>
    <w:p>
      <w:pPr>
        <w:pStyle w:val="23"/>
        <w:keepNext w:val="0"/>
        <w:keepLines w:val="0"/>
        <w:pageBreakBefore w:val="0"/>
        <w:widowControl/>
        <w:kinsoku/>
        <w:wordWrap/>
        <w:overflowPunct/>
        <w:topLinePunct w:val="0"/>
        <w:autoSpaceDE/>
        <w:autoSpaceDN/>
        <w:bidi w:val="0"/>
        <w:adjustRightInd/>
        <w:snapToGrid/>
        <w:spacing w:after="0" w:line="240" w:lineRule="auto"/>
        <w:ind w:left="0" w:leftChars="0" w:firstLine="0" w:firstLineChars="0"/>
        <w:jc w:val="left"/>
        <w:textAlignment w:val="auto"/>
        <w:rPr>
          <w:rFonts w:hint="eastAsia" w:hAnsi="宋体"/>
          <w:b/>
          <w:sz w:val="18"/>
          <w:szCs w:val="18"/>
        </w:rPr>
      </w:pPr>
      <w:r>
        <w:rPr>
          <w:rFonts w:hint="eastAsia" w:hAnsi="宋体"/>
          <w:b/>
          <w:sz w:val="18"/>
          <w:szCs w:val="18"/>
        </w:rPr>
        <w:t>参考文献</w:t>
      </w:r>
    </w:p>
    <w:p>
      <w:pPr>
        <w:keepNext w:val="0"/>
        <w:keepLines w:val="0"/>
        <w:pageBreakBefore w:val="0"/>
        <w:widowControl/>
        <w:numPr>
          <w:ilvl w:val="0"/>
          <w:numId w:val="2"/>
        </w:numPr>
        <w:kinsoku/>
        <w:wordWrap/>
        <w:overflowPunct/>
        <w:topLinePunct w:val="0"/>
        <w:autoSpaceDE/>
        <w:autoSpaceDN/>
        <w:bidi w:val="0"/>
        <w:adjustRightInd w:val="0"/>
        <w:snapToGrid w:val="0"/>
        <w:jc w:val="both"/>
        <w:textAlignment w:val="auto"/>
        <w:rPr>
          <w:rFonts w:ascii="宋体" w:hAnsi="宋体" w:eastAsia="宋体" w:cs="宋体"/>
          <w:sz w:val="18"/>
          <w:szCs w:val="18"/>
        </w:rPr>
      </w:pPr>
      <w:r>
        <w:rPr>
          <w:rFonts w:ascii="宋体" w:hAnsi="宋体" w:eastAsia="宋体" w:cs="宋体"/>
          <w:sz w:val="18"/>
          <w:szCs w:val="18"/>
        </w:rPr>
        <w:t>杨淇.2016年互联网行业用工薪酬报告[J].职业,2017(01):47-48.</w:t>
      </w:r>
    </w:p>
    <w:p>
      <w:pPr>
        <w:keepNext w:val="0"/>
        <w:keepLines w:val="0"/>
        <w:pageBreakBefore w:val="0"/>
        <w:widowControl/>
        <w:numPr>
          <w:ilvl w:val="0"/>
          <w:numId w:val="2"/>
        </w:numPr>
        <w:kinsoku/>
        <w:wordWrap/>
        <w:overflowPunct/>
        <w:topLinePunct w:val="0"/>
        <w:autoSpaceDE/>
        <w:autoSpaceDN/>
        <w:bidi w:val="0"/>
        <w:adjustRightInd w:val="0"/>
        <w:snapToGrid w:val="0"/>
        <w:jc w:val="both"/>
        <w:textAlignment w:val="auto"/>
        <w:rPr>
          <w:rFonts w:hint="default" w:ascii="Times New Roman" w:hAnsi="Times New Roman" w:eastAsia="宋体" w:cs="Times New Roman"/>
          <w:i w:val="0"/>
          <w:iCs w:val="0"/>
          <w:sz w:val="18"/>
          <w:szCs w:val="18"/>
        </w:rPr>
      </w:pPr>
      <w:r>
        <w:rPr>
          <w:rFonts w:ascii="宋体" w:hAnsi="宋体" w:eastAsia="宋体" w:cs="宋体"/>
          <w:i w:val="0"/>
          <w:iCs w:val="0"/>
          <w:sz w:val="18"/>
          <w:szCs w:val="18"/>
        </w:rPr>
        <w:t>中华人民共和国国家统计局</w:t>
      </w:r>
      <w:r>
        <w:rPr>
          <w:rFonts w:hint="eastAsia" w:ascii="宋体" w:hAnsi="宋体" w:eastAsia="宋体" w:cs="宋体"/>
          <w:i w:val="0"/>
          <w:iCs w:val="0"/>
          <w:sz w:val="18"/>
          <w:szCs w:val="18"/>
          <w:lang w:val="en-US" w:eastAsia="zh-CN"/>
        </w:rPr>
        <w:t>网站</w:t>
      </w:r>
      <w:r>
        <w:rPr>
          <w:rStyle w:val="12"/>
          <w:rFonts w:ascii="宋体" w:hAnsi="宋体" w:eastAsia="宋体" w:cs="宋体"/>
          <w:i w:val="0"/>
          <w:iCs w:val="0"/>
          <w:sz w:val="18"/>
          <w:szCs w:val="18"/>
        </w:rPr>
        <w:t>[EB/OL]</w:t>
      </w:r>
      <w:r>
        <w:rPr>
          <w:rFonts w:hint="eastAsia" w:ascii="宋体" w:hAnsi="宋体" w:eastAsia="宋体" w:cs="宋体"/>
          <w:i w:val="0"/>
          <w:iCs w:val="0"/>
          <w:sz w:val="18"/>
          <w:szCs w:val="18"/>
          <w:lang w:val="en-US" w:eastAsia="zh-CN"/>
        </w:rPr>
        <w:t>.</w:t>
      </w:r>
      <w:r>
        <w:rPr>
          <w:rFonts w:hint="default" w:ascii="Times New Roman" w:hAnsi="Times New Roman" w:eastAsia="宋体" w:cs="Times New Roman"/>
          <w:i w:val="0"/>
          <w:iCs w:val="0"/>
          <w:sz w:val="18"/>
          <w:szCs w:val="18"/>
          <w:lang w:val="en-US" w:eastAsia="zh-CN"/>
        </w:rPr>
        <w:t>https://data.stats.gov.cn/easyquery.htm</w:t>
      </w:r>
    </w:p>
    <w:p>
      <w:pPr>
        <w:keepNext w:val="0"/>
        <w:keepLines w:val="0"/>
        <w:pageBreakBefore w:val="0"/>
        <w:widowControl/>
        <w:numPr>
          <w:ilvl w:val="0"/>
          <w:numId w:val="2"/>
        </w:numPr>
        <w:kinsoku/>
        <w:wordWrap/>
        <w:overflowPunct/>
        <w:topLinePunct w:val="0"/>
        <w:autoSpaceDE/>
        <w:autoSpaceDN/>
        <w:bidi w:val="0"/>
        <w:adjustRightInd w:val="0"/>
        <w:snapToGrid w:val="0"/>
        <w:jc w:val="both"/>
        <w:textAlignment w:val="auto"/>
        <w:rPr>
          <w:rFonts w:hint="default" w:ascii="Times New Roman" w:hAnsi="Times New Roman" w:eastAsia="宋体" w:cs="Times New Roman"/>
          <w:i w:val="0"/>
          <w:iCs w:val="0"/>
          <w:sz w:val="18"/>
          <w:szCs w:val="18"/>
        </w:rPr>
      </w:pPr>
      <w:r>
        <w:rPr>
          <w:rFonts w:hint="eastAsia" w:ascii="Times New Roman" w:hAnsi="Times New Roman" w:eastAsia="宋体" w:cs="Times New Roman"/>
          <w:i w:val="0"/>
          <w:iCs w:val="0"/>
          <w:sz w:val="18"/>
          <w:szCs w:val="18"/>
          <w:lang w:val="en-US" w:eastAsia="zh-CN"/>
        </w:rPr>
        <w:t xml:space="preserve"> 国务院发展研究中心信息网</w:t>
      </w:r>
      <w:r>
        <w:rPr>
          <w:rStyle w:val="12"/>
          <w:rFonts w:ascii="宋体" w:hAnsi="宋体" w:eastAsia="宋体" w:cs="宋体"/>
          <w:i w:val="0"/>
          <w:iCs w:val="0"/>
          <w:sz w:val="18"/>
          <w:szCs w:val="18"/>
        </w:rPr>
        <w:t>[</w:t>
      </w:r>
      <w:r>
        <w:rPr>
          <w:rStyle w:val="12"/>
          <w:rFonts w:hint="eastAsia" w:ascii="宋体" w:hAnsi="宋体" w:eastAsia="宋体" w:cs="宋体"/>
          <w:i w:val="0"/>
          <w:iCs w:val="0"/>
          <w:sz w:val="18"/>
          <w:szCs w:val="18"/>
          <w:lang w:val="en-US" w:eastAsia="zh-CN"/>
        </w:rPr>
        <w:t>D</w:t>
      </w:r>
      <w:r>
        <w:rPr>
          <w:rStyle w:val="12"/>
          <w:rFonts w:ascii="宋体" w:hAnsi="宋体" w:eastAsia="宋体" w:cs="宋体"/>
          <w:i w:val="0"/>
          <w:iCs w:val="0"/>
          <w:sz w:val="18"/>
          <w:szCs w:val="18"/>
        </w:rPr>
        <w:t>B/OL]</w:t>
      </w:r>
      <w:r>
        <w:rPr>
          <w:rFonts w:ascii="宋体" w:hAnsi="宋体" w:eastAsia="宋体" w:cs="宋体"/>
          <w:i w:val="0"/>
          <w:iCs w:val="0"/>
          <w:sz w:val="18"/>
          <w:szCs w:val="18"/>
        </w:rPr>
        <w:t>.</w:t>
      </w:r>
      <w:r>
        <w:rPr>
          <w:rFonts w:hint="default" w:ascii="Times New Roman" w:hAnsi="Times New Roman" w:eastAsia="宋体" w:cs="Times New Roman"/>
          <w:i w:val="0"/>
          <w:iCs w:val="0"/>
          <w:sz w:val="18"/>
          <w:szCs w:val="18"/>
          <w:lang w:val="en-US" w:eastAsia="zh-CN"/>
        </w:rPr>
        <w:t>http://data.drcnet.com.cn</w:t>
      </w:r>
    </w:p>
    <w:p>
      <w:pPr>
        <w:keepNext w:val="0"/>
        <w:keepLines w:val="0"/>
        <w:pageBreakBefore w:val="0"/>
        <w:widowControl/>
        <w:numPr>
          <w:ilvl w:val="0"/>
          <w:numId w:val="2"/>
        </w:numPr>
        <w:kinsoku/>
        <w:wordWrap/>
        <w:overflowPunct/>
        <w:topLinePunct w:val="0"/>
        <w:autoSpaceDE/>
        <w:autoSpaceDN/>
        <w:bidi w:val="0"/>
        <w:adjustRightInd w:val="0"/>
        <w:snapToGrid w:val="0"/>
        <w:jc w:val="both"/>
        <w:textAlignment w:val="auto"/>
        <w:rPr>
          <w:rFonts w:hint="default" w:ascii="Times New Roman" w:hAnsi="Times New Roman" w:eastAsia="宋体" w:cs="Times New Roman"/>
          <w:i w:val="0"/>
          <w:iCs w:val="0"/>
          <w:sz w:val="18"/>
          <w:szCs w:val="18"/>
        </w:rPr>
      </w:pPr>
      <w:r>
        <w:rPr>
          <w:rFonts w:hint="eastAsia" w:ascii="Times New Roman" w:hAnsi="Times New Roman" w:eastAsia="宋体" w:cs="Times New Roman"/>
          <w:i w:val="0"/>
          <w:iCs w:val="0"/>
          <w:sz w:val="18"/>
          <w:szCs w:val="18"/>
          <w:lang w:val="en-US" w:eastAsia="zh-CN"/>
        </w:rPr>
        <w:t xml:space="preserve"> 张静</w:t>
      </w:r>
      <w:r>
        <w:rPr>
          <w:rFonts w:ascii="宋体" w:hAnsi="宋体" w:eastAsia="宋体" w:cs="宋体"/>
          <w:sz w:val="18"/>
          <w:szCs w:val="18"/>
        </w:rPr>
        <w:t>.</w:t>
      </w:r>
      <w:r>
        <w:rPr>
          <w:rFonts w:hint="eastAsia" w:ascii="Times New Roman" w:hAnsi="Times New Roman" w:eastAsia="宋体" w:cs="Times New Roman"/>
          <w:i w:val="0"/>
          <w:iCs w:val="0"/>
          <w:sz w:val="18"/>
          <w:szCs w:val="18"/>
          <w:lang w:val="en-US" w:eastAsia="zh-CN"/>
        </w:rPr>
        <w:t>用薪酬支持公司高速成长-IT行业薪酬设计核心探讨</w:t>
      </w:r>
      <w:r>
        <w:rPr>
          <w:rFonts w:hint="eastAsia" w:ascii="宋体" w:hAnsi="宋体" w:eastAsia="宋体" w:cs="宋体"/>
          <w:i w:val="0"/>
          <w:iCs w:val="0"/>
          <w:sz w:val="18"/>
          <w:szCs w:val="18"/>
          <w:lang w:val="en-US" w:eastAsia="zh-CN"/>
        </w:rPr>
        <w:t>[J].科学学与科学技术管理,2002(4):70-72.</w:t>
      </w:r>
    </w:p>
    <w:p>
      <w:pPr>
        <w:jc w:val="both"/>
        <w:rPr>
          <w:rFonts w:hint="default" w:ascii="宋体" w:hAnsi="宋体" w:eastAsia="宋体" w:cs="宋体"/>
          <w:sz w:val="18"/>
          <w:szCs w:val="18"/>
          <w:lang w:val="en-US" w:eastAsia="zh-CN"/>
        </w:rPr>
      </w:pPr>
    </w:p>
    <w:sectPr>
      <w:headerReference r:id="rId9" w:type="even"/>
      <w:type w:val="continuous"/>
      <w:pgSz w:w="11906" w:h="16838"/>
      <w:pgMar w:top="1440" w:right="1800" w:bottom="1440" w:left="1800" w:header="708" w:footer="708" w:gutter="0"/>
      <w:cols w:space="0"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rPr>
        <w:rFonts w:ascii="Times New Roman" w:hAnsi="Times New Roman" w:eastAsia="仿宋"/>
        <w:sz w:val="15"/>
        <w:szCs w:val="1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0"/>
      <w:rPr>
        <w:rFonts w:ascii="宋体" w:hAnsi="宋体" w:eastAsia="宋体"/>
        <w:sz w:val="15"/>
        <w:szCs w:val="15"/>
      </w:rPr>
    </w:pPr>
    <w:r>
      <w:rPr>
        <w:rFonts w:hint="eastAsia" w:ascii="宋体" w:hAnsi="宋体" w:eastAsia="宋体"/>
        <w:color w:val="FF0000"/>
        <w:sz w:val="15"/>
        <w:szCs w:val="15"/>
      </w:rPr>
      <w:t xml:space="preserve"> </w:t>
    </w:r>
  </w:p>
  <w:p>
    <w:pPr>
      <w:pStyle w:val="5"/>
      <w:spacing w:after="0"/>
      <w:rPr>
        <w:rFonts w:ascii="宋体" w:hAnsi="宋体" w:eastAsia="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spacing w:after="0"/>
      <w:jc w:val="left"/>
      <w:rPr>
        <w:rFonts w:ascii="宋体" w:hAnsi="宋体" w:eastAsia="宋体"/>
        <w:sz w:val="15"/>
        <w:szCs w:val="15"/>
      </w:rPr>
    </w:pPr>
  </w:p>
  <w:p>
    <w:pPr>
      <w:pStyle w:val="6"/>
      <w:pBdr>
        <w:bottom w:val="none" w:color="auto" w:sz="0" w:space="1"/>
      </w:pBdr>
      <w:spacing w:after="0"/>
      <w:jc w:val="left"/>
      <w:rPr>
        <w:rFonts w:ascii="宋体" w:hAnsi="宋体" w:eastAsia="宋体"/>
        <w:sz w:val="15"/>
        <w:szCs w:val="15"/>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ascii="宋体" w:hAnsi="宋体" w:eastAsia="宋体"/>
        <w:sz w:val="15"/>
        <w:szCs w:val="15"/>
      </w:rPr>
    </w:pPr>
    <w:r>
      <w:rPr>
        <w:rFonts w:hint="default" w:ascii="Times New Roman" w:hAnsi="Times New Roman" w:eastAsia="宋体" w:cs="Times New Roman"/>
        <w:i/>
        <w:iCs/>
        <w:sz w:val="15"/>
        <w:szCs w:val="15"/>
        <w:lang w:val="en-US" w:eastAsia="zh-CN"/>
      </w:rPr>
      <w:t>Computer Science</w:t>
    </w:r>
    <w:r>
      <w:rPr>
        <w:rFonts w:hint="eastAsia" w:ascii="宋体" w:hAnsi="宋体" w:eastAsia="宋体"/>
        <w:i/>
        <w:iCs/>
        <w:sz w:val="15"/>
        <w:szCs w:val="15"/>
      </w:rPr>
      <w:t xml:space="preserve">  </w:t>
    </w:r>
    <w:r>
      <w:rPr>
        <w:rFonts w:hint="eastAsia" w:ascii="宋体" w:hAnsi="宋体" w:eastAsia="宋体"/>
        <w:i w:val="0"/>
        <w:iCs w:val="0"/>
        <w:sz w:val="15"/>
        <w:szCs w:val="15"/>
        <w:lang w:eastAsia="zh-CN"/>
      </w:rPr>
      <w:t>计算机科学</w:t>
    </w:r>
    <w:r>
      <w:rPr>
        <w:rFonts w:hint="eastAsia" w:ascii="宋体" w:hAnsi="宋体" w:eastAsia="宋体"/>
        <w:sz w:val="15"/>
        <w:szCs w:val="15"/>
      </w:rPr>
      <w:t xml:space="preserve"> </w:t>
    </w:r>
    <w:r>
      <w:rPr>
        <w:rFonts w:hint="default" w:ascii="Times New Roman" w:hAnsi="Times New Roman" w:eastAsia="宋体" w:cs="Times New Roman"/>
        <w:sz w:val="15"/>
        <w:szCs w:val="15"/>
        <w:lang w:val="en-US" w:eastAsia="zh-CN"/>
      </w:rPr>
      <w:t>Vol.x,</w:t>
    </w:r>
    <w:r>
      <w:rPr>
        <w:rFonts w:hint="eastAsia" w:ascii="Times New Roman" w:hAnsi="Times New Roman" w:eastAsia="宋体" w:cs="Times New Roman"/>
        <w:sz w:val="15"/>
        <w:szCs w:val="15"/>
        <w:lang w:val="en-US" w:eastAsia="zh-CN"/>
      </w:rPr>
      <w:t xml:space="preserve"> </w:t>
    </w:r>
    <w:r>
      <w:rPr>
        <w:rFonts w:hint="default" w:ascii="Times New Roman" w:hAnsi="Times New Roman" w:eastAsia="宋体" w:cs="Times New Roman"/>
        <w:sz w:val="15"/>
        <w:szCs w:val="15"/>
        <w:lang w:val="en-US" w:eastAsia="zh-CN"/>
      </w:rPr>
      <w:t>No.y, Month.2020</w:t>
    </w:r>
    <w:r>
      <w:rPr>
        <w:rFonts w:hint="eastAsia" w:ascii="宋体" w:hAnsi="宋体" w:eastAsia="宋体"/>
        <w:sz w:val="15"/>
        <w:szCs w:val="15"/>
      </w:rPr>
      <w:t xml:space="preserve">                                               </w:t>
    </w:r>
    <w:r>
      <w:rPr>
        <w:rFonts w:hint="eastAsia" w:ascii="宋体" w:hAnsi="宋体" w:eastAsia="宋体"/>
        <w:sz w:val="15"/>
        <w:szCs w:val="15"/>
        <w:lang w:val="en-US" w:eastAsia="zh-CN"/>
      </w:rPr>
      <w:t xml:space="preserve">    (偶数) </w:t>
    </w:r>
    <w:r>
      <w:rPr>
        <w:rFonts w:hint="eastAsia" w:ascii="宋体" w:hAnsi="宋体" w:eastAsia="宋体"/>
        <w:sz w:val="15"/>
        <w:szCs w:val="15"/>
      </w:rPr>
      <w:t>页码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spacing w:after="0"/>
      <w:jc w:val="left"/>
      <w:rPr>
        <w:rFonts w:hint="eastAsia" w:ascii="Times New Roman" w:hAnsi="Times New Roman" w:eastAsia="仿宋"/>
        <w:sz w:val="15"/>
        <w:szCs w:val="15"/>
        <w:lang w:val="en-US" w:eastAsia="zh-CN"/>
      </w:rPr>
    </w:pPr>
    <w:r>
      <w:rPr>
        <w:rFonts w:ascii="Times New Roman" w:hAnsi="Times New Roman" w:eastAsia="仿宋"/>
        <w:i/>
      </w:rPr>
      <w:pict>
        <v:shape id="图片 4" o:spid="_x0000_s23553" o:spt="75" alt="E:\计科封面、LOGO及红章\计科logo（无底色）.png" type="#_x0000_t75" style="position:absolute;left:0pt;margin-left:-14.75pt;margin-top:-4.1pt;height:28.35pt;width:102.6pt;mso-wrap-distance-left:9pt;mso-wrap-distance-right:9pt;z-index:-251656192;mso-width-relative:page;mso-height-relative:page;" filled="f" o:preferrelative="t" stroked="f" coordsize="21600,21600" wrapcoords="4068 5355 2959 14727 4068 14727 17014 14727 18493 8033 16644 5355 8877 5355 4068 5355">
          <v:path/>
          <v:fill on="f" focussize="0,0"/>
          <v:stroke on="f"/>
          <v:imagedata r:id="rId1" o:title="E:\计科封面、LOGO及红章\计科logo（无底色）.png"/>
          <o:lock v:ext="edit" aspectratio="t"/>
          <w10:wrap type="tight"/>
        </v:shape>
      </w:pict>
    </w:r>
    <w:r>
      <w:rPr>
        <w:rFonts w:hint="eastAsia" w:ascii="Times New Roman" w:hAnsi="Times New Roman" w:eastAsia="仿宋"/>
      </w:rPr>
      <w:t xml:space="preserve">                                             </w:t>
    </w:r>
    <w:r>
      <w:rPr>
        <w:rFonts w:hint="eastAsia" w:ascii="Times New Roman" w:hAnsi="Times New Roman" w:eastAsia="仿宋"/>
        <w:lang w:val="en-US" w:eastAsia="zh-CN"/>
      </w:rPr>
      <w:t xml:space="preserve">                                                                                           </w:t>
    </w:r>
    <w:r>
      <w:rPr>
        <w:rFonts w:hint="eastAsia" w:ascii="Times New Roman" w:hAnsi="Times New Roman" w:eastAsia="仿宋"/>
        <w:sz w:val="15"/>
        <w:szCs w:val="15"/>
        <w:lang w:val="en-US" w:eastAsia="zh-CN"/>
      </w:rPr>
      <w:t xml:space="preserve">                    </w:t>
    </w:r>
  </w:p>
  <w:p>
    <w:pPr>
      <w:pStyle w:val="6"/>
      <w:pBdr>
        <w:bottom w:val="single" w:color="auto" w:sz="6" w:space="0"/>
      </w:pBdr>
      <w:spacing w:after="0"/>
      <w:jc w:val="left"/>
      <w:rPr>
        <w:rFonts w:ascii="Times New Roman" w:hAnsi="Times New Roman" w:eastAsia="仿宋"/>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ascii="宋体" w:hAnsi="宋体" w:eastAsia="宋体"/>
        <w:sz w:val="15"/>
        <w:szCs w:val="15"/>
      </w:rPr>
    </w:pPr>
    <w:r>
      <w:rPr>
        <w:rFonts w:hint="default" w:ascii="Times New Roman" w:hAnsi="Times New Roman" w:eastAsia="宋体" w:cs="Times New Roman"/>
        <w:i/>
        <w:iCs/>
        <w:sz w:val="15"/>
        <w:szCs w:val="15"/>
        <w:lang w:val="en-US" w:eastAsia="zh-CN"/>
      </w:rPr>
      <w:t>Computer Science</w:t>
    </w:r>
    <w:r>
      <w:rPr>
        <w:rFonts w:hint="eastAsia" w:ascii="宋体" w:hAnsi="宋体" w:eastAsia="宋体"/>
        <w:i/>
        <w:iCs/>
        <w:sz w:val="15"/>
        <w:szCs w:val="15"/>
      </w:rPr>
      <w:t xml:space="preserve">  </w:t>
    </w:r>
    <w:r>
      <w:rPr>
        <w:rFonts w:hint="eastAsia" w:ascii="宋体" w:hAnsi="宋体" w:eastAsia="宋体"/>
        <w:i w:val="0"/>
        <w:iCs w:val="0"/>
        <w:sz w:val="15"/>
        <w:szCs w:val="15"/>
        <w:lang w:eastAsia="zh-CN"/>
      </w:rPr>
      <w:t>计算机科学</w:t>
    </w:r>
    <w:r>
      <w:rPr>
        <w:rFonts w:hint="eastAsia" w:ascii="宋体" w:hAnsi="宋体" w:eastAsia="宋体"/>
        <w:sz w:val="15"/>
        <w:szCs w:val="15"/>
      </w:rPr>
      <w:t xml:space="preserve"> </w:t>
    </w:r>
    <w:r>
      <w:rPr>
        <w:rFonts w:hint="default" w:ascii="Times New Roman" w:hAnsi="Times New Roman" w:eastAsia="宋体" w:cs="Times New Roman"/>
        <w:sz w:val="15"/>
        <w:szCs w:val="15"/>
        <w:lang w:val="en-US" w:eastAsia="zh-CN"/>
      </w:rPr>
      <w:t>Vol.x,</w:t>
    </w:r>
    <w:r>
      <w:rPr>
        <w:rFonts w:hint="eastAsia" w:ascii="Times New Roman" w:hAnsi="Times New Roman" w:eastAsia="宋体" w:cs="Times New Roman"/>
        <w:sz w:val="15"/>
        <w:szCs w:val="15"/>
        <w:lang w:val="en-US" w:eastAsia="zh-CN"/>
      </w:rPr>
      <w:t xml:space="preserve"> </w:t>
    </w:r>
    <w:r>
      <w:rPr>
        <w:rFonts w:hint="default" w:ascii="Times New Roman" w:hAnsi="Times New Roman" w:eastAsia="宋体" w:cs="Times New Roman"/>
        <w:sz w:val="15"/>
        <w:szCs w:val="15"/>
        <w:lang w:val="en-US" w:eastAsia="zh-CN"/>
      </w:rPr>
      <w:t>No.y, Month.2020</w:t>
    </w:r>
    <w:r>
      <w:rPr>
        <w:rFonts w:hint="eastAsia" w:ascii="宋体" w:hAnsi="宋体" w:eastAsia="宋体"/>
        <w:sz w:val="15"/>
        <w:szCs w:val="15"/>
      </w:rPr>
      <w:t xml:space="preserve">                                               </w:t>
    </w:r>
    <w:r>
      <w:rPr>
        <w:rFonts w:hint="eastAsia" w:ascii="宋体" w:hAnsi="宋体" w:eastAsia="宋体"/>
        <w:sz w:val="15"/>
        <w:szCs w:val="15"/>
        <w:lang w:val="en-US" w:eastAsia="zh-CN"/>
      </w:rPr>
      <w:t xml:space="preserve">    (偶数) </w:t>
    </w:r>
    <w:r>
      <w:rPr>
        <w:rFonts w:hint="eastAsia" w:ascii="宋体" w:hAnsi="宋体" w:eastAsia="宋体"/>
        <w:sz w:val="15"/>
        <w:szCs w:val="15"/>
      </w:rPr>
      <w:t>页码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37783C"/>
    <w:multiLevelType w:val="singleLevel"/>
    <w:tmpl w:val="4237783C"/>
    <w:lvl w:ilvl="0" w:tentative="0">
      <w:start w:val="1"/>
      <w:numFmt w:val="decimal"/>
      <w:lvlText w:val="[%1]"/>
      <w:lvlJc w:val="left"/>
      <w:pPr>
        <w:tabs>
          <w:tab w:val="left" w:pos="312"/>
        </w:tabs>
      </w:pPr>
      <w:rPr>
        <w:rFonts w:hint="default" w:ascii="宋体" w:hAnsi="宋体" w:eastAsia="宋体" w:cs="宋体"/>
      </w:rPr>
    </w:lvl>
  </w:abstractNum>
  <w:abstractNum w:abstractNumId="1">
    <w:nsid w:val="4E8925C5"/>
    <w:multiLevelType w:val="multilevel"/>
    <w:tmpl w:val="4E8925C5"/>
    <w:lvl w:ilvl="0" w:tentative="0">
      <w:start w:val="1"/>
      <w:numFmt w:val="decimal"/>
      <w:lvlText w:val="%1"/>
      <w:lvlJc w:val="left"/>
      <w:pPr>
        <w:ind w:left="360" w:hanging="360"/>
      </w:pPr>
      <w:rPr>
        <w:rFonts w:hint="default"/>
      </w:rPr>
    </w:lvl>
    <w:lvl w:ilvl="1" w:tentative="0">
      <w:start w:val="1"/>
      <w:numFmt w:val="decimal"/>
      <w:isLgl/>
      <w:lvlText w:val="%1.%2"/>
      <w:lvlJc w:val="left"/>
      <w:pPr>
        <w:ind w:left="435" w:hanging="435"/>
      </w:pPr>
      <w:rPr>
        <w:rFonts w:hint="default"/>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3"/>
    </o:shapelayout>
  </w:hdrShapeDefaults>
  <w:footnotePr>
    <w:footnote w:id="0"/>
    <w:footnote w:id="1"/>
  </w:footnotePr>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046BD9"/>
    <w:rsid w:val="00065F87"/>
    <w:rsid w:val="0007521F"/>
    <w:rsid w:val="000A59B1"/>
    <w:rsid w:val="000D28FE"/>
    <w:rsid w:val="000D3421"/>
    <w:rsid w:val="001127F6"/>
    <w:rsid w:val="001201EC"/>
    <w:rsid w:val="00133034"/>
    <w:rsid w:val="00144784"/>
    <w:rsid w:val="00145238"/>
    <w:rsid w:val="00146AB7"/>
    <w:rsid w:val="001611D8"/>
    <w:rsid w:val="00170945"/>
    <w:rsid w:val="00175F84"/>
    <w:rsid w:val="001819DE"/>
    <w:rsid w:val="00196857"/>
    <w:rsid w:val="001B7B77"/>
    <w:rsid w:val="001F117C"/>
    <w:rsid w:val="001F14BC"/>
    <w:rsid w:val="001F5C3E"/>
    <w:rsid w:val="0022631A"/>
    <w:rsid w:val="00262119"/>
    <w:rsid w:val="00295131"/>
    <w:rsid w:val="002A0C9F"/>
    <w:rsid w:val="002C012B"/>
    <w:rsid w:val="002D1CAD"/>
    <w:rsid w:val="002D23E0"/>
    <w:rsid w:val="002E64DA"/>
    <w:rsid w:val="002E69E9"/>
    <w:rsid w:val="00314D29"/>
    <w:rsid w:val="00323B43"/>
    <w:rsid w:val="0035118C"/>
    <w:rsid w:val="00353E80"/>
    <w:rsid w:val="00355DB1"/>
    <w:rsid w:val="00356246"/>
    <w:rsid w:val="00356B35"/>
    <w:rsid w:val="003629F0"/>
    <w:rsid w:val="00396BDA"/>
    <w:rsid w:val="003A1A54"/>
    <w:rsid w:val="003B2C4E"/>
    <w:rsid w:val="003C0375"/>
    <w:rsid w:val="003D37D8"/>
    <w:rsid w:val="003E3D6E"/>
    <w:rsid w:val="003E56A3"/>
    <w:rsid w:val="003E5DEA"/>
    <w:rsid w:val="004218D3"/>
    <w:rsid w:val="00423B48"/>
    <w:rsid w:val="004244DF"/>
    <w:rsid w:val="00426133"/>
    <w:rsid w:val="0043152A"/>
    <w:rsid w:val="004358AB"/>
    <w:rsid w:val="00455E4A"/>
    <w:rsid w:val="00471492"/>
    <w:rsid w:val="004A1432"/>
    <w:rsid w:val="004A70F7"/>
    <w:rsid w:val="004B077A"/>
    <w:rsid w:val="004B276E"/>
    <w:rsid w:val="004C3DF4"/>
    <w:rsid w:val="004D192B"/>
    <w:rsid w:val="004F0AF9"/>
    <w:rsid w:val="005035CF"/>
    <w:rsid w:val="00517707"/>
    <w:rsid w:val="0052123D"/>
    <w:rsid w:val="005255E5"/>
    <w:rsid w:val="005268B4"/>
    <w:rsid w:val="005A5532"/>
    <w:rsid w:val="005A7831"/>
    <w:rsid w:val="005B0ECC"/>
    <w:rsid w:val="005B2AB9"/>
    <w:rsid w:val="005E7636"/>
    <w:rsid w:val="005F123B"/>
    <w:rsid w:val="005F3802"/>
    <w:rsid w:val="006502CA"/>
    <w:rsid w:val="00693E85"/>
    <w:rsid w:val="0069403C"/>
    <w:rsid w:val="00697CD8"/>
    <w:rsid w:val="00697E45"/>
    <w:rsid w:val="006A1ECD"/>
    <w:rsid w:val="006A5F12"/>
    <w:rsid w:val="006B0AFA"/>
    <w:rsid w:val="006D01C9"/>
    <w:rsid w:val="00704E20"/>
    <w:rsid w:val="00715BDA"/>
    <w:rsid w:val="00731C07"/>
    <w:rsid w:val="00741402"/>
    <w:rsid w:val="00745A61"/>
    <w:rsid w:val="00746742"/>
    <w:rsid w:val="00746FC4"/>
    <w:rsid w:val="0075297D"/>
    <w:rsid w:val="00755B1D"/>
    <w:rsid w:val="00765FFB"/>
    <w:rsid w:val="00785F05"/>
    <w:rsid w:val="0078600A"/>
    <w:rsid w:val="007B19A1"/>
    <w:rsid w:val="007B462D"/>
    <w:rsid w:val="007C7ABE"/>
    <w:rsid w:val="007F3263"/>
    <w:rsid w:val="007F6C9F"/>
    <w:rsid w:val="008070D9"/>
    <w:rsid w:val="00810BB4"/>
    <w:rsid w:val="00846B1B"/>
    <w:rsid w:val="008573D5"/>
    <w:rsid w:val="00860195"/>
    <w:rsid w:val="00880E4F"/>
    <w:rsid w:val="008A3CA0"/>
    <w:rsid w:val="008B2DBD"/>
    <w:rsid w:val="008B7726"/>
    <w:rsid w:val="008B776A"/>
    <w:rsid w:val="008D396D"/>
    <w:rsid w:val="008F2195"/>
    <w:rsid w:val="008F42D8"/>
    <w:rsid w:val="00935DB1"/>
    <w:rsid w:val="00951CF0"/>
    <w:rsid w:val="009569A3"/>
    <w:rsid w:val="009655B0"/>
    <w:rsid w:val="009710C4"/>
    <w:rsid w:val="00991066"/>
    <w:rsid w:val="009A0899"/>
    <w:rsid w:val="009A4F8D"/>
    <w:rsid w:val="00A05569"/>
    <w:rsid w:val="00A13D49"/>
    <w:rsid w:val="00A175A0"/>
    <w:rsid w:val="00A200A8"/>
    <w:rsid w:val="00A242BB"/>
    <w:rsid w:val="00A27DFA"/>
    <w:rsid w:val="00A30793"/>
    <w:rsid w:val="00A3289B"/>
    <w:rsid w:val="00A37B7D"/>
    <w:rsid w:val="00A40CBC"/>
    <w:rsid w:val="00A447E6"/>
    <w:rsid w:val="00A53DCC"/>
    <w:rsid w:val="00A56BBC"/>
    <w:rsid w:val="00A815FC"/>
    <w:rsid w:val="00A85C65"/>
    <w:rsid w:val="00A86094"/>
    <w:rsid w:val="00AA0B0C"/>
    <w:rsid w:val="00AA4B32"/>
    <w:rsid w:val="00AC4A0C"/>
    <w:rsid w:val="00AD3015"/>
    <w:rsid w:val="00AD78C1"/>
    <w:rsid w:val="00AF5C53"/>
    <w:rsid w:val="00B10DB9"/>
    <w:rsid w:val="00B110E3"/>
    <w:rsid w:val="00B33B87"/>
    <w:rsid w:val="00B37295"/>
    <w:rsid w:val="00B5088D"/>
    <w:rsid w:val="00B509A4"/>
    <w:rsid w:val="00B5710A"/>
    <w:rsid w:val="00B61CDB"/>
    <w:rsid w:val="00B643C2"/>
    <w:rsid w:val="00B72428"/>
    <w:rsid w:val="00B77B69"/>
    <w:rsid w:val="00B81724"/>
    <w:rsid w:val="00B85C37"/>
    <w:rsid w:val="00BB777A"/>
    <w:rsid w:val="00BC13D7"/>
    <w:rsid w:val="00BC5279"/>
    <w:rsid w:val="00BF1FE2"/>
    <w:rsid w:val="00C13FD2"/>
    <w:rsid w:val="00C51650"/>
    <w:rsid w:val="00C524FD"/>
    <w:rsid w:val="00C61EA8"/>
    <w:rsid w:val="00C84715"/>
    <w:rsid w:val="00C91F12"/>
    <w:rsid w:val="00C93556"/>
    <w:rsid w:val="00CC7F46"/>
    <w:rsid w:val="00CD18DD"/>
    <w:rsid w:val="00CE1B09"/>
    <w:rsid w:val="00CF7426"/>
    <w:rsid w:val="00CF7A9E"/>
    <w:rsid w:val="00D31D50"/>
    <w:rsid w:val="00D50EED"/>
    <w:rsid w:val="00D56A27"/>
    <w:rsid w:val="00D62134"/>
    <w:rsid w:val="00D96FC0"/>
    <w:rsid w:val="00DB53F9"/>
    <w:rsid w:val="00DE25C1"/>
    <w:rsid w:val="00DF66AD"/>
    <w:rsid w:val="00E04D7F"/>
    <w:rsid w:val="00E15199"/>
    <w:rsid w:val="00E26DEA"/>
    <w:rsid w:val="00E31A09"/>
    <w:rsid w:val="00E57558"/>
    <w:rsid w:val="00E838DC"/>
    <w:rsid w:val="00E92AC4"/>
    <w:rsid w:val="00E93ABA"/>
    <w:rsid w:val="00EB22D5"/>
    <w:rsid w:val="00EB7B12"/>
    <w:rsid w:val="00EC28D2"/>
    <w:rsid w:val="00EC61F0"/>
    <w:rsid w:val="00F34918"/>
    <w:rsid w:val="00F60B7E"/>
    <w:rsid w:val="00F746D8"/>
    <w:rsid w:val="00F81581"/>
    <w:rsid w:val="00F837DC"/>
    <w:rsid w:val="00F9124B"/>
    <w:rsid w:val="00FE4CAF"/>
    <w:rsid w:val="025224ED"/>
    <w:rsid w:val="04001C95"/>
    <w:rsid w:val="04143B06"/>
    <w:rsid w:val="080407CA"/>
    <w:rsid w:val="095F1821"/>
    <w:rsid w:val="09955AAF"/>
    <w:rsid w:val="0B8160C8"/>
    <w:rsid w:val="0C6830A4"/>
    <w:rsid w:val="0E4159E3"/>
    <w:rsid w:val="0F7E2611"/>
    <w:rsid w:val="120C1E2F"/>
    <w:rsid w:val="13265087"/>
    <w:rsid w:val="14274D87"/>
    <w:rsid w:val="15263F84"/>
    <w:rsid w:val="15F264FE"/>
    <w:rsid w:val="16D30B04"/>
    <w:rsid w:val="16E951FF"/>
    <w:rsid w:val="17574A88"/>
    <w:rsid w:val="17BF7ABA"/>
    <w:rsid w:val="187204EE"/>
    <w:rsid w:val="18B4026A"/>
    <w:rsid w:val="18EB5C39"/>
    <w:rsid w:val="1908783D"/>
    <w:rsid w:val="19810E49"/>
    <w:rsid w:val="1A24361A"/>
    <w:rsid w:val="1B727809"/>
    <w:rsid w:val="1FE75EFB"/>
    <w:rsid w:val="231D0D5B"/>
    <w:rsid w:val="24234CBF"/>
    <w:rsid w:val="24903351"/>
    <w:rsid w:val="27D5172C"/>
    <w:rsid w:val="285031D0"/>
    <w:rsid w:val="28AC47FF"/>
    <w:rsid w:val="2A6A4F48"/>
    <w:rsid w:val="2A8050AD"/>
    <w:rsid w:val="2B6959CA"/>
    <w:rsid w:val="2C6B1561"/>
    <w:rsid w:val="2FE85ECD"/>
    <w:rsid w:val="300373ED"/>
    <w:rsid w:val="31B35004"/>
    <w:rsid w:val="334705F7"/>
    <w:rsid w:val="33621B91"/>
    <w:rsid w:val="38B75B73"/>
    <w:rsid w:val="39882818"/>
    <w:rsid w:val="3A3D3716"/>
    <w:rsid w:val="3BFC2917"/>
    <w:rsid w:val="3EB018F0"/>
    <w:rsid w:val="43C4365F"/>
    <w:rsid w:val="43FD69FB"/>
    <w:rsid w:val="4491620A"/>
    <w:rsid w:val="4B27224E"/>
    <w:rsid w:val="4CA14097"/>
    <w:rsid w:val="52B81C06"/>
    <w:rsid w:val="533B3115"/>
    <w:rsid w:val="565E5C0A"/>
    <w:rsid w:val="58B133D7"/>
    <w:rsid w:val="59714934"/>
    <w:rsid w:val="59DF59C0"/>
    <w:rsid w:val="5B003ED7"/>
    <w:rsid w:val="60245296"/>
    <w:rsid w:val="6040690B"/>
    <w:rsid w:val="60D649EA"/>
    <w:rsid w:val="60D94959"/>
    <w:rsid w:val="62612E49"/>
    <w:rsid w:val="654E00D0"/>
    <w:rsid w:val="674E252D"/>
    <w:rsid w:val="6DBB7DE5"/>
    <w:rsid w:val="6FD055CB"/>
    <w:rsid w:val="70FE50FA"/>
    <w:rsid w:val="73635879"/>
    <w:rsid w:val="760F44A4"/>
    <w:rsid w:val="77B462C0"/>
    <w:rsid w:val="7AE97DF9"/>
    <w:rsid w:val="7B5A0B42"/>
    <w:rsid w:val="7DEF3FF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annotation text"/>
    <w:basedOn w:val="1"/>
    <w:link w:val="19"/>
    <w:semiHidden/>
    <w:qFormat/>
    <w:uiPriority w:val="0"/>
    <w:pPr>
      <w:widowControl w:val="0"/>
      <w:adjustRightInd/>
      <w:snapToGrid/>
      <w:spacing w:after="0"/>
    </w:pPr>
    <w:rPr>
      <w:rFonts w:ascii="Times New Roman" w:hAnsi="Times New Roman" w:eastAsia="宋体" w:cs="Times New Roman"/>
      <w:kern w:val="2"/>
      <w:sz w:val="21"/>
      <w:szCs w:val="24"/>
    </w:rPr>
  </w:style>
  <w:style w:type="paragraph" w:styleId="3">
    <w:name w:val="Body Text"/>
    <w:basedOn w:val="1"/>
    <w:link w:val="17"/>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4">
    <w:name w:val="Balloon Text"/>
    <w:basedOn w:val="1"/>
    <w:link w:val="16"/>
    <w:unhideWhenUsed/>
    <w:qFormat/>
    <w:uiPriority w:val="99"/>
    <w:pPr>
      <w:spacing w:after="0"/>
    </w:pPr>
    <w:rPr>
      <w:sz w:val="18"/>
      <w:szCs w:val="18"/>
    </w:rPr>
  </w:style>
  <w:style w:type="paragraph" w:styleId="5">
    <w:name w:val="footer"/>
    <w:basedOn w:val="1"/>
    <w:link w:val="20"/>
    <w:unhideWhenUsed/>
    <w:qFormat/>
    <w:uiPriority w:val="99"/>
    <w:pPr>
      <w:tabs>
        <w:tab w:val="center" w:pos="4153"/>
        <w:tab w:val="right" w:pos="8306"/>
      </w:tabs>
    </w:pPr>
    <w:rPr>
      <w:sz w:val="18"/>
      <w:szCs w:val="18"/>
    </w:rPr>
  </w:style>
  <w:style w:type="paragraph" w:styleId="6">
    <w:name w:val="header"/>
    <w:basedOn w:val="1"/>
    <w:link w:val="21"/>
    <w:unhideWhenUsed/>
    <w:qFormat/>
    <w:uiPriority w:val="99"/>
    <w:pPr>
      <w:pBdr>
        <w:bottom w:val="single" w:color="auto" w:sz="6" w:space="1"/>
      </w:pBdr>
      <w:tabs>
        <w:tab w:val="center" w:pos="4153"/>
        <w:tab w:val="right" w:pos="8306"/>
      </w:tabs>
      <w:jc w:val="center"/>
    </w:pPr>
    <w:rPr>
      <w:sz w:val="18"/>
      <w:szCs w:val="18"/>
    </w:rPr>
  </w:style>
  <w:style w:type="paragraph" w:styleId="7">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8">
    <w:name w:val="annotation subject"/>
    <w:basedOn w:val="2"/>
    <w:next w:val="2"/>
    <w:link w:val="18"/>
    <w:unhideWhenUsed/>
    <w:qFormat/>
    <w:uiPriority w:val="99"/>
    <w:pPr>
      <w:widowControl/>
      <w:adjustRightInd w:val="0"/>
      <w:snapToGrid w:val="0"/>
      <w:spacing w:after="200"/>
    </w:pPr>
    <w:rPr>
      <w:rFonts w:ascii="Tahoma" w:hAnsi="Tahoma" w:eastAsia="微软雅黑" w:cs="Times New Roman"/>
      <w:b/>
      <w:bCs/>
      <w:kern w:val="0"/>
      <w:sz w:val="22"/>
      <w:szCs w:val="22"/>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basedOn w:val="11"/>
    <w:qFormat/>
    <w:uiPriority w:val="20"/>
    <w:rPr>
      <w:i/>
    </w:rPr>
  </w:style>
  <w:style w:type="character" w:styleId="13">
    <w:name w:val="Hyperlink"/>
    <w:basedOn w:val="11"/>
    <w:unhideWhenUsed/>
    <w:qFormat/>
    <w:uiPriority w:val="99"/>
    <w:rPr>
      <w:color w:val="0000FF"/>
      <w:u w:val="single"/>
    </w:rPr>
  </w:style>
  <w:style w:type="character" w:styleId="14">
    <w:name w:val="annotation reference"/>
    <w:basedOn w:val="11"/>
    <w:semiHidden/>
    <w:qFormat/>
    <w:uiPriority w:val="0"/>
    <w:rPr>
      <w:sz w:val="21"/>
      <w:szCs w:val="21"/>
    </w:rPr>
  </w:style>
  <w:style w:type="character" w:customStyle="1" w:styleId="15">
    <w:name w:val="_Style 11"/>
    <w:basedOn w:val="11"/>
    <w:qFormat/>
    <w:uiPriority w:val="21"/>
    <w:rPr>
      <w:b/>
      <w:bCs/>
      <w:i/>
      <w:iCs/>
      <w:color w:val="4F81BD"/>
    </w:rPr>
  </w:style>
  <w:style w:type="character" w:customStyle="1" w:styleId="16">
    <w:name w:val="批注框文本 Char"/>
    <w:basedOn w:val="11"/>
    <w:link w:val="4"/>
    <w:semiHidden/>
    <w:qFormat/>
    <w:uiPriority w:val="99"/>
    <w:rPr>
      <w:rFonts w:ascii="Tahoma" w:hAnsi="Tahoma"/>
      <w:sz w:val="18"/>
      <w:szCs w:val="18"/>
    </w:rPr>
  </w:style>
  <w:style w:type="character" w:customStyle="1" w:styleId="17">
    <w:name w:val="正文文本 Char"/>
    <w:basedOn w:val="11"/>
    <w:link w:val="3"/>
    <w:qFormat/>
    <w:uiPriority w:val="0"/>
    <w:rPr>
      <w:rFonts w:ascii="Times New Roman" w:hAnsi="Times New Roman" w:eastAsia="宋体" w:cs="Times New Roman"/>
      <w:kern w:val="2"/>
      <w:sz w:val="21"/>
      <w:szCs w:val="24"/>
    </w:rPr>
  </w:style>
  <w:style w:type="character" w:customStyle="1" w:styleId="18">
    <w:name w:val="批注主题 Char"/>
    <w:basedOn w:val="19"/>
    <w:link w:val="8"/>
    <w:semiHidden/>
    <w:qFormat/>
    <w:uiPriority w:val="99"/>
    <w:rPr>
      <w:rFonts w:ascii="Tahoma" w:hAnsi="Tahoma" w:eastAsia="微软雅黑" w:cs="Times New Roman"/>
      <w:b/>
      <w:bCs/>
      <w:sz w:val="22"/>
      <w:szCs w:val="22"/>
    </w:rPr>
  </w:style>
  <w:style w:type="character" w:customStyle="1" w:styleId="19">
    <w:name w:val="批注文字 Char"/>
    <w:basedOn w:val="11"/>
    <w:link w:val="2"/>
    <w:semiHidden/>
    <w:qFormat/>
    <w:uiPriority w:val="0"/>
    <w:rPr>
      <w:rFonts w:ascii="Times New Roman" w:hAnsi="Times New Roman" w:eastAsia="宋体" w:cs="Times New Roman"/>
      <w:kern w:val="2"/>
      <w:sz w:val="21"/>
      <w:szCs w:val="24"/>
    </w:rPr>
  </w:style>
  <w:style w:type="character" w:customStyle="1" w:styleId="20">
    <w:name w:val="页脚 Char"/>
    <w:basedOn w:val="11"/>
    <w:link w:val="5"/>
    <w:qFormat/>
    <w:uiPriority w:val="99"/>
    <w:rPr>
      <w:rFonts w:ascii="Tahoma" w:hAnsi="Tahoma"/>
      <w:sz w:val="18"/>
      <w:szCs w:val="18"/>
    </w:rPr>
  </w:style>
  <w:style w:type="character" w:customStyle="1" w:styleId="21">
    <w:name w:val="页眉 Char"/>
    <w:basedOn w:val="11"/>
    <w:link w:val="6"/>
    <w:qFormat/>
    <w:uiPriority w:val="99"/>
    <w:rPr>
      <w:rFonts w:ascii="Tahoma" w:hAnsi="Tahoma"/>
      <w:sz w:val="18"/>
      <w:szCs w:val="18"/>
    </w:rPr>
  </w:style>
  <w:style w:type="paragraph" w:customStyle="1" w:styleId="22">
    <w:name w:val="列出段落1"/>
    <w:basedOn w:val="1"/>
    <w:qFormat/>
    <w:uiPriority w:val="34"/>
    <w:pPr>
      <w:widowControl w:val="0"/>
      <w:adjustRightInd/>
      <w:snapToGrid/>
      <w:spacing w:after="0"/>
      <w:ind w:firstLine="420" w:firstLineChars="200"/>
      <w:jc w:val="both"/>
    </w:pPr>
    <w:rPr>
      <w:rFonts w:ascii="Calibri" w:hAnsi="Calibri" w:eastAsia="宋体"/>
      <w:kern w:val="2"/>
      <w:sz w:val="21"/>
    </w:rPr>
  </w:style>
  <w:style w:type="paragraph" w:customStyle="1" w:styleId="23">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宋体" w:cs="Times New Roman"/>
      <w:sz w:val="15"/>
      <w:szCs w:val="20"/>
    </w:rPr>
  </w:style>
  <w:style w:type="paragraph" w:styleId="24">
    <w:name w:val="List Paragraph"/>
    <w:basedOn w:val="1"/>
    <w:unhideWhenUsed/>
    <w:qFormat/>
    <w:uiPriority w:val="34"/>
    <w:pPr>
      <w:ind w:firstLine="420" w:firstLineChars="200"/>
    </w:pPr>
  </w:style>
  <w:style w:type="paragraph" w:customStyle="1" w:styleId="25">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 w:type="paragraph" w:customStyle="1" w:styleId="26">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3553"/>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2751</Words>
  <Characters>3728</Characters>
  <Lines>28</Lines>
  <Paragraphs>7</Paragraphs>
  <TotalTime>5</TotalTime>
  <ScaleCrop>false</ScaleCrop>
  <LinksUpToDate>false</LinksUpToDate>
  <CharactersWithSpaces>3808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2019-08-08T01:39:00Z</dcterms:created>
  <dc:creator>Administrator</dc:creator>
  <cp:lastModifiedBy>world</cp:lastModifiedBy>
  <cp:lastPrinted>2019-07-11T06:22:00Z</cp:lastPrinted>
  <dcterms:modified xsi:type="dcterms:W3CDTF">2021-04-07T12:02:47Z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F6FE36A10CDE4ECFBB13B28B05DACCD5</vt:lpwstr>
  </property>
</Properties>
</file>