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51DCA" w14:textId="77777777" w:rsidR="00D30153" w:rsidRPr="007C5350" w:rsidRDefault="00905380">
      <w:pPr>
        <w:pStyle w:val="a5"/>
        <w:spacing w:before="0"/>
        <w:jc w:val="both"/>
        <w:rPr>
          <w:rFonts w:asciiTheme="majorEastAsia" w:eastAsiaTheme="majorEastAsia" w:hAnsiTheme="majorEastAsia" w:cs="Songti SC Regular" w:hint="default"/>
          <w:color w:val="333333"/>
          <w:sz w:val="32"/>
          <w:szCs w:val="32"/>
        </w:rPr>
      </w:pPr>
      <w:r w:rsidRPr="007C5350">
        <w:rPr>
          <w:rFonts w:asciiTheme="majorEastAsia" w:eastAsiaTheme="majorEastAsia" w:hAnsiTheme="majorEastAsia"/>
          <w:color w:val="333333"/>
          <w:sz w:val="32"/>
          <w:szCs w:val="32"/>
        </w:rPr>
        <w:t>关互联网行业薪酬变化的数据分析文章</w:t>
      </w:r>
    </w:p>
    <w:p w14:paraId="3CC48B13" w14:textId="77777777" w:rsidR="00D30153" w:rsidRDefault="00D30153">
      <w:pPr>
        <w:pStyle w:val="a5"/>
        <w:tabs>
          <w:tab w:val="left" w:pos="1440"/>
          <w:tab w:val="left" w:pos="2880"/>
          <w:tab w:val="left" w:pos="4320"/>
          <w:tab w:val="left" w:pos="5760"/>
          <w:tab w:val="left" w:pos="7200"/>
          <w:tab w:val="left" w:pos="8640"/>
        </w:tabs>
        <w:suppressAutoHyphens/>
        <w:spacing w:before="200" w:after="120" w:line="192" w:lineRule="auto"/>
        <w:ind w:left="360"/>
        <w:outlineLvl w:val="0"/>
        <w:rPr>
          <w:rFonts w:ascii="Heiti SC Light" w:eastAsia="Heiti SC Light" w:hAnsi="Heiti SC Light" w:cs="Heiti SC Light" w:hint="default"/>
          <w:color w:val="404040"/>
          <w:sz w:val="32"/>
          <w:szCs w:val="32"/>
          <w:lang w:val="en-US" w:eastAsia="zh-TW"/>
          <w14:textOutline w14:w="12700" w14:cap="flat" w14:cmpd="sng" w14:algn="ctr">
            <w14:noFill/>
            <w14:prstDash w14:val="solid"/>
            <w14:miter w14:lim="400000"/>
          </w14:textOutline>
        </w:rPr>
      </w:pPr>
    </w:p>
    <w:p w14:paraId="5B1836AF" w14:textId="77777777" w:rsidR="00D30153" w:rsidRPr="007C5350" w:rsidRDefault="00905380" w:rsidP="007C5350">
      <w:pPr>
        <w:pStyle w:val="a5"/>
        <w:tabs>
          <w:tab w:val="left" w:pos="1440"/>
          <w:tab w:val="left" w:pos="2880"/>
          <w:tab w:val="left" w:pos="4320"/>
          <w:tab w:val="left" w:pos="5760"/>
          <w:tab w:val="left" w:pos="7200"/>
          <w:tab w:val="left" w:pos="8640"/>
        </w:tabs>
        <w:suppressAutoHyphens/>
        <w:spacing w:before="200" w:after="120" w:line="192" w:lineRule="auto"/>
        <w:outlineLvl w:val="0"/>
        <w:rPr>
          <w:rFonts w:asciiTheme="minorEastAsia" w:eastAsiaTheme="minorEastAsia" w:hAnsiTheme="minorEastAsia" w:cs="Songti SC Bold" w:hint="default"/>
          <w:b/>
          <w:bCs/>
          <w:color w:val="404040"/>
          <w:sz w:val="21"/>
          <w:szCs w:val="21"/>
          <w:vertAlign w:val="superscript"/>
          <w:lang w:val="en-US"/>
          <w14:textOutline w14:w="12700" w14:cap="flat" w14:cmpd="sng" w14:algn="ctr">
            <w14:noFill/>
            <w14:prstDash w14:val="solid"/>
            <w14:miter w14:lim="400000"/>
          </w14:textOutline>
        </w:rPr>
      </w:pPr>
      <w:r w:rsidRPr="007C5350">
        <w:rPr>
          <w:rFonts w:asciiTheme="minorEastAsia" w:eastAsiaTheme="minorEastAsia" w:hAnsiTheme="minorEastAsia"/>
          <w:b/>
          <w:bCs/>
          <w:color w:val="404040"/>
          <w:sz w:val="21"/>
          <w:szCs w:val="21"/>
          <w:lang w:val="en-US"/>
          <w14:textOutline w14:w="12700" w14:cap="flat" w14:cmpd="sng" w14:algn="ctr">
            <w14:noFill/>
            <w14:prstDash w14:val="solid"/>
            <w14:miter w14:lim="400000"/>
          </w14:textOutline>
        </w:rPr>
        <w:t>陈施源</w:t>
      </w:r>
      <w:r w:rsidRPr="007C5350">
        <w:rPr>
          <w:rFonts w:asciiTheme="minorEastAsia" w:eastAsiaTheme="minorEastAsia" w:hAnsiTheme="minorEastAsia"/>
          <w:b/>
          <w:bCs/>
          <w:color w:val="404040"/>
          <w:sz w:val="21"/>
          <w:szCs w:val="21"/>
          <w:vertAlign w:val="superscript"/>
          <w14:textOutline w14:w="12700" w14:cap="flat" w14:cmpd="sng" w14:algn="ctr">
            <w14:noFill/>
            <w14:prstDash w14:val="solid"/>
            <w14:miter w14:lim="400000"/>
          </w14:textOutline>
        </w:rPr>
        <w:t>1</w:t>
      </w:r>
    </w:p>
    <w:p w14:paraId="4AF6CF29" w14:textId="77777777" w:rsidR="00D30153" w:rsidRPr="007C5350" w:rsidRDefault="00D30153">
      <w:pPr>
        <w:pStyle w:val="a5"/>
        <w:spacing w:before="0"/>
        <w:jc w:val="both"/>
        <w:rPr>
          <w:rFonts w:ascii="仿宋" w:eastAsia="仿宋" w:hAnsi="仿宋" w:cs="Songti SC Regular" w:hint="default"/>
          <w:color w:val="333333"/>
          <w:sz w:val="18"/>
          <w:szCs w:val="18"/>
          <w:vertAlign w:val="superscript"/>
        </w:rPr>
      </w:pPr>
    </w:p>
    <w:p w14:paraId="79762DD6" w14:textId="77777777" w:rsidR="00D30153" w:rsidRPr="007C5350" w:rsidRDefault="00905380">
      <w:pPr>
        <w:pStyle w:val="a5"/>
        <w:spacing w:before="0"/>
        <w:jc w:val="both"/>
        <w:rPr>
          <w:rFonts w:ascii="仿宋" w:eastAsia="仿宋" w:hAnsi="仿宋" w:cs="Songti SC Regular" w:hint="default"/>
          <w:color w:val="333333"/>
          <w:sz w:val="18"/>
          <w:szCs w:val="18"/>
        </w:rPr>
      </w:pPr>
      <w:r w:rsidRPr="007C5350">
        <w:rPr>
          <w:rFonts w:ascii="仿宋" w:eastAsia="仿宋" w:hAnsi="仿宋"/>
          <w:color w:val="333333"/>
          <w:sz w:val="18"/>
          <w:szCs w:val="18"/>
        </w:rPr>
        <w:t>大连理工大学</w:t>
      </w:r>
      <w:r w:rsidRPr="007C5350">
        <w:rPr>
          <w:rFonts w:ascii="仿宋" w:eastAsia="仿宋" w:hAnsi="仿宋"/>
          <w:color w:val="333333"/>
          <w:sz w:val="18"/>
          <w:szCs w:val="18"/>
        </w:rPr>
        <w:t xml:space="preserve"> </w:t>
      </w:r>
      <w:r w:rsidRPr="007C5350">
        <w:rPr>
          <w:rFonts w:ascii="仿宋" w:eastAsia="仿宋" w:hAnsi="仿宋"/>
          <w:color w:val="333333"/>
          <w:sz w:val="18"/>
          <w:szCs w:val="18"/>
        </w:rPr>
        <w:t>辽宁省</w:t>
      </w:r>
      <w:r w:rsidRPr="007C5350">
        <w:rPr>
          <w:rFonts w:ascii="仿宋" w:eastAsia="仿宋" w:hAnsi="仿宋"/>
          <w:color w:val="333333"/>
          <w:sz w:val="18"/>
          <w:szCs w:val="18"/>
        </w:rPr>
        <w:t xml:space="preserve"> </w:t>
      </w:r>
      <w:r w:rsidRPr="007C5350">
        <w:rPr>
          <w:rFonts w:ascii="仿宋" w:eastAsia="仿宋" w:hAnsi="仿宋"/>
          <w:color w:val="333333"/>
          <w:sz w:val="18"/>
          <w:szCs w:val="18"/>
        </w:rPr>
        <w:t>大连市</w:t>
      </w:r>
      <w:r w:rsidRPr="007C5350">
        <w:rPr>
          <w:rFonts w:ascii="仿宋" w:eastAsia="仿宋" w:hAnsi="仿宋"/>
          <w:color w:val="333333"/>
          <w:sz w:val="18"/>
          <w:szCs w:val="18"/>
        </w:rPr>
        <w:t xml:space="preserve"> </w:t>
      </w:r>
      <w:r w:rsidRPr="007C5350">
        <w:rPr>
          <w:rFonts w:ascii="仿宋" w:eastAsia="仿宋" w:hAnsi="仿宋"/>
          <w:color w:val="333333"/>
          <w:sz w:val="18"/>
          <w:szCs w:val="18"/>
          <w:lang w:val="de-DE"/>
        </w:rPr>
        <w:t>116000</w:t>
      </w:r>
    </w:p>
    <w:p w14:paraId="45C951B2" w14:textId="77777777" w:rsidR="00D30153" w:rsidRPr="007C5350" w:rsidRDefault="00905380">
      <w:pPr>
        <w:pStyle w:val="a5"/>
        <w:spacing w:before="0"/>
        <w:jc w:val="both"/>
        <w:rPr>
          <w:rFonts w:ascii="仿宋" w:eastAsia="仿宋" w:hAnsi="仿宋" w:cs="Songti SC Regular" w:hint="default"/>
          <w:color w:val="333333"/>
          <w:sz w:val="18"/>
          <w:szCs w:val="18"/>
        </w:rPr>
      </w:pPr>
      <w:r w:rsidRPr="007C5350">
        <w:rPr>
          <w:rFonts w:ascii="仿宋" w:eastAsia="仿宋" w:hAnsi="仿宋"/>
          <w:color w:val="333333"/>
          <w:sz w:val="18"/>
          <w:szCs w:val="18"/>
          <w:lang w:val="en-US"/>
        </w:rPr>
        <w:t>chen_shiyuan_work@163.com</w:t>
      </w:r>
    </w:p>
    <w:p w14:paraId="574FE351" w14:textId="77777777" w:rsidR="00D30153" w:rsidRDefault="00D30153">
      <w:pPr>
        <w:pStyle w:val="a5"/>
        <w:spacing w:before="0"/>
        <w:jc w:val="both"/>
        <w:rPr>
          <w:rFonts w:ascii="Songti SC Regular" w:eastAsia="Songti SC Regular" w:hAnsi="Songti SC Regular" w:cs="Songti SC Regular" w:hint="default"/>
          <w:color w:val="333333"/>
          <w:sz w:val="18"/>
          <w:szCs w:val="18"/>
        </w:rPr>
      </w:pPr>
    </w:p>
    <w:p w14:paraId="2ED08979" w14:textId="77777777" w:rsidR="00D30153" w:rsidRPr="007C5350" w:rsidRDefault="00905380">
      <w:pPr>
        <w:pStyle w:val="a5"/>
        <w:spacing w:before="0"/>
        <w:jc w:val="both"/>
        <w:rPr>
          <w:rFonts w:asciiTheme="majorEastAsia" w:eastAsiaTheme="majorEastAsia" w:hAnsiTheme="majorEastAsia" w:cs="Heiti SC Medium" w:hint="default"/>
          <w:b/>
          <w:bCs/>
          <w:color w:val="333333"/>
          <w:sz w:val="18"/>
          <w:szCs w:val="18"/>
        </w:rPr>
      </w:pPr>
      <w:r w:rsidRPr="007C5350">
        <w:rPr>
          <w:rFonts w:asciiTheme="majorEastAsia" w:eastAsiaTheme="majorEastAsia" w:hAnsiTheme="majorEastAsia"/>
          <w:b/>
          <w:bCs/>
          <w:color w:val="333333"/>
          <w:sz w:val="18"/>
          <w:szCs w:val="18"/>
        </w:rPr>
        <w:t>摘要</w:t>
      </w:r>
    </w:p>
    <w:p w14:paraId="1136A1C7" w14:textId="2ACEF319" w:rsidR="00D30153" w:rsidRPr="007C5350" w:rsidRDefault="00905380" w:rsidP="007C5350">
      <w:pPr>
        <w:pStyle w:val="a5"/>
        <w:spacing w:before="0"/>
        <w:ind w:firstLineChars="200" w:firstLine="360"/>
        <w:jc w:val="both"/>
        <w:rPr>
          <w:rFonts w:ascii="仿宋" w:eastAsia="仿宋" w:hAnsi="仿宋" w:cs="Songti SC Regular" w:hint="default"/>
          <w:color w:val="333333"/>
          <w:sz w:val="18"/>
          <w:szCs w:val="18"/>
        </w:rPr>
      </w:pPr>
      <w:r w:rsidRPr="007C5350">
        <w:rPr>
          <w:rFonts w:ascii="仿宋" w:eastAsia="仿宋" w:hAnsi="仿宋"/>
          <w:color w:val="333333"/>
          <w:sz w:val="18"/>
          <w:szCs w:val="18"/>
        </w:rPr>
        <w:t>最近几年互联网行业的迅速发展带来了大量的人才需求，而薪资是人才在选择工作岗位时考虑的重要因素。对互联网行业薪资变化的调查将很有利于我们感受近年来互联网行业发展的态势。智联网、程序员客栈、等求职网站和国研网等官方数据统计网站几乎每年都会统计一次当年的网站求职数据并进行分析。文章本文以数据形式分析近几年传统行业和互联网行业的薪资现状、互联网行业整体和局部的薪资变化情况，具体岗位的薪资比较、不同就业年限的一般薪资范围、互联网行业从业者的学历变化对薪资的影响等内容。以期待较为全面的展示互联网行业薪资变化的方向、趋势</w:t>
      </w:r>
      <w:r w:rsidRPr="007C5350">
        <w:rPr>
          <w:rFonts w:ascii="仿宋" w:eastAsia="仿宋" w:hAnsi="仿宋"/>
          <w:color w:val="333333"/>
          <w:sz w:val="18"/>
          <w:szCs w:val="18"/>
        </w:rPr>
        <w:t>。分析得出互联网行业目前仍属于社会热门行业，薪资始终处于持续上升的状态。整体来说互联网从业者的学历有上升趋势。</w:t>
      </w:r>
    </w:p>
    <w:p w14:paraId="77E91952" w14:textId="77777777" w:rsidR="00D30153" w:rsidRDefault="00D30153">
      <w:pPr>
        <w:pStyle w:val="a5"/>
        <w:spacing w:before="0"/>
        <w:jc w:val="both"/>
        <w:rPr>
          <w:rFonts w:ascii="Songti SC Regular" w:eastAsia="Songti SC Regular" w:hAnsi="Songti SC Regular" w:cs="Songti SC Regular" w:hint="default"/>
          <w:color w:val="333333"/>
          <w:sz w:val="18"/>
          <w:szCs w:val="18"/>
        </w:rPr>
      </w:pPr>
    </w:p>
    <w:p w14:paraId="447D4A50" w14:textId="6BA81020" w:rsidR="00D30153" w:rsidRDefault="00905380">
      <w:pPr>
        <w:pStyle w:val="a5"/>
        <w:spacing w:before="0"/>
        <w:jc w:val="both"/>
        <w:rPr>
          <w:rFonts w:asciiTheme="minorEastAsia" w:eastAsiaTheme="minorEastAsia" w:hAnsiTheme="minorEastAsia" w:hint="default"/>
          <w:color w:val="333333"/>
          <w:sz w:val="18"/>
          <w:szCs w:val="18"/>
        </w:rPr>
      </w:pPr>
      <w:r w:rsidRPr="007C5350">
        <w:rPr>
          <w:rFonts w:asciiTheme="minorEastAsia" w:eastAsiaTheme="minorEastAsia" w:hAnsiTheme="minorEastAsia"/>
          <w:b/>
          <w:bCs/>
          <w:color w:val="333333"/>
          <w:sz w:val="18"/>
          <w:szCs w:val="18"/>
        </w:rPr>
        <w:t>关键词</w:t>
      </w:r>
      <w:r w:rsidRPr="007C5350">
        <w:rPr>
          <w:rFonts w:asciiTheme="minorEastAsia" w:eastAsiaTheme="minorEastAsia" w:hAnsiTheme="minorEastAsia"/>
          <w:color w:val="333333"/>
          <w:sz w:val="18"/>
          <w:szCs w:val="18"/>
        </w:rPr>
        <w:t>：</w:t>
      </w:r>
      <w:r w:rsidRPr="007C5350">
        <w:rPr>
          <w:rFonts w:asciiTheme="minorEastAsia" w:eastAsiaTheme="minorEastAsia" w:hAnsiTheme="minorEastAsia"/>
          <w:color w:val="333333"/>
          <w:sz w:val="18"/>
          <w:szCs w:val="18"/>
        </w:rPr>
        <w:t>互联网行业；薪资；变化；</w:t>
      </w:r>
    </w:p>
    <w:p w14:paraId="297F898C" w14:textId="77777777" w:rsidR="00105EE7" w:rsidRPr="007C5350" w:rsidRDefault="00105EE7">
      <w:pPr>
        <w:pStyle w:val="a5"/>
        <w:spacing w:before="0"/>
        <w:jc w:val="both"/>
        <w:rPr>
          <w:rFonts w:asciiTheme="minorEastAsia" w:eastAsiaTheme="minorEastAsia" w:hAnsiTheme="minorEastAsia" w:cs="Heiti SC Light"/>
          <w:color w:val="333333"/>
          <w:sz w:val="18"/>
          <w:szCs w:val="18"/>
        </w:rPr>
      </w:pPr>
    </w:p>
    <w:p w14:paraId="1598ABB8" w14:textId="77777777" w:rsidR="00D30153" w:rsidRDefault="00D30153">
      <w:pPr>
        <w:pStyle w:val="a5"/>
        <w:spacing w:before="0"/>
        <w:jc w:val="both"/>
        <w:rPr>
          <w:rFonts w:ascii="Heiti SC Medium" w:eastAsia="Heiti SC Medium" w:hAnsi="Heiti SC Medium" w:cs="Heiti SC Medium" w:hint="default"/>
          <w:color w:val="333333"/>
          <w:sz w:val="21"/>
          <w:szCs w:val="21"/>
        </w:rPr>
      </w:pPr>
    </w:p>
    <w:p w14:paraId="1D005E5B" w14:textId="77777777" w:rsidR="00D30153" w:rsidRPr="001B7222" w:rsidRDefault="00905380">
      <w:pPr>
        <w:pStyle w:val="a5"/>
        <w:numPr>
          <w:ilvl w:val="0"/>
          <w:numId w:val="2"/>
        </w:numPr>
        <w:spacing w:before="0"/>
        <w:jc w:val="both"/>
        <w:rPr>
          <w:rFonts w:asciiTheme="majorEastAsia" w:eastAsiaTheme="majorEastAsia" w:hAnsiTheme="majorEastAsia" w:hint="default"/>
          <w:color w:val="333333"/>
          <w:sz w:val="21"/>
          <w:szCs w:val="21"/>
        </w:rPr>
      </w:pPr>
      <w:r w:rsidRPr="001B7222">
        <w:rPr>
          <w:rFonts w:asciiTheme="majorEastAsia" w:eastAsiaTheme="majorEastAsia" w:hAnsiTheme="majorEastAsia"/>
          <w:color w:val="333333"/>
          <w:sz w:val="21"/>
          <w:szCs w:val="21"/>
        </w:rPr>
        <w:t>引言</w:t>
      </w:r>
    </w:p>
    <w:p w14:paraId="3230787D" w14:textId="26C98060" w:rsidR="00D30153" w:rsidRPr="007C5350" w:rsidRDefault="00905380" w:rsidP="00105EE7">
      <w:pPr>
        <w:pStyle w:val="a5"/>
        <w:spacing w:before="0"/>
        <w:ind w:firstLine="344"/>
        <w:jc w:val="both"/>
        <w:rPr>
          <w:rFonts w:asciiTheme="minorEastAsia" w:eastAsiaTheme="minorEastAsia" w:hAnsiTheme="minorEastAsia" w:cs="Songti SC Regular" w:hint="default"/>
          <w:color w:val="333333"/>
          <w:sz w:val="18"/>
          <w:szCs w:val="18"/>
        </w:rPr>
      </w:pPr>
      <w:r w:rsidRPr="007C5350">
        <w:rPr>
          <w:rFonts w:asciiTheme="minorEastAsia" w:eastAsiaTheme="minorEastAsia" w:hAnsiTheme="minorEastAsia"/>
          <w:color w:val="333333"/>
          <w:sz w:val="18"/>
          <w:szCs w:val="18"/>
        </w:rPr>
        <w:t>2015</w:t>
      </w:r>
      <w:r w:rsidRPr="007C5350">
        <w:rPr>
          <w:rFonts w:asciiTheme="minorEastAsia" w:eastAsiaTheme="minorEastAsia" w:hAnsiTheme="minorEastAsia"/>
          <w:color w:val="333333"/>
          <w:sz w:val="18"/>
          <w:szCs w:val="18"/>
        </w:rPr>
        <w:t>年李克强总理签批互联网</w:t>
      </w:r>
      <w:r w:rsidRPr="007C5350">
        <w:rPr>
          <w:rFonts w:asciiTheme="minorEastAsia" w:eastAsiaTheme="minorEastAsia" w:hAnsiTheme="minorEastAsia"/>
          <w:color w:val="333333"/>
          <w:sz w:val="18"/>
          <w:szCs w:val="18"/>
        </w:rPr>
        <w:t>+</w:t>
      </w:r>
      <w:r w:rsidRPr="007C5350">
        <w:rPr>
          <w:rFonts w:asciiTheme="minorEastAsia" w:eastAsiaTheme="minorEastAsia" w:hAnsiTheme="minorEastAsia"/>
          <w:color w:val="333333"/>
          <w:sz w:val="18"/>
          <w:szCs w:val="18"/>
        </w:rPr>
        <w:t>行动计划的消息在网络上引起热议，同时掀起了一阵</w:t>
      </w:r>
      <w:r w:rsidRPr="007C5350">
        <w:rPr>
          <w:rFonts w:asciiTheme="minorEastAsia" w:eastAsiaTheme="minorEastAsia" w:hAnsiTheme="minorEastAsia"/>
          <w:color w:val="333333"/>
          <w:sz w:val="18"/>
          <w:szCs w:val="18"/>
        </w:rPr>
        <w:t>对互联网</w:t>
      </w:r>
      <w:r w:rsidRPr="007C5350">
        <w:rPr>
          <w:rFonts w:asciiTheme="minorEastAsia" w:eastAsiaTheme="minorEastAsia" w:hAnsiTheme="minorEastAsia"/>
          <w:color w:val="333333"/>
          <w:sz w:val="18"/>
          <w:szCs w:val="18"/>
        </w:rPr>
        <w:t>+</w:t>
      </w:r>
      <w:r w:rsidRPr="007C5350">
        <w:rPr>
          <w:rFonts w:asciiTheme="minorEastAsia" w:eastAsiaTheme="minorEastAsia" w:hAnsiTheme="minorEastAsia"/>
          <w:color w:val="333333"/>
          <w:sz w:val="18"/>
          <w:szCs w:val="18"/>
        </w:rPr>
        <w:t>各个专业的投资热潮。互联网行业作为高新技术产业之一，在近些年的快速发展中为社会各界都带来了很大的帮助。互联网</w:t>
      </w:r>
      <w:r w:rsidRPr="007C5350">
        <w:rPr>
          <w:rFonts w:asciiTheme="minorEastAsia" w:eastAsiaTheme="minorEastAsia" w:hAnsiTheme="minorEastAsia"/>
          <w:color w:val="333333"/>
          <w:sz w:val="18"/>
          <w:szCs w:val="18"/>
        </w:rPr>
        <w:t>+</w:t>
      </w:r>
      <w:r w:rsidRPr="007C5350">
        <w:rPr>
          <w:rFonts w:asciiTheme="minorEastAsia" w:eastAsiaTheme="minorEastAsia" w:hAnsiTheme="minorEastAsia"/>
          <w:color w:val="333333"/>
          <w:sz w:val="18"/>
          <w:szCs w:val="18"/>
        </w:rPr>
        <w:t>通信、互联网</w:t>
      </w:r>
      <w:r w:rsidRPr="007C5350">
        <w:rPr>
          <w:rFonts w:asciiTheme="minorEastAsia" w:eastAsiaTheme="minorEastAsia" w:hAnsiTheme="minorEastAsia"/>
          <w:color w:val="333333"/>
          <w:sz w:val="18"/>
          <w:szCs w:val="18"/>
        </w:rPr>
        <w:t>+</w:t>
      </w:r>
      <w:r w:rsidRPr="007C5350">
        <w:rPr>
          <w:rFonts w:asciiTheme="minorEastAsia" w:eastAsiaTheme="minorEastAsia" w:hAnsiTheme="minorEastAsia"/>
          <w:color w:val="333333"/>
          <w:sz w:val="18"/>
          <w:szCs w:val="18"/>
        </w:rPr>
        <w:t>汽车，互联网</w:t>
      </w:r>
      <w:r w:rsidRPr="007C5350">
        <w:rPr>
          <w:rFonts w:asciiTheme="minorEastAsia" w:eastAsiaTheme="minorEastAsia" w:hAnsiTheme="minorEastAsia"/>
          <w:color w:val="333333"/>
          <w:sz w:val="18"/>
          <w:szCs w:val="18"/>
        </w:rPr>
        <w:t>+</w:t>
      </w:r>
      <w:r w:rsidRPr="007C5350">
        <w:rPr>
          <w:rFonts w:asciiTheme="minorEastAsia" w:eastAsiaTheme="minorEastAsia" w:hAnsiTheme="minorEastAsia"/>
          <w:color w:val="333333"/>
          <w:sz w:val="18"/>
          <w:szCs w:val="18"/>
          <w:lang w:val="ja-JP" w:eastAsia="ja-JP"/>
        </w:rPr>
        <w:t>文学</w:t>
      </w:r>
      <w:r w:rsidRPr="007C5350">
        <w:rPr>
          <w:rFonts w:asciiTheme="minorEastAsia" w:eastAsiaTheme="minorEastAsia" w:hAnsiTheme="minorEastAsia"/>
          <w:color w:val="333333"/>
          <w:sz w:val="18"/>
          <w:szCs w:val="18"/>
        </w:rPr>
        <w:t>=</w:t>
      </w:r>
      <w:r w:rsidRPr="007C5350">
        <w:rPr>
          <w:rFonts w:asciiTheme="minorEastAsia" w:eastAsiaTheme="minorEastAsia" w:hAnsiTheme="minorEastAsia"/>
          <w:color w:val="333333"/>
          <w:sz w:val="18"/>
          <w:szCs w:val="18"/>
          <w:lang w:val="zh-TW" w:eastAsia="zh-TW"/>
        </w:rPr>
        <w:t>起点、盛大文学</w:t>
      </w:r>
      <w:r w:rsidRPr="007C5350">
        <w:rPr>
          <w:rFonts w:asciiTheme="minorEastAsia" w:eastAsiaTheme="minorEastAsia" w:hAnsiTheme="minorEastAsia" w:hint="default"/>
          <w:color w:val="333333"/>
          <w:sz w:val="18"/>
          <w:szCs w:val="18"/>
          <w:lang w:val="en-US"/>
        </w:rPr>
        <w:t>…</w:t>
      </w:r>
      <w:r w:rsidRPr="007C5350">
        <w:rPr>
          <w:rFonts w:asciiTheme="minorEastAsia" w:eastAsiaTheme="minorEastAsia" w:hAnsiTheme="minorEastAsia"/>
          <w:color w:val="333333"/>
          <w:sz w:val="18"/>
          <w:szCs w:val="18"/>
        </w:rPr>
        <w:t>互联网行业借着近年来时代发展的浪潮迅速壮大。各种大中小型互联网公司雨后春笋般成长起来。企业的发展带来了大量的人才需求。各企业在对人才的竞争上都付出了大量的精力。</w:t>
      </w:r>
    </w:p>
    <w:p w14:paraId="4C54C8CC" w14:textId="77777777" w:rsidR="00105EE7" w:rsidRPr="00105EE7" w:rsidRDefault="00105EE7">
      <w:pPr>
        <w:pStyle w:val="a5"/>
        <w:spacing w:before="0"/>
        <w:jc w:val="both"/>
        <w:rPr>
          <w:rFonts w:ascii="Songti SC Regular" w:eastAsiaTheme="minorEastAsia" w:hAnsi="Songti SC Regular" w:cs="Songti SC Regular"/>
          <w:color w:val="333333"/>
          <w:sz w:val="18"/>
          <w:szCs w:val="18"/>
        </w:rPr>
      </w:pPr>
    </w:p>
    <w:p w14:paraId="5E342358" w14:textId="77777777" w:rsidR="00D30153" w:rsidRPr="001B7222" w:rsidRDefault="00905380">
      <w:pPr>
        <w:pStyle w:val="a5"/>
        <w:numPr>
          <w:ilvl w:val="0"/>
          <w:numId w:val="2"/>
        </w:numPr>
        <w:spacing w:before="0"/>
        <w:jc w:val="both"/>
        <w:rPr>
          <w:rFonts w:asciiTheme="majorEastAsia" w:eastAsiaTheme="majorEastAsia" w:hAnsiTheme="majorEastAsia" w:hint="default"/>
          <w:color w:val="333333"/>
          <w:sz w:val="21"/>
          <w:szCs w:val="21"/>
        </w:rPr>
      </w:pPr>
      <w:r w:rsidRPr="001B7222">
        <w:rPr>
          <w:rFonts w:asciiTheme="majorEastAsia" w:eastAsiaTheme="majorEastAsia" w:hAnsiTheme="majorEastAsia"/>
          <w:color w:val="333333"/>
          <w:sz w:val="21"/>
          <w:szCs w:val="21"/>
        </w:rPr>
        <w:t>分析方法</w:t>
      </w:r>
    </w:p>
    <w:p w14:paraId="113CC754" w14:textId="1FD3DD07" w:rsidR="00D30153" w:rsidRPr="001B7222" w:rsidRDefault="001B7222">
      <w:pPr>
        <w:pStyle w:val="a5"/>
        <w:spacing w:before="0"/>
        <w:jc w:val="both"/>
        <w:rPr>
          <w:rFonts w:ascii="黑体" w:eastAsia="黑体" w:hAnsi="黑体" w:cs="Kaiti SC Regular" w:hint="default"/>
          <w:color w:val="333333"/>
          <w:sz w:val="18"/>
          <w:szCs w:val="18"/>
        </w:rPr>
      </w:pPr>
      <w:r>
        <w:rPr>
          <w:rFonts w:ascii="黑体" w:eastAsia="黑体" w:hAnsi="黑体"/>
          <w:color w:val="333333"/>
          <w:sz w:val="18"/>
          <w:szCs w:val="18"/>
        </w:rPr>
        <w:t>2.1</w:t>
      </w:r>
      <w:r w:rsidR="00905380" w:rsidRPr="001B7222">
        <w:rPr>
          <w:rFonts w:ascii="黑体" w:eastAsia="黑体" w:hAnsi="黑体"/>
          <w:color w:val="333333"/>
          <w:sz w:val="18"/>
          <w:szCs w:val="18"/>
        </w:rPr>
        <w:t>互联网行业与传统行业的平均工资对比</w:t>
      </w:r>
    </w:p>
    <w:p w14:paraId="0A1484F3" w14:textId="420EFFA8" w:rsidR="007C5350" w:rsidRDefault="00905380" w:rsidP="00105EE7">
      <w:pPr>
        <w:pStyle w:val="a5"/>
        <w:spacing w:before="0"/>
        <w:ind w:firstLineChars="200" w:firstLine="360"/>
        <w:rPr>
          <w:rFonts w:ascii="宋体" w:eastAsia="宋体" w:hAnsi="宋体" w:hint="default"/>
          <w:color w:val="191919"/>
          <w:sz w:val="18"/>
          <w:szCs w:val="18"/>
        </w:rPr>
      </w:pPr>
      <w:r w:rsidRPr="007C5350">
        <w:rPr>
          <w:rFonts w:ascii="宋体" w:eastAsia="宋体" w:hAnsi="宋体"/>
          <w:color w:val="191919"/>
          <w:sz w:val="18"/>
          <w:szCs w:val="18"/>
        </w:rPr>
        <w:t>近年来，互联网行业逐渐成为有转行想法的求职者十分期望的发展方向。越来越多的人选择转专业或者自学互联网知识，希望能找到一份互联网行业的职位。这种现象背后的一个很重要的原因就是互联网行业的高薪资。国家统计局公布的</w:t>
      </w:r>
      <w:r w:rsidRPr="007C5350">
        <w:rPr>
          <w:rFonts w:ascii="宋体" w:eastAsia="宋体" w:hAnsi="宋体"/>
          <w:color w:val="191919"/>
          <w:sz w:val="18"/>
          <w:szCs w:val="18"/>
        </w:rPr>
        <w:t>2018</w:t>
      </w:r>
      <w:r w:rsidRPr="007C5350">
        <w:rPr>
          <w:rFonts w:ascii="宋体" w:eastAsia="宋体" w:hAnsi="宋体"/>
          <w:color w:val="191919"/>
          <w:sz w:val="18"/>
          <w:szCs w:val="18"/>
        </w:rPr>
        <w:t>和</w:t>
      </w:r>
      <w:r w:rsidRPr="007C5350">
        <w:rPr>
          <w:rFonts w:ascii="宋体" w:eastAsia="宋体" w:hAnsi="宋体"/>
          <w:color w:val="191919"/>
          <w:sz w:val="18"/>
          <w:szCs w:val="18"/>
        </w:rPr>
        <w:t>2019</w:t>
      </w:r>
      <w:r w:rsidRPr="007C5350">
        <w:rPr>
          <w:rFonts w:ascii="宋体" w:eastAsia="宋体" w:hAnsi="宋体"/>
          <w:color w:val="191919"/>
          <w:sz w:val="18"/>
          <w:szCs w:val="18"/>
        </w:rPr>
        <w:t>年城镇非私营单位和城镇私营单位分行业就业人员年平均工资数据（如图一）中可以看到信息传输、软件和信息技术服务业的平均工资和增长速度的同比其他传统行业更占优势，处于前列</w:t>
      </w:r>
      <w:r w:rsidR="007C5350">
        <w:rPr>
          <w:rFonts w:ascii="宋体" w:eastAsia="宋体" w:hAnsi="宋体"/>
          <w:color w:val="191919"/>
          <w:sz w:val="18"/>
          <w:szCs w:val="18"/>
        </w:rPr>
        <w:t>。</w:t>
      </w:r>
    </w:p>
    <w:p w14:paraId="547295F0" w14:textId="1431BACD" w:rsidR="00105EE7" w:rsidRPr="007C5350" w:rsidRDefault="00105EE7" w:rsidP="00105EE7">
      <w:pPr>
        <w:pStyle w:val="a5"/>
        <w:spacing w:before="0"/>
        <w:jc w:val="center"/>
        <w:rPr>
          <w:rFonts w:ascii="宋体" w:eastAsia="宋体" w:hAnsi="宋体"/>
          <w:color w:val="191919"/>
          <w:sz w:val="18"/>
          <w:szCs w:val="18"/>
        </w:rPr>
      </w:pPr>
      <w:r>
        <w:rPr>
          <w:noProof/>
          <w14:textOutline w14:w="0" w14:cap="rnd" w14:cmpd="sng" w14:algn="ctr">
            <w14:noFill/>
            <w14:prstDash w14:val="solid"/>
            <w14:bevel/>
          </w14:textOutline>
        </w:rPr>
        <w:drawing>
          <wp:inline distT="0" distB="0" distL="0" distR="0" wp14:anchorId="52D8000C" wp14:editId="4386A154">
            <wp:extent cx="4246076" cy="2739656"/>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4604" cy="2758063"/>
                    </a:xfrm>
                    <a:prstGeom prst="rect">
                      <a:avLst/>
                    </a:prstGeom>
                  </pic:spPr>
                </pic:pic>
              </a:graphicData>
            </a:graphic>
          </wp:inline>
        </w:drawing>
      </w:r>
    </w:p>
    <w:p w14:paraId="4E8A31CC" w14:textId="57EDAFF5" w:rsidR="00D30153" w:rsidRPr="007C5350" w:rsidRDefault="00D30153">
      <w:pPr>
        <w:pStyle w:val="a5"/>
        <w:spacing w:before="0"/>
        <w:jc w:val="both"/>
        <w:rPr>
          <w:rFonts w:ascii="Heiti SC Medium" w:eastAsiaTheme="minorEastAsia" w:hAnsi="Heiti SC Medium" w:cs="Heiti SC Medium"/>
          <w:color w:val="333333"/>
          <w:sz w:val="21"/>
          <w:szCs w:val="21"/>
        </w:rPr>
      </w:pPr>
    </w:p>
    <w:p w14:paraId="143FA3B3" w14:textId="07CB77BF" w:rsidR="00D30153" w:rsidRPr="00105EE7" w:rsidRDefault="00905380" w:rsidP="00105EE7">
      <w:pPr>
        <w:pStyle w:val="a5"/>
        <w:spacing w:before="0"/>
        <w:jc w:val="center"/>
        <w:rPr>
          <w:rFonts w:asciiTheme="minorEastAsia" w:eastAsiaTheme="minorEastAsia" w:hAnsiTheme="minorEastAsia" w:cs="Songti SC Regular"/>
          <w:color w:val="191919"/>
          <w:sz w:val="15"/>
          <w:szCs w:val="15"/>
        </w:rPr>
      </w:pPr>
      <w:r w:rsidRPr="007C5350">
        <w:rPr>
          <w:rFonts w:asciiTheme="minorEastAsia" w:eastAsiaTheme="minorEastAsia" w:hAnsiTheme="minorEastAsia"/>
          <w:color w:val="191919"/>
          <w:sz w:val="15"/>
          <w:szCs w:val="15"/>
        </w:rPr>
        <w:t>图</w:t>
      </w:r>
      <w:r w:rsidRPr="007C5350">
        <w:rPr>
          <w:rFonts w:asciiTheme="minorEastAsia" w:eastAsiaTheme="minorEastAsia" w:hAnsiTheme="minorEastAsia"/>
          <w:color w:val="191919"/>
          <w:sz w:val="15"/>
          <w:szCs w:val="15"/>
        </w:rPr>
        <w:t>一：</w:t>
      </w:r>
      <w:r w:rsidRPr="007C5350">
        <w:rPr>
          <w:rFonts w:asciiTheme="minorEastAsia" w:eastAsiaTheme="minorEastAsia" w:hAnsiTheme="minorEastAsia"/>
          <w:color w:val="191919"/>
          <w:sz w:val="15"/>
          <w:szCs w:val="15"/>
        </w:rPr>
        <w:t>2018</w:t>
      </w:r>
      <w:r w:rsidRPr="007C5350">
        <w:rPr>
          <w:rFonts w:asciiTheme="minorEastAsia" w:eastAsiaTheme="minorEastAsia" w:hAnsiTheme="minorEastAsia"/>
          <w:color w:val="191919"/>
          <w:sz w:val="15"/>
          <w:szCs w:val="15"/>
          <w:lang w:val="ja-JP" w:eastAsia="ja-JP"/>
        </w:rPr>
        <w:t>和</w:t>
      </w:r>
      <w:r w:rsidRPr="007C5350">
        <w:rPr>
          <w:rFonts w:asciiTheme="minorEastAsia" w:eastAsiaTheme="minorEastAsia" w:hAnsiTheme="minorEastAsia"/>
          <w:color w:val="191919"/>
          <w:sz w:val="15"/>
          <w:szCs w:val="15"/>
        </w:rPr>
        <w:t>2019</w:t>
      </w:r>
      <w:r w:rsidRPr="007C5350">
        <w:rPr>
          <w:rFonts w:asciiTheme="minorEastAsia" w:eastAsiaTheme="minorEastAsia" w:hAnsiTheme="minorEastAsia"/>
          <w:color w:val="191919"/>
          <w:sz w:val="15"/>
          <w:szCs w:val="15"/>
        </w:rPr>
        <w:t>年城镇非私营单位和城镇私营单位分行业就业</w:t>
      </w:r>
      <w:r w:rsidRPr="007C5350">
        <w:rPr>
          <w:rFonts w:asciiTheme="minorEastAsia" w:eastAsiaTheme="minorEastAsia" w:hAnsiTheme="minorEastAsia"/>
          <w:color w:val="191919"/>
          <w:sz w:val="15"/>
          <w:szCs w:val="15"/>
        </w:rPr>
        <w:t>人员年平均工资数据</w:t>
      </w:r>
    </w:p>
    <w:p w14:paraId="4E6FACB2" w14:textId="77777777" w:rsidR="00105EE7" w:rsidRDefault="00105EE7">
      <w:pPr>
        <w:pStyle w:val="a5"/>
        <w:spacing w:before="0"/>
        <w:jc w:val="both"/>
        <w:rPr>
          <w:rFonts w:ascii="楷体" w:eastAsia="楷体" w:hAnsi="楷体" w:hint="default"/>
          <w:color w:val="333333"/>
          <w:sz w:val="18"/>
          <w:szCs w:val="18"/>
        </w:rPr>
      </w:pPr>
    </w:p>
    <w:p w14:paraId="6877C704" w14:textId="3CEFBA8A" w:rsidR="00D30153" w:rsidRPr="001B7222" w:rsidRDefault="001B7222">
      <w:pPr>
        <w:pStyle w:val="a5"/>
        <w:spacing w:before="0"/>
        <w:jc w:val="both"/>
        <w:rPr>
          <w:rFonts w:ascii="黑体" w:eastAsia="黑体" w:hAnsi="黑体" w:cs="Kaiti SC Regular" w:hint="default"/>
          <w:color w:val="333333"/>
          <w:sz w:val="18"/>
          <w:szCs w:val="18"/>
        </w:rPr>
      </w:pPr>
      <w:r>
        <w:rPr>
          <w:rFonts w:ascii="黑体" w:eastAsia="黑体" w:hAnsi="黑体"/>
          <w:color w:val="333333"/>
          <w:sz w:val="18"/>
          <w:szCs w:val="18"/>
        </w:rPr>
        <w:t>2.2</w:t>
      </w:r>
      <w:r w:rsidR="00905380" w:rsidRPr="001B7222">
        <w:rPr>
          <w:rFonts w:ascii="黑体" w:eastAsia="黑体" w:hAnsi="黑体"/>
          <w:color w:val="333333"/>
          <w:sz w:val="18"/>
          <w:szCs w:val="18"/>
        </w:rPr>
        <w:t>互联网行业员工的整体薪资变化趋势</w:t>
      </w:r>
    </w:p>
    <w:p w14:paraId="10DCD8F7" w14:textId="77777777" w:rsidR="001B7222" w:rsidRDefault="00905380" w:rsidP="001B7222">
      <w:pPr>
        <w:pStyle w:val="a5"/>
        <w:spacing w:before="0"/>
        <w:ind w:firstLineChars="200" w:firstLine="360"/>
        <w:rPr>
          <w:rFonts w:ascii="宋体" w:eastAsia="宋体" w:hAnsi="宋体" w:hint="default"/>
          <w:color w:val="191919"/>
          <w:sz w:val="18"/>
          <w:szCs w:val="18"/>
        </w:rPr>
      </w:pPr>
      <w:r w:rsidRPr="00105EE7">
        <w:rPr>
          <w:rFonts w:ascii="宋体" w:eastAsia="宋体" w:hAnsi="宋体"/>
          <w:color w:val="191919"/>
          <w:sz w:val="18"/>
          <w:szCs w:val="18"/>
        </w:rPr>
        <w:t>互联网行业员工的整体薪资总体也呈增长趋势。如图二国研网统计数据，我们可以很明显的感觉到</w:t>
      </w:r>
      <w:r w:rsidRPr="00105EE7">
        <w:rPr>
          <w:rFonts w:ascii="宋体" w:eastAsia="宋体" w:hAnsi="宋体"/>
          <w:color w:val="191919"/>
          <w:sz w:val="18"/>
          <w:szCs w:val="18"/>
        </w:rPr>
        <w:t>2005-2018</w:t>
      </w:r>
      <w:r w:rsidRPr="00105EE7">
        <w:rPr>
          <w:rFonts w:ascii="宋体" w:eastAsia="宋体" w:hAnsi="宋体"/>
          <w:color w:val="191919"/>
          <w:sz w:val="18"/>
          <w:szCs w:val="18"/>
        </w:rPr>
        <w:t>年软件行业劳动者薪酬持续快速上升。这直观反映了当前社会互联网行业整体发展兴旺。程序员的薪资结构主要由几个部分组成：基础工资、绩效工资、各种补贴（餐补、交通补贴）、年终奖。这里我们具体分析一下近几年的互联网行业薪资情况。如图三，我们以程序员客栈联合稀土掘金公司于</w:t>
      </w:r>
      <w:r w:rsidRPr="00105EE7">
        <w:rPr>
          <w:rFonts w:ascii="宋体" w:eastAsia="宋体" w:hAnsi="宋体"/>
          <w:color w:val="191919"/>
          <w:sz w:val="18"/>
          <w:szCs w:val="18"/>
        </w:rPr>
        <w:t>2017</w:t>
      </w:r>
      <w:r w:rsidRPr="00105EE7">
        <w:rPr>
          <w:rFonts w:ascii="宋体" w:eastAsia="宋体" w:hAnsi="宋体"/>
          <w:color w:val="191919"/>
          <w:sz w:val="18"/>
          <w:szCs w:val="18"/>
        </w:rPr>
        <w:t>年发布的程序员薪资调查作为例子。可以看到随着工作年限的增加，高薪人员的数量有着明显的增加。</w:t>
      </w:r>
      <w:r w:rsidRPr="00105EE7">
        <w:rPr>
          <w:rFonts w:ascii="宋体" w:eastAsia="宋体" w:hAnsi="宋体"/>
          <w:color w:val="191919"/>
          <w:sz w:val="18"/>
          <w:szCs w:val="18"/>
        </w:rPr>
        <w:t>2018</w:t>
      </w:r>
      <w:r w:rsidRPr="00105EE7">
        <w:rPr>
          <w:rFonts w:ascii="宋体" w:eastAsia="宋体" w:hAnsi="宋体"/>
          <w:color w:val="191919"/>
          <w:sz w:val="18"/>
          <w:szCs w:val="18"/>
        </w:rPr>
        <w:t>和</w:t>
      </w:r>
      <w:r w:rsidRPr="00105EE7">
        <w:rPr>
          <w:rFonts w:ascii="宋体" w:eastAsia="宋体" w:hAnsi="宋体"/>
          <w:color w:val="191919"/>
          <w:sz w:val="18"/>
          <w:szCs w:val="18"/>
        </w:rPr>
        <w:t>2019</w:t>
      </w:r>
      <w:r w:rsidRPr="00105EE7">
        <w:rPr>
          <w:rFonts w:ascii="宋体" w:eastAsia="宋体" w:hAnsi="宋体"/>
          <w:color w:val="191919"/>
          <w:sz w:val="18"/>
          <w:szCs w:val="18"/>
        </w:rPr>
        <w:t>年的互联网行业薪资水平分布主要集中在</w:t>
      </w:r>
      <w:r w:rsidRPr="00105EE7">
        <w:rPr>
          <w:rFonts w:ascii="宋体" w:eastAsia="宋体" w:hAnsi="宋体"/>
          <w:color w:val="191919"/>
          <w:sz w:val="18"/>
          <w:szCs w:val="18"/>
        </w:rPr>
        <w:t>10-15</w:t>
      </w:r>
      <w:r w:rsidRPr="00105EE7">
        <w:rPr>
          <w:rFonts w:ascii="宋体" w:eastAsia="宋体" w:hAnsi="宋体"/>
          <w:color w:val="191919"/>
          <w:sz w:val="18"/>
          <w:szCs w:val="18"/>
        </w:rPr>
        <w:t>万范围内，得到</w:t>
      </w:r>
      <w:r w:rsidRPr="00105EE7">
        <w:rPr>
          <w:rFonts w:ascii="宋体" w:eastAsia="宋体" w:hAnsi="宋体"/>
          <w:color w:val="191919"/>
          <w:sz w:val="18"/>
          <w:szCs w:val="18"/>
        </w:rPr>
        <w:t>50</w:t>
      </w:r>
      <w:r w:rsidRPr="00105EE7">
        <w:rPr>
          <w:rFonts w:ascii="宋体" w:eastAsia="宋体" w:hAnsi="宋体"/>
          <w:color w:val="191919"/>
          <w:sz w:val="18"/>
          <w:szCs w:val="18"/>
        </w:rPr>
        <w:t>万以上高薪的求职者和少与</w:t>
      </w:r>
      <w:r w:rsidRPr="00105EE7">
        <w:rPr>
          <w:rFonts w:ascii="宋体" w:eastAsia="宋体" w:hAnsi="宋体"/>
          <w:color w:val="191919"/>
          <w:sz w:val="18"/>
          <w:szCs w:val="18"/>
        </w:rPr>
        <w:t>5</w:t>
      </w:r>
      <w:r w:rsidRPr="00105EE7">
        <w:rPr>
          <w:rFonts w:ascii="宋体" w:eastAsia="宋体" w:hAnsi="宋体"/>
          <w:color w:val="191919"/>
          <w:sz w:val="18"/>
          <w:szCs w:val="18"/>
        </w:rPr>
        <w:t>万的人较少。在国家和社会都在鼓励互联网创新的时</w:t>
      </w:r>
      <w:r w:rsidRPr="00105EE7">
        <w:rPr>
          <w:rFonts w:ascii="宋体" w:eastAsia="宋体" w:hAnsi="宋体"/>
          <w:color w:val="191919"/>
          <w:sz w:val="18"/>
          <w:szCs w:val="18"/>
        </w:rPr>
        <w:t>代，社会对于顶尖人才的需求越来越大。</w:t>
      </w:r>
      <w:r w:rsidRPr="00105EE7">
        <w:rPr>
          <w:rFonts w:ascii="宋体" w:eastAsia="宋体" w:hAnsi="宋体"/>
          <w:color w:val="191919"/>
          <w:sz w:val="18"/>
          <w:szCs w:val="18"/>
        </w:rPr>
        <w:lastRenderedPageBreak/>
        <w:t>2019</w:t>
      </w:r>
      <w:r w:rsidRPr="00105EE7">
        <w:rPr>
          <w:rFonts w:ascii="宋体" w:eastAsia="宋体" w:hAnsi="宋体"/>
          <w:color w:val="191919"/>
          <w:sz w:val="18"/>
          <w:szCs w:val="18"/>
        </w:rPr>
        <w:t>年华为任正非百万高薪聘请</w:t>
      </w:r>
      <w:r w:rsidRPr="00105EE7">
        <w:rPr>
          <w:rFonts w:ascii="宋体" w:eastAsia="宋体" w:hAnsi="宋体"/>
          <w:color w:val="191919"/>
          <w:sz w:val="18"/>
          <w:szCs w:val="18"/>
        </w:rPr>
        <w:t>8</w:t>
      </w:r>
      <w:r w:rsidRPr="00105EE7">
        <w:rPr>
          <w:rFonts w:ascii="宋体" w:eastAsia="宋体" w:hAnsi="宋体"/>
          <w:color w:val="191919"/>
          <w:sz w:val="18"/>
          <w:szCs w:val="18"/>
        </w:rPr>
        <w:t>位顶尖应届生博士，强调当年将从全世界招进</w:t>
      </w:r>
      <w:r w:rsidRPr="00105EE7">
        <w:rPr>
          <w:rFonts w:ascii="宋体" w:eastAsia="宋体" w:hAnsi="宋体"/>
          <w:color w:val="191919"/>
          <w:sz w:val="18"/>
          <w:szCs w:val="18"/>
        </w:rPr>
        <w:t>20-30</w:t>
      </w:r>
      <w:r w:rsidRPr="00105EE7">
        <w:rPr>
          <w:rFonts w:ascii="宋体" w:eastAsia="宋体" w:hAnsi="宋体"/>
          <w:color w:val="191919"/>
          <w:sz w:val="18"/>
          <w:szCs w:val="18"/>
        </w:rPr>
        <w:t>名</w:t>
      </w:r>
      <w:r w:rsidRPr="00105EE7">
        <w:rPr>
          <w:rFonts w:ascii="宋体" w:eastAsia="宋体" w:hAnsi="宋体" w:hint="default"/>
          <w:color w:val="191919"/>
          <w:sz w:val="18"/>
          <w:szCs w:val="18"/>
        </w:rPr>
        <w:t>“</w:t>
      </w:r>
      <w:r w:rsidRPr="00105EE7">
        <w:rPr>
          <w:rFonts w:ascii="宋体" w:eastAsia="宋体" w:hAnsi="宋体"/>
          <w:color w:val="191919"/>
          <w:sz w:val="18"/>
          <w:szCs w:val="18"/>
        </w:rPr>
        <w:t>天才少年</w:t>
      </w:r>
      <w:r w:rsidRPr="00105EE7">
        <w:rPr>
          <w:rFonts w:ascii="宋体" w:eastAsia="宋体" w:hAnsi="宋体" w:hint="default"/>
          <w:color w:val="191919"/>
          <w:sz w:val="18"/>
          <w:szCs w:val="18"/>
        </w:rPr>
        <w:t>”</w:t>
      </w:r>
      <w:r w:rsidRPr="00105EE7">
        <w:rPr>
          <w:rFonts w:ascii="宋体" w:eastAsia="宋体" w:hAnsi="宋体"/>
          <w:color w:val="191919"/>
          <w:sz w:val="18"/>
          <w:szCs w:val="18"/>
        </w:rPr>
        <w:t>，并且今后会逐年增加。这正是因为国内外科技巨头们都越来越意识到高精尖人才是科技发展的原动力，甚至不惜千金买骨求发展。</w:t>
      </w:r>
    </w:p>
    <w:p w14:paraId="5FEE1C46" w14:textId="017C1922" w:rsidR="00D30153" w:rsidRDefault="001B7222" w:rsidP="001B7222">
      <w:pPr>
        <w:pStyle w:val="a5"/>
        <w:spacing w:before="0"/>
        <w:ind w:firstLineChars="200" w:firstLine="480"/>
        <w:jc w:val="center"/>
      </w:pPr>
      <w:r>
        <w:rPr>
          <w:noProof/>
        </w:rPr>
        <w:drawing>
          <wp:inline distT="0" distB="0" distL="0" distR="0" wp14:anchorId="08C50625" wp14:editId="250AC79E">
            <wp:extent cx="5194300" cy="288548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2372" cy="2889967"/>
                    </a:xfrm>
                    <a:prstGeom prst="rect">
                      <a:avLst/>
                    </a:prstGeom>
                    <a:noFill/>
                    <a:ln>
                      <a:noFill/>
                    </a:ln>
                  </pic:spPr>
                </pic:pic>
              </a:graphicData>
            </a:graphic>
          </wp:inline>
        </w:drawing>
      </w:r>
    </w:p>
    <w:p w14:paraId="4CBF80DF" w14:textId="00C053CA" w:rsidR="00D30153" w:rsidRPr="00105EE7" w:rsidRDefault="00105EE7">
      <w:pPr>
        <w:pStyle w:val="a5"/>
        <w:spacing w:before="0"/>
        <w:jc w:val="center"/>
        <w:rPr>
          <w:rFonts w:ascii="宋体" w:eastAsia="宋体" w:hAnsi="宋体" w:cs="Songti SC Regular" w:hint="default"/>
          <w:color w:val="191919"/>
          <w:sz w:val="15"/>
          <w:szCs w:val="15"/>
        </w:rPr>
      </w:pPr>
      <w:r w:rsidRPr="00105EE7">
        <w:rPr>
          <w:rFonts w:ascii="宋体" w:eastAsia="宋体" w:hAnsi="宋体" w:cs="Songti SC Regular"/>
          <w:noProof/>
          <w:color w:val="191919"/>
          <w:sz w:val="15"/>
          <w:szCs w:val="15"/>
        </w:rPr>
        <w:drawing>
          <wp:anchor distT="0" distB="0" distL="152400" distR="152400" simplePos="0" relativeHeight="251660288" behindDoc="0" locked="0" layoutInCell="1" allowOverlap="1" wp14:anchorId="08FF362A" wp14:editId="41639264">
            <wp:simplePos x="0" y="0"/>
            <wp:positionH relativeFrom="margin">
              <wp:posOffset>1054100</wp:posOffset>
            </wp:positionH>
            <wp:positionV relativeFrom="line">
              <wp:posOffset>177165</wp:posOffset>
            </wp:positionV>
            <wp:extent cx="4509135" cy="3458210"/>
            <wp:effectExtent l="0" t="0" r="5715" b="0"/>
            <wp:wrapTopAndBottom distT="0" dist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05380" w:rsidRPr="00105EE7">
        <w:rPr>
          <w:rFonts w:ascii="宋体" w:eastAsia="宋体" w:hAnsi="宋体"/>
          <w:color w:val="191919"/>
          <w:sz w:val="15"/>
          <w:szCs w:val="15"/>
        </w:rPr>
        <w:t>图二：国研网统计数据</w:t>
      </w:r>
    </w:p>
    <w:p w14:paraId="69BFC3E0" w14:textId="30905246" w:rsidR="00D30153" w:rsidRPr="00105EE7" w:rsidRDefault="00905380">
      <w:pPr>
        <w:pStyle w:val="a5"/>
        <w:spacing w:before="0"/>
        <w:jc w:val="center"/>
        <w:rPr>
          <w:rFonts w:ascii="宋体" w:eastAsia="宋体" w:hAnsi="宋体" w:cs="Songti SC Regular" w:hint="default"/>
          <w:color w:val="191919"/>
          <w:sz w:val="15"/>
          <w:szCs w:val="15"/>
        </w:rPr>
      </w:pPr>
      <w:r w:rsidRPr="00105EE7">
        <w:rPr>
          <w:rFonts w:ascii="宋体" w:eastAsia="宋体" w:hAnsi="宋体"/>
          <w:color w:val="191919"/>
          <w:sz w:val="15"/>
          <w:szCs w:val="15"/>
        </w:rPr>
        <w:t>图三：</w:t>
      </w:r>
      <w:r w:rsidRPr="00105EE7">
        <w:rPr>
          <w:rFonts w:ascii="宋体" w:eastAsia="宋体" w:hAnsi="宋体"/>
          <w:color w:val="191919"/>
          <w:sz w:val="15"/>
          <w:szCs w:val="15"/>
        </w:rPr>
        <w:t>2018</w:t>
      </w:r>
      <w:r w:rsidRPr="00105EE7">
        <w:rPr>
          <w:rFonts w:ascii="宋体" w:eastAsia="宋体" w:hAnsi="宋体"/>
          <w:color w:val="191919"/>
          <w:sz w:val="15"/>
          <w:szCs w:val="15"/>
          <w:lang w:val="ja-JP" w:eastAsia="ja-JP"/>
        </w:rPr>
        <w:t>和</w:t>
      </w:r>
      <w:r w:rsidRPr="00105EE7">
        <w:rPr>
          <w:rFonts w:ascii="宋体" w:eastAsia="宋体" w:hAnsi="宋体"/>
          <w:color w:val="191919"/>
          <w:sz w:val="15"/>
          <w:szCs w:val="15"/>
        </w:rPr>
        <w:t>2019</w:t>
      </w:r>
      <w:r w:rsidRPr="00105EE7">
        <w:rPr>
          <w:rFonts w:ascii="宋体" w:eastAsia="宋体" w:hAnsi="宋体"/>
          <w:color w:val="191919"/>
          <w:sz w:val="15"/>
          <w:szCs w:val="15"/>
        </w:rPr>
        <w:t>年的</w:t>
      </w:r>
      <w:r w:rsidRPr="00105EE7">
        <w:rPr>
          <w:rFonts w:ascii="宋体" w:eastAsia="宋体" w:hAnsi="宋体"/>
          <w:color w:val="191919"/>
          <w:sz w:val="15"/>
          <w:szCs w:val="15"/>
        </w:rPr>
        <w:t>IT</w:t>
      </w:r>
      <w:r w:rsidRPr="00105EE7">
        <w:rPr>
          <w:rFonts w:ascii="宋体" w:eastAsia="宋体" w:hAnsi="宋体"/>
          <w:color w:val="191919"/>
          <w:sz w:val="15"/>
          <w:szCs w:val="15"/>
        </w:rPr>
        <w:t>行业薪资水平分布</w:t>
      </w:r>
    </w:p>
    <w:p w14:paraId="468096F6" w14:textId="77777777" w:rsidR="00105EE7" w:rsidRDefault="00105EE7">
      <w:pPr>
        <w:pStyle w:val="a5"/>
        <w:spacing w:before="0"/>
        <w:jc w:val="both"/>
        <w:rPr>
          <w:rFonts w:eastAsiaTheme="minorEastAsia" w:hint="default"/>
          <w:color w:val="333333"/>
          <w:sz w:val="18"/>
          <w:szCs w:val="18"/>
        </w:rPr>
      </w:pPr>
    </w:p>
    <w:p w14:paraId="3BB37C72" w14:textId="467DBA66" w:rsidR="00105EE7" w:rsidRDefault="00105EE7">
      <w:pPr>
        <w:pStyle w:val="a5"/>
        <w:spacing w:before="0"/>
        <w:jc w:val="both"/>
        <w:rPr>
          <w:rFonts w:ascii="楷体" w:eastAsia="楷体" w:hAnsi="楷体" w:hint="default"/>
          <w:color w:val="333333"/>
          <w:sz w:val="18"/>
          <w:szCs w:val="18"/>
        </w:rPr>
      </w:pPr>
    </w:p>
    <w:p w14:paraId="7CCA528C" w14:textId="7C5F9572" w:rsidR="00D30153" w:rsidRPr="001B7222" w:rsidRDefault="001B7222">
      <w:pPr>
        <w:pStyle w:val="a5"/>
        <w:spacing w:before="0"/>
        <w:jc w:val="both"/>
        <w:rPr>
          <w:rFonts w:ascii="黑体" w:eastAsia="黑体" w:hAnsi="黑体" w:cs="Kaiti SC Regular" w:hint="default"/>
          <w:color w:val="333333"/>
          <w:sz w:val="18"/>
          <w:szCs w:val="18"/>
        </w:rPr>
      </w:pPr>
      <w:r>
        <w:rPr>
          <w:rFonts w:ascii="黑体" w:eastAsia="黑体" w:hAnsi="黑体"/>
          <w:color w:val="333333"/>
          <w:sz w:val="18"/>
          <w:szCs w:val="18"/>
        </w:rPr>
        <w:t>2.3</w:t>
      </w:r>
      <w:r w:rsidR="00905380" w:rsidRPr="001B7222">
        <w:rPr>
          <w:rFonts w:ascii="黑体" w:eastAsia="黑体" w:hAnsi="黑体"/>
          <w:color w:val="333333"/>
          <w:sz w:val="18"/>
          <w:szCs w:val="18"/>
        </w:rPr>
        <w:t>互联网行业学历变化倾向</w:t>
      </w:r>
    </w:p>
    <w:p w14:paraId="78CDAD75" w14:textId="6194B380" w:rsidR="00D30153" w:rsidRPr="00105EE7" w:rsidRDefault="00905380" w:rsidP="00105EE7">
      <w:pPr>
        <w:pStyle w:val="a5"/>
        <w:spacing w:before="0"/>
        <w:ind w:firstLineChars="200" w:firstLine="360"/>
        <w:rPr>
          <w:rFonts w:ascii="宋体" w:eastAsia="宋体" w:hAnsi="宋体" w:hint="default"/>
          <w:color w:val="191919"/>
          <w:sz w:val="18"/>
          <w:szCs w:val="18"/>
        </w:rPr>
      </w:pPr>
      <w:r w:rsidRPr="00105EE7">
        <w:rPr>
          <w:rFonts w:ascii="宋体" w:eastAsia="宋体" w:hAnsi="宋体"/>
          <w:color w:val="191919"/>
          <w:sz w:val="18"/>
          <w:szCs w:val="18"/>
        </w:rPr>
        <w:t>近年来互联网行业读研率逐年增加，如图四。越来越多的同学选择在互联网行业有更深一步的发展。研究生与同期本</w:t>
      </w:r>
      <w:r w:rsidRPr="00105EE7">
        <w:rPr>
          <w:rFonts w:ascii="宋体" w:eastAsia="宋体" w:hAnsi="宋体"/>
          <w:color w:val="191919"/>
          <w:sz w:val="18"/>
          <w:szCs w:val="18"/>
        </w:rPr>
        <w:t>科生相比，在一般情况下研究生的起薪较高，从业于自身研究领域的研究生将比普通本科生有着更多的发展机会。</w:t>
      </w:r>
    </w:p>
    <w:p w14:paraId="5DA49552" w14:textId="6A56217E" w:rsidR="00D30153" w:rsidRPr="00105EE7" w:rsidRDefault="00D30153">
      <w:pPr>
        <w:pStyle w:val="a5"/>
        <w:spacing w:before="0"/>
        <w:jc w:val="both"/>
        <w:rPr>
          <w:rFonts w:ascii="Arial" w:eastAsiaTheme="minorEastAsia" w:hAnsi="Arial" w:cs="Arial"/>
          <w:color w:val="333333"/>
          <w:sz w:val="28"/>
          <w:szCs w:val="28"/>
        </w:rPr>
      </w:pPr>
    </w:p>
    <w:p w14:paraId="0E015617" w14:textId="6D5B2E8B" w:rsidR="00D30153" w:rsidRDefault="001B7222">
      <w:pPr>
        <w:pStyle w:val="a5"/>
        <w:spacing w:before="0"/>
        <w:jc w:val="center"/>
        <w:rPr>
          <w:rFonts w:ascii="Songti SC Regular" w:eastAsia="Songti SC Regular" w:hAnsi="Songti SC Regular" w:cs="Songti SC Regular" w:hint="default"/>
          <w:color w:val="333333"/>
          <w:sz w:val="18"/>
          <w:szCs w:val="18"/>
        </w:rPr>
      </w:pPr>
      <w:r w:rsidRPr="00105EE7">
        <w:rPr>
          <w:rFonts w:ascii="宋体" w:eastAsia="宋体" w:hAnsi="宋体"/>
          <w:color w:val="191919"/>
          <w:sz w:val="18"/>
          <w:szCs w:val="18"/>
        </w:rPr>
        <w:lastRenderedPageBreak/>
        <w:drawing>
          <wp:anchor distT="152400" distB="152400" distL="152400" distR="152400" simplePos="0" relativeHeight="251663360" behindDoc="0" locked="0" layoutInCell="1" allowOverlap="1" wp14:anchorId="06D4D78D" wp14:editId="65E7028A">
            <wp:simplePos x="0" y="0"/>
            <wp:positionH relativeFrom="page">
              <wp:posOffset>1038225</wp:posOffset>
            </wp:positionH>
            <wp:positionV relativeFrom="line">
              <wp:posOffset>390525</wp:posOffset>
            </wp:positionV>
            <wp:extent cx="4826635" cy="2887980"/>
            <wp:effectExtent l="0" t="0" r="0" b="7620"/>
            <wp:wrapTopAndBottom/>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charts-2.png"/>
                    <pic:cNvPicPr>
                      <a:picLocks noChangeAspect="1"/>
                    </pic:cNvPicPr>
                  </pic:nvPicPr>
                  <pic:blipFill>
                    <a:blip r:embed="rId11"/>
                    <a:stretch>
                      <a:fillRect/>
                    </a:stretch>
                  </pic:blipFill>
                  <pic:spPr>
                    <a:xfrm>
                      <a:off x="0" y="0"/>
                      <a:ext cx="4826635" cy="28879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4506806" w14:textId="56395559" w:rsidR="00D30153" w:rsidRDefault="00905380">
      <w:pPr>
        <w:pStyle w:val="a5"/>
        <w:spacing w:before="0"/>
        <w:jc w:val="center"/>
        <w:rPr>
          <w:rFonts w:ascii="Songti SC Regular" w:eastAsia="Songti SC Regular" w:hAnsi="Songti SC Regular" w:cs="Songti SC Regular" w:hint="default"/>
          <w:color w:val="191919"/>
          <w:sz w:val="15"/>
          <w:szCs w:val="15"/>
        </w:rPr>
      </w:pPr>
      <w:r>
        <w:rPr>
          <w:rFonts w:eastAsia="Songti SC Regular"/>
          <w:color w:val="191919"/>
          <w:sz w:val="15"/>
          <w:szCs w:val="15"/>
        </w:rPr>
        <w:t>图四：国研网统计互联网行业研究生与本科生学历人数分布</w:t>
      </w:r>
    </w:p>
    <w:p w14:paraId="67E4B3DC" w14:textId="04297BDE" w:rsidR="00E00665" w:rsidRPr="007B271F" w:rsidRDefault="007B271F" w:rsidP="00E00665">
      <w:pPr>
        <w:pStyle w:val="a5"/>
        <w:spacing w:before="0"/>
        <w:jc w:val="both"/>
        <w:rPr>
          <w:rFonts w:asciiTheme="majorEastAsia" w:eastAsiaTheme="majorEastAsia" w:hAnsiTheme="majorEastAsia"/>
          <w:color w:val="333333"/>
          <w:sz w:val="18"/>
          <w:szCs w:val="18"/>
        </w:rPr>
      </w:pPr>
      <w:r w:rsidRPr="007B271F">
        <w:rPr>
          <w:rFonts w:asciiTheme="majorEastAsia" w:eastAsiaTheme="majorEastAsia" w:hAnsiTheme="majorEastAsia"/>
          <w:color w:val="333333"/>
          <w:sz w:val="18"/>
          <w:szCs w:val="18"/>
        </w:rPr>
        <w:t>2.4薪资影响因素</w:t>
      </w:r>
    </w:p>
    <w:p w14:paraId="7BB3ACCE" w14:textId="06C5A8AD" w:rsidR="00D30153" w:rsidRDefault="00905380" w:rsidP="00E00665">
      <w:pPr>
        <w:pStyle w:val="a5"/>
        <w:spacing w:before="0"/>
        <w:ind w:firstLineChars="200" w:firstLine="360"/>
        <w:jc w:val="both"/>
        <w:rPr>
          <w:rFonts w:ascii="Songti SC Regular" w:eastAsia="Songti SC Regular" w:hAnsi="Songti SC Regular" w:cs="Songti SC Regular" w:hint="default"/>
          <w:color w:val="333333"/>
          <w:sz w:val="18"/>
          <w:szCs w:val="18"/>
        </w:rPr>
      </w:pPr>
      <w:r w:rsidRPr="007C5350">
        <w:rPr>
          <w:rFonts w:ascii="宋体" w:eastAsia="宋体" w:hAnsi="宋体"/>
          <w:color w:val="333333"/>
          <w:sz w:val="18"/>
          <w:szCs w:val="18"/>
        </w:rPr>
        <w:t>薪资的不同与许多因素有关：个人能力、经验、性格、运气等。这里分析了一下工作年限不同时，薪资的大致变化情况，如图五。我们可以看出工作时间增长后，大部分互联网行业工作者的薪资会得到提升，</w:t>
      </w:r>
      <w:r w:rsidRPr="007C5350">
        <w:rPr>
          <w:rFonts w:ascii="宋体" w:eastAsia="宋体" w:hAnsi="宋体"/>
          <w:color w:val="333333"/>
          <w:sz w:val="18"/>
          <w:szCs w:val="18"/>
        </w:rPr>
        <w:t>3-5</w:t>
      </w:r>
      <w:r w:rsidRPr="007C5350">
        <w:rPr>
          <w:rFonts w:ascii="宋体" w:eastAsia="宋体" w:hAnsi="宋体"/>
          <w:color w:val="333333"/>
          <w:sz w:val="18"/>
          <w:szCs w:val="18"/>
        </w:rPr>
        <w:t>年与</w:t>
      </w:r>
      <w:r w:rsidRPr="007C5350">
        <w:rPr>
          <w:rFonts w:ascii="宋体" w:eastAsia="宋体" w:hAnsi="宋体"/>
          <w:color w:val="333333"/>
          <w:sz w:val="18"/>
          <w:szCs w:val="18"/>
        </w:rPr>
        <w:t>5-10</w:t>
      </w:r>
      <w:r w:rsidRPr="007C5350">
        <w:rPr>
          <w:rFonts w:ascii="宋体" w:eastAsia="宋体" w:hAnsi="宋体"/>
          <w:color w:val="333333"/>
          <w:sz w:val="18"/>
          <w:szCs w:val="18"/>
        </w:rPr>
        <w:t>年工作经验的薪资分界点在</w:t>
      </w:r>
      <w:r w:rsidRPr="007C5350">
        <w:rPr>
          <w:rFonts w:ascii="宋体" w:eastAsia="宋体" w:hAnsi="宋体"/>
          <w:color w:val="333333"/>
          <w:sz w:val="18"/>
          <w:szCs w:val="18"/>
        </w:rPr>
        <w:t>15-20</w:t>
      </w:r>
      <w:r w:rsidRPr="007C5350">
        <w:rPr>
          <w:rFonts w:ascii="宋体" w:eastAsia="宋体" w:hAnsi="宋体"/>
          <w:color w:val="333333"/>
          <w:sz w:val="18"/>
          <w:szCs w:val="18"/>
        </w:rPr>
        <w:t>万之间。</w:t>
      </w:r>
    </w:p>
    <w:p w14:paraId="642B5DD5" w14:textId="025F9F5C" w:rsidR="001B7222" w:rsidRDefault="001B7222">
      <w:pPr>
        <w:pStyle w:val="a5"/>
        <w:spacing w:before="0"/>
        <w:jc w:val="center"/>
        <w:rPr>
          <w:rFonts w:eastAsiaTheme="minorEastAsia" w:hint="default"/>
          <w:color w:val="191919"/>
          <w:sz w:val="15"/>
          <w:szCs w:val="15"/>
        </w:rPr>
      </w:pPr>
      <w:r>
        <w:rPr>
          <w:rFonts w:ascii="Songti SC Regular" w:eastAsia="Songti SC Regular" w:hAnsi="Songti SC Regular" w:cs="Songti SC Regular"/>
          <w:noProof/>
          <w:color w:val="333333"/>
          <w:sz w:val="18"/>
          <w:szCs w:val="18"/>
        </w:rPr>
        <w:drawing>
          <wp:anchor distT="0" distB="0" distL="152400" distR="152400" simplePos="0" relativeHeight="251661312" behindDoc="0" locked="0" layoutInCell="1" allowOverlap="1" wp14:anchorId="664B45FB" wp14:editId="5831C115">
            <wp:simplePos x="0" y="0"/>
            <wp:positionH relativeFrom="margin">
              <wp:posOffset>742315</wp:posOffset>
            </wp:positionH>
            <wp:positionV relativeFrom="line">
              <wp:posOffset>168910</wp:posOffset>
            </wp:positionV>
            <wp:extent cx="4838065" cy="3612515"/>
            <wp:effectExtent l="0" t="0" r="635" b="0"/>
            <wp:wrapTopAndBottom distT="0" distB="0"/>
            <wp:docPr id="1073741829"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36F959FD" w14:textId="2F6610A4" w:rsidR="00D30153" w:rsidRDefault="00905380">
      <w:pPr>
        <w:pStyle w:val="a5"/>
        <w:spacing w:before="0"/>
        <w:jc w:val="center"/>
        <w:rPr>
          <w:rFonts w:ascii="Songti SC Regular" w:eastAsia="Songti SC Regular" w:hAnsi="Songti SC Regular" w:cs="Songti SC Regular" w:hint="default"/>
          <w:color w:val="191919"/>
          <w:sz w:val="15"/>
          <w:szCs w:val="15"/>
        </w:rPr>
      </w:pPr>
      <w:r>
        <w:rPr>
          <w:rFonts w:eastAsia="Songti SC Regular"/>
          <w:color w:val="191919"/>
          <w:sz w:val="15"/>
          <w:szCs w:val="15"/>
        </w:rPr>
        <w:t>图</w:t>
      </w:r>
      <w:r>
        <w:rPr>
          <w:rFonts w:ascii="Songti SC Regular" w:hAnsi="Songti SC Regular"/>
          <w:color w:val="191919"/>
          <w:sz w:val="15"/>
          <w:szCs w:val="15"/>
        </w:rPr>
        <w:t>5</w:t>
      </w:r>
      <w:r>
        <w:rPr>
          <w:rFonts w:eastAsia="Songti SC Regular"/>
          <w:color w:val="191919"/>
          <w:sz w:val="15"/>
          <w:szCs w:val="15"/>
        </w:rPr>
        <w:t>：</w:t>
      </w:r>
      <w:r>
        <w:rPr>
          <w:rFonts w:ascii="Songti SC Regular" w:hAnsi="Songti SC Regular"/>
          <w:color w:val="191919"/>
          <w:sz w:val="15"/>
          <w:szCs w:val="15"/>
        </w:rPr>
        <w:t>3-5</w:t>
      </w:r>
      <w:r>
        <w:rPr>
          <w:rFonts w:eastAsia="Songti SC Regular"/>
          <w:color w:val="191919"/>
          <w:sz w:val="15"/>
          <w:szCs w:val="15"/>
        </w:rPr>
        <w:t>年与</w:t>
      </w:r>
      <w:r>
        <w:rPr>
          <w:rFonts w:ascii="Songti SC Regular" w:hAnsi="Songti SC Regular"/>
          <w:color w:val="191919"/>
          <w:sz w:val="15"/>
          <w:szCs w:val="15"/>
        </w:rPr>
        <w:t>5-10</w:t>
      </w:r>
      <w:r>
        <w:rPr>
          <w:rFonts w:eastAsia="Songti SC Regular"/>
          <w:color w:val="191919"/>
          <w:sz w:val="15"/>
          <w:szCs w:val="15"/>
        </w:rPr>
        <w:t>年工作经验的薪资</w:t>
      </w:r>
    </w:p>
    <w:p w14:paraId="16FE2231" w14:textId="3A1CEA91" w:rsidR="00D30153" w:rsidRDefault="00D30153">
      <w:pPr>
        <w:pStyle w:val="a5"/>
        <w:spacing w:before="0"/>
        <w:jc w:val="both"/>
        <w:rPr>
          <w:rFonts w:ascii="Heiti SC Medium" w:eastAsia="Heiti SC Medium" w:hAnsi="Heiti SC Medium" w:cs="Heiti SC Medium" w:hint="default"/>
          <w:color w:val="333333"/>
          <w:sz w:val="21"/>
          <w:szCs w:val="21"/>
        </w:rPr>
      </w:pPr>
    </w:p>
    <w:p w14:paraId="2E727F21" w14:textId="6D5BCE4A" w:rsidR="00D30153" w:rsidRPr="001B7222" w:rsidRDefault="001B7222">
      <w:pPr>
        <w:pStyle w:val="a5"/>
        <w:spacing w:before="0"/>
        <w:jc w:val="both"/>
        <w:rPr>
          <w:rFonts w:ascii="黑体" w:eastAsia="黑体" w:hAnsi="黑体" w:cs="Heiti SC Medium" w:hint="default"/>
          <w:color w:val="333333"/>
          <w:sz w:val="18"/>
          <w:szCs w:val="18"/>
        </w:rPr>
      </w:pPr>
      <w:r>
        <w:rPr>
          <w:rFonts w:ascii="黑体" w:eastAsia="黑体" w:hAnsi="黑体" w:cs="宋体"/>
          <w:color w:val="333333"/>
          <w:sz w:val="18"/>
          <w:szCs w:val="18"/>
        </w:rPr>
        <w:t>2.</w:t>
      </w:r>
      <w:r w:rsidR="007B271F">
        <w:rPr>
          <w:rFonts w:ascii="黑体" w:eastAsia="黑体" w:hAnsi="黑体" w:cs="宋体"/>
          <w:color w:val="333333"/>
          <w:sz w:val="18"/>
          <w:szCs w:val="18"/>
        </w:rPr>
        <w:t>5</w:t>
      </w:r>
      <w:r w:rsidRPr="001B7222">
        <w:rPr>
          <w:rFonts w:ascii="黑体" w:eastAsia="黑体" w:hAnsi="黑体" w:cs="宋体"/>
          <w:color w:val="333333"/>
          <w:sz w:val="18"/>
          <w:szCs w:val="18"/>
        </w:rPr>
        <w:t>岗位需求</w:t>
      </w:r>
    </w:p>
    <w:p w14:paraId="7983D9D8" w14:textId="27C13302" w:rsidR="00D30153" w:rsidRPr="001B7222" w:rsidRDefault="00905380" w:rsidP="001B7222">
      <w:pPr>
        <w:pStyle w:val="a5"/>
        <w:spacing w:before="0"/>
        <w:ind w:firstLineChars="200" w:firstLine="360"/>
        <w:rPr>
          <w:rFonts w:ascii="宋体" w:eastAsia="宋体" w:hAnsi="宋体" w:hint="default"/>
          <w:color w:val="191919"/>
          <w:sz w:val="18"/>
          <w:szCs w:val="18"/>
        </w:rPr>
      </w:pPr>
      <w:r w:rsidRPr="001B7222">
        <w:rPr>
          <w:rFonts w:ascii="宋体" w:eastAsia="宋体" w:hAnsi="宋体"/>
          <w:color w:val="191919"/>
          <w:sz w:val="18"/>
          <w:szCs w:val="18"/>
        </w:rPr>
        <w:t>当然，企业对具体不同的岗位的需求不同，薪资也同时有所差异。从</w:t>
      </w:r>
      <w:r w:rsidRPr="001B7222">
        <w:rPr>
          <w:rFonts w:ascii="宋体" w:eastAsia="宋体" w:hAnsi="宋体"/>
          <w:color w:val="191919"/>
          <w:sz w:val="18"/>
          <w:szCs w:val="18"/>
        </w:rPr>
        <w:t>2017</w:t>
      </w:r>
      <w:r w:rsidRPr="001B7222">
        <w:rPr>
          <w:rFonts w:ascii="宋体" w:eastAsia="宋体" w:hAnsi="宋体"/>
          <w:color w:val="191919"/>
          <w:sz w:val="18"/>
          <w:szCs w:val="18"/>
        </w:rPr>
        <w:t>年前后开始大数据、人工智能</w:t>
      </w:r>
      <w:r w:rsidRPr="001B7222">
        <w:rPr>
          <w:rFonts w:ascii="宋体" w:eastAsia="宋体" w:hAnsi="宋体"/>
          <w:color w:val="191919"/>
          <w:sz w:val="18"/>
          <w:szCs w:val="18"/>
        </w:rPr>
        <w:t>等计算机算法方向变得十分火热，对应职位人才需求大量增加，相应的薪资水平大幅度提升。不过算法岗位并非劳动密集型岗位，相比较于通用型岗位来说，要求更高，人数更少。根据智联网发布的</w:t>
      </w:r>
      <w:r w:rsidRPr="001B7222">
        <w:rPr>
          <w:rFonts w:ascii="宋体" w:eastAsia="宋体" w:hAnsi="宋体"/>
          <w:color w:val="191919"/>
          <w:sz w:val="18"/>
          <w:szCs w:val="18"/>
        </w:rPr>
        <w:t>2017</w:t>
      </w:r>
      <w:r w:rsidRPr="001B7222">
        <w:rPr>
          <w:rFonts w:ascii="宋体" w:eastAsia="宋体" w:hAnsi="宋体"/>
          <w:color w:val="191919"/>
          <w:sz w:val="18"/>
          <w:szCs w:val="18"/>
        </w:rPr>
        <w:t>年秋季全国竞争最激烈的十个职业的数据显示（如图六），互联网方向的几大主要技术方向的竞争激烈程度有着一定的变化。软件</w:t>
      </w:r>
      <w:r w:rsidRPr="001B7222">
        <w:rPr>
          <w:rFonts w:ascii="宋体" w:eastAsia="宋体" w:hAnsi="宋体"/>
          <w:color w:val="191919"/>
          <w:sz w:val="18"/>
          <w:szCs w:val="18"/>
        </w:rPr>
        <w:t>/</w:t>
      </w:r>
      <w:r w:rsidRPr="001B7222">
        <w:rPr>
          <w:rFonts w:ascii="宋体" w:eastAsia="宋体" w:hAnsi="宋体"/>
          <w:color w:val="191919"/>
          <w:sz w:val="18"/>
          <w:szCs w:val="18"/>
        </w:rPr>
        <w:t>互联网开发</w:t>
      </w:r>
      <w:r w:rsidRPr="001B7222">
        <w:rPr>
          <w:rFonts w:ascii="宋体" w:eastAsia="宋体" w:hAnsi="宋体"/>
          <w:color w:val="191919"/>
          <w:sz w:val="18"/>
          <w:szCs w:val="18"/>
        </w:rPr>
        <w:t>/</w:t>
      </w:r>
      <w:r w:rsidRPr="001B7222">
        <w:rPr>
          <w:rFonts w:ascii="宋体" w:eastAsia="宋体" w:hAnsi="宋体"/>
          <w:color w:val="191919"/>
          <w:sz w:val="18"/>
          <w:szCs w:val="18"/>
        </w:rPr>
        <w:t>系统集成的竞争指数仍然排名第一。互联网质量管理</w:t>
      </w:r>
      <w:r w:rsidRPr="001B7222">
        <w:rPr>
          <w:rFonts w:ascii="宋体" w:eastAsia="宋体" w:hAnsi="宋体"/>
          <w:color w:val="191919"/>
          <w:sz w:val="18"/>
          <w:szCs w:val="18"/>
        </w:rPr>
        <w:t>/</w:t>
      </w:r>
      <w:r w:rsidRPr="001B7222">
        <w:rPr>
          <w:rFonts w:ascii="宋体" w:eastAsia="宋体" w:hAnsi="宋体"/>
          <w:color w:val="191919"/>
          <w:sz w:val="18"/>
          <w:szCs w:val="18"/>
        </w:rPr>
        <w:t>测试</w:t>
      </w:r>
      <w:r w:rsidRPr="001B7222">
        <w:rPr>
          <w:rFonts w:ascii="宋体" w:eastAsia="宋体" w:hAnsi="宋体"/>
          <w:color w:val="191919"/>
          <w:sz w:val="18"/>
          <w:szCs w:val="18"/>
        </w:rPr>
        <w:t>/</w:t>
      </w:r>
      <w:r w:rsidRPr="001B7222">
        <w:rPr>
          <w:rFonts w:ascii="宋体" w:eastAsia="宋体" w:hAnsi="宋体"/>
          <w:color w:val="191919"/>
          <w:sz w:val="18"/>
          <w:szCs w:val="18"/>
        </w:rPr>
        <w:t>配置管理</w:t>
      </w:r>
      <w:r w:rsidRPr="001B7222">
        <w:rPr>
          <w:rFonts w:ascii="宋体" w:eastAsia="宋体" w:hAnsi="宋体"/>
          <w:color w:val="191919"/>
          <w:sz w:val="18"/>
          <w:szCs w:val="18"/>
        </w:rPr>
        <w:t>与上一季保持基本一致。</w:t>
      </w:r>
      <w:r w:rsidRPr="001B7222">
        <w:rPr>
          <w:rFonts w:ascii="宋体" w:eastAsia="宋体" w:hAnsi="宋体"/>
          <w:color w:val="191919"/>
          <w:sz w:val="18"/>
          <w:szCs w:val="18"/>
        </w:rPr>
        <w:t>IT</w:t>
      </w:r>
      <w:r w:rsidRPr="001B7222">
        <w:rPr>
          <w:rFonts w:ascii="宋体" w:eastAsia="宋体" w:hAnsi="宋体"/>
          <w:color w:val="191919"/>
          <w:sz w:val="18"/>
          <w:szCs w:val="18"/>
        </w:rPr>
        <w:t>运维</w:t>
      </w:r>
      <w:r w:rsidRPr="001B7222">
        <w:rPr>
          <w:rFonts w:ascii="宋体" w:eastAsia="宋体" w:hAnsi="宋体"/>
          <w:color w:val="191919"/>
          <w:sz w:val="18"/>
          <w:szCs w:val="18"/>
        </w:rPr>
        <w:t>/</w:t>
      </w:r>
      <w:r w:rsidRPr="001B7222">
        <w:rPr>
          <w:rFonts w:ascii="宋体" w:eastAsia="宋体" w:hAnsi="宋体"/>
          <w:color w:val="191919"/>
          <w:sz w:val="18"/>
          <w:szCs w:val="18"/>
        </w:rPr>
        <w:t>技术支持行业排名有所前进。公司内部，随着技</w:t>
      </w:r>
      <w:r w:rsidRPr="001B7222">
        <w:rPr>
          <w:rFonts w:ascii="宋体" w:eastAsia="宋体" w:hAnsi="宋体"/>
          <w:color w:val="191919"/>
          <w:sz w:val="18"/>
          <w:szCs w:val="18"/>
        </w:rPr>
        <w:lastRenderedPageBreak/>
        <w:t>术等水平的提升，会获得更高级的职称。具体职称的内容，不同的互联网公</w:t>
      </w:r>
      <w:r w:rsidRPr="001B7222">
        <w:rPr>
          <w:rFonts w:ascii="宋体" w:eastAsia="宋体" w:hAnsi="宋体"/>
          <w:color w:val="191919"/>
          <w:sz w:val="18"/>
          <w:szCs w:val="18"/>
        </w:rPr>
        <w:t>司有着不同的计算规则。但是一定的是，同一公司中，等级越高，薪资越高。</w:t>
      </w:r>
    </w:p>
    <w:p w14:paraId="5CE5C417" w14:textId="165E2917" w:rsidR="00D30153" w:rsidRPr="001B7222" w:rsidRDefault="00D30153">
      <w:pPr>
        <w:pStyle w:val="a5"/>
        <w:spacing w:before="0"/>
        <w:jc w:val="both"/>
        <w:rPr>
          <w:rFonts w:ascii="Songti SC Regular" w:eastAsiaTheme="minorEastAsia" w:hAnsi="Songti SC Regular" w:cs="Songti SC Regular"/>
          <w:color w:val="333333"/>
          <w:sz w:val="18"/>
          <w:szCs w:val="18"/>
        </w:rPr>
      </w:pPr>
    </w:p>
    <w:p w14:paraId="75A08CB4" w14:textId="0AFBF938" w:rsidR="00D30153" w:rsidRDefault="001B7222">
      <w:pPr>
        <w:pStyle w:val="a5"/>
        <w:spacing w:before="0"/>
        <w:jc w:val="both"/>
        <w:rPr>
          <w:rFonts w:ascii="Songti SC Regular" w:eastAsia="Songti SC Regular" w:hAnsi="Songti SC Regular" w:cs="Songti SC Regular" w:hint="default"/>
          <w:color w:val="333333"/>
          <w:sz w:val="18"/>
          <w:szCs w:val="18"/>
        </w:rPr>
      </w:pPr>
      <w:r>
        <w:rPr>
          <w:noProof/>
        </w:rPr>
        <mc:AlternateContent>
          <mc:Choice Requires="wps">
            <w:drawing>
              <wp:anchor distT="0" distB="0" distL="0" distR="0" simplePos="0" relativeHeight="251664384" behindDoc="0" locked="0" layoutInCell="1" allowOverlap="1" wp14:anchorId="59A6ADE0" wp14:editId="1370916D">
                <wp:simplePos x="0" y="0"/>
                <wp:positionH relativeFrom="page">
                  <wp:posOffset>1376680</wp:posOffset>
                </wp:positionH>
                <wp:positionV relativeFrom="page">
                  <wp:posOffset>1278255</wp:posOffset>
                </wp:positionV>
                <wp:extent cx="4838700" cy="3111500"/>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4838700" cy="3111500"/>
                        </a:xfrm>
                        <a:prstGeom prst="rect">
                          <a:avLst/>
                        </a:prstGeom>
                      </wps:spPr>
                      <wps:txbx>
                        <w:txbxContent>
                          <w:tbl>
                            <w:tblPr>
                              <w:tblStyle w:val="TableNormal"/>
                              <w:tblW w:w="756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00A2FF"/>
                              <w:tblLayout w:type="fixed"/>
                              <w:tblCellMar>
                                <w:top w:w="0" w:type="dxa"/>
                                <w:left w:w="0" w:type="dxa"/>
                                <w:bottom w:w="0" w:type="dxa"/>
                                <w:right w:w="0" w:type="dxa"/>
                              </w:tblCellMar>
                              <w:tblLook w:val="04A0" w:firstRow="1" w:lastRow="0" w:firstColumn="1" w:lastColumn="0" w:noHBand="0" w:noVBand="1"/>
                            </w:tblPr>
                            <w:tblGrid>
                              <w:gridCol w:w="2655"/>
                              <w:gridCol w:w="2655"/>
                              <w:gridCol w:w="1129"/>
                              <w:gridCol w:w="1129"/>
                            </w:tblGrid>
                            <w:tr w:rsidR="00D30153" w:rsidRPr="007B271F" w14:paraId="5DCBAD62" w14:textId="77777777">
                              <w:tblPrEx>
                                <w:tblCellMar>
                                  <w:top w:w="0" w:type="dxa"/>
                                  <w:left w:w="0" w:type="dxa"/>
                                  <w:bottom w:w="0" w:type="dxa"/>
                                  <w:right w:w="0" w:type="dxa"/>
                                </w:tblCellMar>
                              </w:tblPrEx>
                              <w:trPr>
                                <w:trHeight w:val="600"/>
                                <w:tblHeader/>
                              </w:trPr>
                              <w:tc>
                                <w:tcPr>
                                  <w:tcW w:w="2654" w:type="dxa"/>
                                  <w:tcBorders>
                                    <w:top w:val="single" w:sz="16" w:space="0" w:color="89847F"/>
                                    <w:left w:val="nil"/>
                                    <w:bottom w:val="single" w:sz="16" w:space="0" w:color="89847F"/>
                                    <w:right w:val="nil"/>
                                  </w:tcBorders>
                                  <w:shd w:val="clear" w:color="auto" w:fill="D5D5D5"/>
                                  <w:tcMar>
                                    <w:top w:w="80" w:type="dxa"/>
                                    <w:left w:w="80" w:type="dxa"/>
                                    <w:bottom w:w="80" w:type="dxa"/>
                                    <w:right w:w="80" w:type="dxa"/>
                                  </w:tcMar>
                                  <w:vAlign w:val="center"/>
                                </w:tcPr>
                                <w:p w14:paraId="3DA1E50A"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排名</w:t>
                                  </w:r>
                                </w:p>
                              </w:tc>
                              <w:tc>
                                <w:tcPr>
                                  <w:tcW w:w="2654" w:type="dxa"/>
                                  <w:tcBorders>
                                    <w:top w:val="single" w:sz="16" w:space="0" w:color="89847F"/>
                                    <w:left w:val="nil"/>
                                    <w:bottom w:val="single" w:sz="16" w:space="0" w:color="89847F"/>
                                    <w:right w:val="nil"/>
                                  </w:tcBorders>
                                  <w:shd w:val="clear" w:color="auto" w:fill="D5D5D5"/>
                                  <w:tcMar>
                                    <w:top w:w="80" w:type="dxa"/>
                                    <w:left w:w="80" w:type="dxa"/>
                                    <w:bottom w:w="80" w:type="dxa"/>
                                    <w:right w:w="80" w:type="dxa"/>
                                  </w:tcMar>
                                  <w:vAlign w:val="center"/>
                                </w:tcPr>
                                <w:p w14:paraId="06DC7ABE"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职业</w:t>
                                  </w:r>
                                </w:p>
                              </w:tc>
                              <w:tc>
                                <w:tcPr>
                                  <w:tcW w:w="1129" w:type="dxa"/>
                                  <w:tcBorders>
                                    <w:top w:val="single" w:sz="16" w:space="0" w:color="89847F"/>
                                    <w:left w:val="nil"/>
                                    <w:bottom w:val="single" w:sz="16" w:space="0" w:color="89847F"/>
                                    <w:right w:val="nil"/>
                                  </w:tcBorders>
                                  <w:shd w:val="clear" w:color="auto" w:fill="D5D5D5"/>
                                  <w:tcMar>
                                    <w:top w:w="80" w:type="dxa"/>
                                    <w:left w:w="80" w:type="dxa"/>
                                    <w:bottom w:w="80" w:type="dxa"/>
                                    <w:right w:w="80" w:type="dxa"/>
                                  </w:tcMar>
                                  <w:vAlign w:val="center"/>
                                </w:tcPr>
                                <w:p w14:paraId="535D70C9"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竞争</w:t>
                                  </w:r>
                                  <w:r w:rsidRPr="007B271F">
                                    <w:rPr>
                                      <w:rFonts w:ascii="宋体" w:eastAsia="宋体" w:hAnsi="宋体" w:cs="Arial Unicode MS" w:hint="eastAsia"/>
                                      <w:b/>
                                      <w:bCs/>
                                      <w:color w:val="FFFFFF"/>
                                      <w:sz w:val="15"/>
                                      <w:szCs w:val="15"/>
                                    </w:rPr>
                                    <w:t>指数</w:t>
                                  </w:r>
                                </w:p>
                              </w:tc>
                              <w:tc>
                                <w:tcPr>
                                  <w:tcW w:w="1129" w:type="dxa"/>
                                  <w:tcBorders>
                                    <w:top w:val="single" w:sz="16" w:space="0" w:color="89847F"/>
                                    <w:left w:val="nil"/>
                                    <w:bottom w:val="single" w:sz="16" w:space="0" w:color="89847F"/>
                                    <w:right w:val="single" w:sz="4" w:space="0" w:color="929292"/>
                                  </w:tcBorders>
                                  <w:shd w:val="clear" w:color="auto" w:fill="D5D5D5"/>
                                  <w:tcMar>
                                    <w:top w:w="80" w:type="dxa"/>
                                    <w:left w:w="80" w:type="dxa"/>
                                    <w:bottom w:w="80" w:type="dxa"/>
                                    <w:right w:w="80" w:type="dxa"/>
                                  </w:tcMar>
                                  <w:vAlign w:val="center"/>
                                </w:tcPr>
                                <w:p w14:paraId="42BCBDD7"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上一季度排名</w:t>
                                  </w:r>
                                </w:p>
                              </w:tc>
                            </w:tr>
                            <w:tr w:rsidR="00D30153" w:rsidRPr="007B271F" w14:paraId="22707121" w14:textId="77777777">
                              <w:tblPrEx>
                                <w:shd w:val="clear" w:color="auto" w:fill="auto"/>
                                <w:tblCellMar>
                                  <w:top w:w="0" w:type="dxa"/>
                                  <w:left w:w="0" w:type="dxa"/>
                                  <w:bottom w:w="0" w:type="dxa"/>
                                  <w:right w:w="0" w:type="dxa"/>
                                </w:tblCellMar>
                              </w:tblPrEx>
                              <w:trPr>
                                <w:trHeight w:val="300"/>
                              </w:trPr>
                              <w:tc>
                                <w:tcPr>
                                  <w:tcW w:w="2654" w:type="dxa"/>
                                  <w:tcBorders>
                                    <w:top w:val="single" w:sz="16" w:space="0" w:color="89847F"/>
                                    <w:left w:val="nil"/>
                                    <w:bottom w:val="nil"/>
                                    <w:right w:val="nil"/>
                                  </w:tcBorders>
                                  <w:shd w:val="clear" w:color="auto" w:fill="auto"/>
                                  <w:tcMar>
                                    <w:top w:w="80" w:type="dxa"/>
                                    <w:left w:w="80" w:type="dxa"/>
                                    <w:bottom w:w="80" w:type="dxa"/>
                                    <w:right w:w="80" w:type="dxa"/>
                                  </w:tcMar>
                                  <w:vAlign w:val="center"/>
                                </w:tcPr>
                                <w:p w14:paraId="69C75EFE"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1</w:t>
                                  </w:r>
                                </w:p>
                              </w:tc>
                              <w:tc>
                                <w:tcPr>
                                  <w:tcW w:w="2654" w:type="dxa"/>
                                  <w:tcBorders>
                                    <w:top w:val="single" w:sz="16" w:space="0" w:color="89847F"/>
                                    <w:left w:val="nil"/>
                                    <w:bottom w:val="nil"/>
                                    <w:right w:val="nil"/>
                                  </w:tcBorders>
                                  <w:shd w:val="clear" w:color="auto" w:fill="auto"/>
                                  <w:tcMar>
                                    <w:top w:w="80" w:type="dxa"/>
                                    <w:left w:w="80" w:type="dxa"/>
                                    <w:bottom w:w="80" w:type="dxa"/>
                                    <w:right w:w="80" w:type="dxa"/>
                                  </w:tcMar>
                                  <w:vAlign w:val="center"/>
                                </w:tcPr>
                                <w:p w14:paraId="209420AD" w14:textId="77777777" w:rsidR="00D30153" w:rsidRPr="007B271F" w:rsidRDefault="00905380">
                                  <w:pPr>
                                    <w:jc w:val="center"/>
                                    <w:rPr>
                                      <w:rFonts w:ascii="宋体" w:eastAsia="宋体" w:hAnsi="宋体"/>
                                      <w:sz w:val="15"/>
                                      <w:szCs w:val="15"/>
                                    </w:rPr>
                                  </w:pPr>
                                  <w:r w:rsidRPr="007B271F">
                                    <w:rPr>
                                      <w:rFonts w:ascii="宋体" w:eastAsia="宋体" w:hAnsi="宋体" w:cs="Arial Unicode MS" w:hint="eastAsia"/>
                                      <w:sz w:val="15"/>
                                      <w:szCs w:val="15"/>
                                    </w:rPr>
                                    <w:t>软件</w:t>
                                  </w:r>
                                  <w:r w:rsidRPr="007B271F">
                                    <w:rPr>
                                      <w:rFonts w:ascii="宋体" w:eastAsia="宋体" w:hAnsi="宋体" w:cs="Arial Unicode MS"/>
                                      <w:sz w:val="15"/>
                                      <w:szCs w:val="15"/>
                                    </w:rPr>
                                    <w:t>/</w:t>
                                  </w:r>
                                  <w:r w:rsidRPr="007B271F">
                                    <w:rPr>
                                      <w:rFonts w:ascii="宋体" w:eastAsia="宋体" w:hAnsi="宋体" w:cs="Arial Unicode MS" w:hint="eastAsia"/>
                                      <w:sz w:val="15"/>
                                      <w:szCs w:val="15"/>
                                    </w:rPr>
                                    <w:t>互联网开发</w:t>
                                  </w:r>
                                  <w:r w:rsidRPr="007B271F">
                                    <w:rPr>
                                      <w:rFonts w:ascii="宋体" w:eastAsia="宋体" w:hAnsi="宋体" w:cs="Arial Unicode MS"/>
                                      <w:sz w:val="15"/>
                                      <w:szCs w:val="15"/>
                                    </w:rPr>
                                    <w:t>/</w:t>
                                  </w:r>
                                  <w:r w:rsidRPr="007B271F">
                                    <w:rPr>
                                      <w:rFonts w:ascii="宋体" w:eastAsia="宋体" w:hAnsi="宋体" w:cs="Arial Unicode MS" w:hint="eastAsia"/>
                                      <w:sz w:val="15"/>
                                      <w:szCs w:val="15"/>
                                    </w:rPr>
                                    <w:t>系统集成</w:t>
                                  </w:r>
                                </w:p>
                              </w:tc>
                              <w:tc>
                                <w:tcPr>
                                  <w:tcW w:w="1129" w:type="dxa"/>
                                  <w:tcBorders>
                                    <w:top w:val="single" w:sz="16" w:space="0" w:color="89847F"/>
                                    <w:left w:val="nil"/>
                                    <w:bottom w:val="nil"/>
                                    <w:right w:val="nil"/>
                                  </w:tcBorders>
                                  <w:shd w:val="clear" w:color="auto" w:fill="auto"/>
                                  <w:tcMar>
                                    <w:top w:w="80" w:type="dxa"/>
                                    <w:left w:w="80" w:type="dxa"/>
                                    <w:bottom w:w="80" w:type="dxa"/>
                                    <w:right w:w="80" w:type="dxa"/>
                                  </w:tcMar>
                                  <w:vAlign w:val="center"/>
                                </w:tcPr>
                                <w:p w14:paraId="6DB63DA0"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101</w:instrText>
                                  </w:r>
                                  <w:r w:rsidRPr="007B271F">
                                    <w:rPr>
                                      <w:rFonts w:ascii="宋体" w:eastAsia="宋体" w:hAnsi="宋体"/>
                                      <w:sz w:val="15"/>
                                      <w:szCs w:val="15"/>
                                    </w:rPr>
                                    <w:instrText>.2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101.2</w:t>
                                  </w:r>
                                  <w:r w:rsidRPr="007B271F">
                                    <w:rPr>
                                      <w:rFonts w:ascii="宋体" w:eastAsia="宋体" w:hAnsi="宋体"/>
                                      <w:sz w:val="15"/>
                                      <w:szCs w:val="15"/>
                                    </w:rPr>
                                    <w:fldChar w:fldCharType="end"/>
                                  </w:r>
                                </w:p>
                              </w:tc>
                              <w:tc>
                                <w:tcPr>
                                  <w:tcW w:w="1129" w:type="dxa"/>
                                  <w:tcBorders>
                                    <w:top w:val="single" w:sz="16" w:space="0" w:color="89847F"/>
                                    <w:left w:val="nil"/>
                                    <w:bottom w:val="nil"/>
                                    <w:right w:val="single" w:sz="4" w:space="0" w:color="929292"/>
                                  </w:tcBorders>
                                  <w:shd w:val="clear" w:color="auto" w:fill="auto"/>
                                  <w:tcMar>
                                    <w:top w:w="80" w:type="dxa"/>
                                    <w:left w:w="80" w:type="dxa"/>
                                    <w:bottom w:w="80" w:type="dxa"/>
                                    <w:right w:w="80" w:type="dxa"/>
                                  </w:tcMar>
                                  <w:vAlign w:val="center"/>
                                </w:tcPr>
                                <w:p w14:paraId="0367067C"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1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1</w:t>
                                  </w:r>
                                  <w:r w:rsidRPr="007B271F">
                                    <w:rPr>
                                      <w:rFonts w:ascii="宋体" w:eastAsia="宋体" w:hAnsi="宋体"/>
                                      <w:sz w:val="15"/>
                                      <w:szCs w:val="15"/>
                                    </w:rPr>
                                    <w:fldChar w:fldCharType="end"/>
                                  </w:r>
                                </w:p>
                              </w:tc>
                            </w:tr>
                            <w:tr w:rsidR="00D30153" w:rsidRPr="007B271F" w14:paraId="0ED545CD" w14:textId="77777777">
                              <w:tblPrEx>
                                <w:shd w:val="clear" w:color="auto" w:fill="auto"/>
                                <w:tblCellMar>
                                  <w:top w:w="0" w:type="dxa"/>
                                  <w:left w:w="0" w:type="dxa"/>
                                  <w:bottom w:w="0" w:type="dxa"/>
                                  <w:right w:w="0" w:type="dxa"/>
                                </w:tblCellMar>
                              </w:tblPrEx>
                              <w:trPr>
                                <w:trHeight w:val="287"/>
                              </w:trPr>
                              <w:tc>
                                <w:tcPr>
                                  <w:tcW w:w="2654" w:type="dxa"/>
                                  <w:tcBorders>
                                    <w:top w:val="nil"/>
                                    <w:left w:val="nil"/>
                                    <w:bottom w:val="nil"/>
                                    <w:right w:val="nil"/>
                                  </w:tcBorders>
                                  <w:shd w:val="clear" w:color="auto" w:fill="F7F7F6"/>
                                  <w:tcMar>
                                    <w:top w:w="80" w:type="dxa"/>
                                    <w:left w:w="80" w:type="dxa"/>
                                    <w:bottom w:w="80" w:type="dxa"/>
                                    <w:right w:w="80" w:type="dxa"/>
                                  </w:tcMar>
                                  <w:vAlign w:val="center"/>
                                </w:tcPr>
                                <w:p w14:paraId="4EB0CDAA"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2</w:t>
                                  </w:r>
                                </w:p>
                              </w:tc>
                              <w:tc>
                                <w:tcPr>
                                  <w:tcW w:w="2654" w:type="dxa"/>
                                  <w:tcBorders>
                                    <w:top w:val="nil"/>
                                    <w:left w:val="nil"/>
                                    <w:bottom w:val="nil"/>
                                    <w:right w:val="nil"/>
                                  </w:tcBorders>
                                  <w:shd w:val="clear" w:color="auto" w:fill="F7F7F6"/>
                                  <w:tcMar>
                                    <w:top w:w="80" w:type="dxa"/>
                                    <w:left w:w="80" w:type="dxa"/>
                                    <w:bottom w:w="80" w:type="dxa"/>
                                    <w:right w:w="80" w:type="dxa"/>
                                  </w:tcMar>
                                  <w:vAlign w:val="center"/>
                                </w:tcPr>
                                <w:p w14:paraId="6FCEC1F4"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IT</w:t>
                                  </w:r>
                                  <w:r w:rsidRPr="007B271F">
                                    <w:rPr>
                                      <w:rFonts w:ascii="宋体" w:eastAsia="宋体" w:hAnsi="宋体" w:cs="Arial Unicode MS" w:hint="eastAsia"/>
                                      <w:sz w:val="15"/>
                                      <w:szCs w:val="15"/>
                                    </w:rPr>
                                    <w:t>质量管理</w:t>
                                  </w:r>
                                  <w:r w:rsidRPr="007B271F">
                                    <w:rPr>
                                      <w:rFonts w:ascii="宋体" w:eastAsia="宋体" w:hAnsi="宋体" w:cs="Arial Unicode MS"/>
                                      <w:sz w:val="15"/>
                                      <w:szCs w:val="15"/>
                                    </w:rPr>
                                    <w:t>/</w:t>
                                  </w:r>
                                  <w:r w:rsidRPr="007B271F">
                                    <w:rPr>
                                      <w:rFonts w:ascii="宋体" w:eastAsia="宋体" w:hAnsi="宋体" w:cs="Arial Unicode MS" w:hint="eastAsia"/>
                                      <w:sz w:val="15"/>
                                      <w:szCs w:val="15"/>
                                    </w:rPr>
                                    <w:t>测试</w:t>
                                  </w:r>
                                  <w:r w:rsidRPr="007B271F">
                                    <w:rPr>
                                      <w:rFonts w:ascii="宋体" w:eastAsia="宋体" w:hAnsi="宋体" w:cs="Arial Unicode MS"/>
                                      <w:sz w:val="15"/>
                                      <w:szCs w:val="15"/>
                                    </w:rPr>
                                    <w:t>/</w:t>
                                  </w:r>
                                  <w:r w:rsidRPr="007B271F">
                                    <w:rPr>
                                      <w:rFonts w:ascii="宋体" w:eastAsia="宋体" w:hAnsi="宋体" w:cs="Arial Unicode MS" w:hint="eastAsia"/>
                                      <w:sz w:val="15"/>
                                      <w:szCs w:val="15"/>
                                    </w:rPr>
                                    <w:t>配置管理</w:t>
                                  </w:r>
                                </w:p>
                              </w:tc>
                              <w:tc>
                                <w:tcPr>
                                  <w:tcW w:w="1129" w:type="dxa"/>
                                  <w:tcBorders>
                                    <w:top w:val="nil"/>
                                    <w:left w:val="nil"/>
                                    <w:bottom w:val="nil"/>
                                    <w:right w:val="nil"/>
                                  </w:tcBorders>
                                  <w:shd w:val="clear" w:color="auto" w:fill="F7F7F6"/>
                                  <w:tcMar>
                                    <w:top w:w="80" w:type="dxa"/>
                                    <w:left w:w="80" w:type="dxa"/>
                                    <w:bottom w:w="80" w:type="dxa"/>
                                    <w:right w:w="80" w:type="dxa"/>
                                  </w:tcMar>
                                  <w:vAlign w:val="center"/>
                                </w:tcPr>
                                <w:p w14:paraId="69F3AD9E"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87.09999999999999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87.1</w:t>
                                  </w:r>
                                  <w:r w:rsidRPr="007B271F">
                                    <w:rPr>
                                      <w:rFonts w:ascii="宋体" w:eastAsia="宋体" w:hAnsi="宋体"/>
                                      <w:sz w:val="15"/>
                                      <w:szCs w:val="15"/>
                                    </w:rPr>
                                    <w:fldChar w:fldCharType="end"/>
                                  </w:r>
                                </w:p>
                              </w:tc>
                              <w:tc>
                                <w:tcPr>
                                  <w:tcW w:w="1129" w:type="dxa"/>
                                  <w:tcBorders>
                                    <w:top w:val="nil"/>
                                    <w:left w:val="nil"/>
                                    <w:bottom w:val="nil"/>
                                    <w:right w:val="single" w:sz="4" w:space="0" w:color="929292"/>
                                  </w:tcBorders>
                                  <w:shd w:val="clear" w:color="auto" w:fill="F7F7F6"/>
                                  <w:tcMar>
                                    <w:top w:w="80" w:type="dxa"/>
                                    <w:left w:w="80" w:type="dxa"/>
                                    <w:bottom w:w="80" w:type="dxa"/>
                                    <w:right w:w="80" w:type="dxa"/>
                                  </w:tcMar>
                                  <w:vAlign w:val="center"/>
                                </w:tcPr>
                                <w:p w14:paraId="44586987"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2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2</w:t>
                                  </w:r>
                                  <w:r w:rsidRPr="007B271F">
                                    <w:rPr>
                                      <w:rFonts w:ascii="宋体" w:eastAsia="宋体" w:hAnsi="宋体"/>
                                      <w:sz w:val="15"/>
                                      <w:szCs w:val="15"/>
                                    </w:rPr>
                                    <w:fldChar w:fldCharType="end"/>
                                  </w:r>
                                </w:p>
                              </w:tc>
                            </w:tr>
                            <w:tr w:rsidR="00D30153" w:rsidRPr="007B271F" w14:paraId="6066F139" w14:textId="77777777">
                              <w:tblPrEx>
                                <w:shd w:val="clear" w:color="auto" w:fill="auto"/>
                                <w:tblCellMar>
                                  <w:top w:w="0" w:type="dxa"/>
                                  <w:left w:w="0" w:type="dxa"/>
                                  <w:bottom w:w="0" w:type="dxa"/>
                                  <w:right w:w="0" w:type="dxa"/>
                                </w:tblCellMar>
                              </w:tblPrEx>
                              <w:trPr>
                                <w:trHeight w:val="287"/>
                              </w:trPr>
                              <w:tc>
                                <w:tcPr>
                                  <w:tcW w:w="2654" w:type="dxa"/>
                                  <w:tcBorders>
                                    <w:top w:val="nil"/>
                                    <w:left w:val="nil"/>
                                    <w:bottom w:val="single" w:sz="4" w:space="0" w:color="929292"/>
                                    <w:right w:val="nil"/>
                                  </w:tcBorders>
                                  <w:shd w:val="clear" w:color="auto" w:fill="auto"/>
                                  <w:tcMar>
                                    <w:top w:w="80" w:type="dxa"/>
                                    <w:left w:w="80" w:type="dxa"/>
                                    <w:bottom w:w="80" w:type="dxa"/>
                                    <w:right w:w="80" w:type="dxa"/>
                                  </w:tcMar>
                                  <w:vAlign w:val="center"/>
                                </w:tcPr>
                                <w:p w14:paraId="26E37036"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10</w:t>
                                  </w:r>
                                </w:p>
                              </w:tc>
                              <w:tc>
                                <w:tcPr>
                                  <w:tcW w:w="2654" w:type="dxa"/>
                                  <w:tcBorders>
                                    <w:top w:val="nil"/>
                                    <w:left w:val="nil"/>
                                    <w:bottom w:val="single" w:sz="4" w:space="0" w:color="929292"/>
                                    <w:right w:val="nil"/>
                                  </w:tcBorders>
                                  <w:shd w:val="clear" w:color="auto" w:fill="auto"/>
                                  <w:tcMar>
                                    <w:top w:w="80" w:type="dxa"/>
                                    <w:left w:w="80" w:type="dxa"/>
                                    <w:bottom w:w="80" w:type="dxa"/>
                                    <w:right w:w="80" w:type="dxa"/>
                                  </w:tcMar>
                                  <w:vAlign w:val="center"/>
                                </w:tcPr>
                                <w:p w14:paraId="7E549DEE"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IT</w:t>
                                  </w:r>
                                  <w:r w:rsidRPr="007B271F">
                                    <w:rPr>
                                      <w:rFonts w:ascii="宋体" w:eastAsia="宋体" w:hAnsi="宋体" w:cs="Arial Unicode MS" w:hint="eastAsia"/>
                                      <w:sz w:val="15"/>
                                      <w:szCs w:val="15"/>
                                    </w:rPr>
                                    <w:t>运维</w:t>
                                  </w:r>
                                  <w:r w:rsidRPr="007B271F">
                                    <w:rPr>
                                      <w:rFonts w:ascii="宋体" w:eastAsia="宋体" w:hAnsi="宋体" w:cs="Arial Unicode MS"/>
                                      <w:sz w:val="15"/>
                                      <w:szCs w:val="15"/>
                                    </w:rPr>
                                    <w:t>/</w:t>
                                  </w:r>
                                  <w:r w:rsidRPr="007B271F">
                                    <w:rPr>
                                      <w:rFonts w:ascii="宋体" w:eastAsia="宋体" w:hAnsi="宋体" w:cs="Arial Unicode MS" w:hint="eastAsia"/>
                                      <w:sz w:val="15"/>
                                      <w:szCs w:val="15"/>
                                    </w:rPr>
                                    <w:t>技术支持</w:t>
                                  </w:r>
                                </w:p>
                              </w:tc>
                              <w:tc>
                                <w:tcPr>
                                  <w:tcW w:w="1129" w:type="dxa"/>
                                  <w:tcBorders>
                                    <w:top w:val="nil"/>
                                    <w:left w:val="nil"/>
                                    <w:bottom w:val="single" w:sz="4" w:space="0" w:color="929292"/>
                                    <w:right w:val="nil"/>
                                  </w:tcBorders>
                                  <w:shd w:val="clear" w:color="auto" w:fill="auto"/>
                                  <w:tcMar>
                                    <w:top w:w="80" w:type="dxa"/>
                                    <w:left w:w="80" w:type="dxa"/>
                                    <w:bottom w:w="80" w:type="dxa"/>
                                    <w:right w:w="80" w:type="dxa"/>
                                  </w:tcMar>
                                  <w:vAlign w:val="center"/>
                                </w:tcPr>
                                <w:p w14:paraId="0F3BBD42"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36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36</w:t>
                                  </w:r>
                                  <w:r w:rsidRPr="007B271F">
                                    <w:rPr>
                                      <w:rFonts w:ascii="宋体" w:eastAsia="宋体" w:hAnsi="宋体"/>
                                      <w:sz w:val="15"/>
                                      <w:szCs w:val="15"/>
                                    </w:rPr>
                                    <w:fldChar w:fldCharType="end"/>
                                  </w:r>
                                </w:p>
                              </w:tc>
                              <w:tc>
                                <w:tcPr>
                                  <w:tcW w:w="1129" w:type="dxa"/>
                                  <w:tcBorders>
                                    <w:top w:val="nil"/>
                                    <w:left w:val="nil"/>
                                    <w:bottom w:val="single" w:sz="4" w:space="0" w:color="929292"/>
                                    <w:right w:val="single" w:sz="4" w:space="0" w:color="929292"/>
                                  </w:tcBorders>
                                  <w:shd w:val="clear" w:color="auto" w:fill="auto"/>
                                  <w:tcMar>
                                    <w:top w:w="80" w:type="dxa"/>
                                    <w:left w:w="80" w:type="dxa"/>
                                    <w:bottom w:w="80" w:type="dxa"/>
                                    <w:right w:w="80" w:type="dxa"/>
                                  </w:tcMar>
                                  <w:vAlign w:val="center"/>
                                </w:tcPr>
                                <w:p w14:paraId="01D841F4"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12</w:t>
                                  </w:r>
                                </w:p>
                              </w:tc>
                            </w:tr>
                          </w:tbl>
                          <w:p w14:paraId="684111C4" w14:textId="77777777" w:rsidR="00000000" w:rsidRDefault="00905380"/>
                        </w:txbxContent>
                      </wps:txbx>
                      <wps:bodyPr lIns="0" tIns="0" rIns="0" bIns="0">
                        <a:spAutoFit/>
                      </wps:bodyPr>
                    </wps:wsp>
                  </a:graphicData>
                </a:graphic>
              </wp:anchor>
            </w:drawing>
          </mc:Choice>
          <mc:Fallback>
            <w:pict>
              <v:rect w14:anchorId="59A6ADE0" id="officeArt object" o:spid="_x0000_s1026" style="position:absolute;left:0;text-align:left;margin-left:108.4pt;margin-top:100.65pt;width:381pt;height:24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" filled="f" stroked="f">
                <v:textbox style="mso-fit-shape-to-text:t" inset="0,0,0,0">
                  <w:txbxContent>
                    <w:tbl>
                      <w:tblPr>
                        <w:tblStyle w:val="TableNormal"/>
                        <w:tblW w:w="756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00A2FF"/>
                        <w:tblLayout w:type="fixed"/>
                        <w:tblCellMar>
                          <w:top w:w="0" w:type="dxa"/>
                          <w:left w:w="0" w:type="dxa"/>
                          <w:bottom w:w="0" w:type="dxa"/>
                          <w:right w:w="0" w:type="dxa"/>
                        </w:tblCellMar>
                        <w:tblLook w:val="04A0" w:firstRow="1" w:lastRow="0" w:firstColumn="1" w:lastColumn="0" w:noHBand="0" w:noVBand="1"/>
                      </w:tblPr>
                      <w:tblGrid>
                        <w:gridCol w:w="2655"/>
                        <w:gridCol w:w="2655"/>
                        <w:gridCol w:w="1129"/>
                        <w:gridCol w:w="1129"/>
                      </w:tblGrid>
                      <w:tr w:rsidR="00D30153" w:rsidRPr="007B271F" w14:paraId="5DCBAD62" w14:textId="77777777">
                        <w:tblPrEx>
                          <w:tblCellMar>
                            <w:top w:w="0" w:type="dxa"/>
                            <w:left w:w="0" w:type="dxa"/>
                            <w:bottom w:w="0" w:type="dxa"/>
                            <w:right w:w="0" w:type="dxa"/>
                          </w:tblCellMar>
                        </w:tblPrEx>
                        <w:trPr>
                          <w:trHeight w:val="600"/>
                          <w:tblHeader/>
                        </w:trPr>
                        <w:tc>
                          <w:tcPr>
                            <w:tcW w:w="2654" w:type="dxa"/>
                            <w:tcBorders>
                              <w:top w:val="single" w:sz="16" w:space="0" w:color="89847F"/>
                              <w:left w:val="nil"/>
                              <w:bottom w:val="single" w:sz="16" w:space="0" w:color="89847F"/>
                              <w:right w:val="nil"/>
                            </w:tcBorders>
                            <w:shd w:val="clear" w:color="auto" w:fill="D5D5D5"/>
                            <w:tcMar>
                              <w:top w:w="80" w:type="dxa"/>
                              <w:left w:w="80" w:type="dxa"/>
                              <w:bottom w:w="80" w:type="dxa"/>
                              <w:right w:w="80" w:type="dxa"/>
                            </w:tcMar>
                            <w:vAlign w:val="center"/>
                          </w:tcPr>
                          <w:p w14:paraId="3DA1E50A"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排名</w:t>
                            </w:r>
                          </w:p>
                        </w:tc>
                        <w:tc>
                          <w:tcPr>
                            <w:tcW w:w="2654" w:type="dxa"/>
                            <w:tcBorders>
                              <w:top w:val="single" w:sz="16" w:space="0" w:color="89847F"/>
                              <w:left w:val="nil"/>
                              <w:bottom w:val="single" w:sz="16" w:space="0" w:color="89847F"/>
                              <w:right w:val="nil"/>
                            </w:tcBorders>
                            <w:shd w:val="clear" w:color="auto" w:fill="D5D5D5"/>
                            <w:tcMar>
                              <w:top w:w="80" w:type="dxa"/>
                              <w:left w:w="80" w:type="dxa"/>
                              <w:bottom w:w="80" w:type="dxa"/>
                              <w:right w:w="80" w:type="dxa"/>
                            </w:tcMar>
                            <w:vAlign w:val="center"/>
                          </w:tcPr>
                          <w:p w14:paraId="06DC7ABE"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职业</w:t>
                            </w:r>
                          </w:p>
                        </w:tc>
                        <w:tc>
                          <w:tcPr>
                            <w:tcW w:w="1129" w:type="dxa"/>
                            <w:tcBorders>
                              <w:top w:val="single" w:sz="16" w:space="0" w:color="89847F"/>
                              <w:left w:val="nil"/>
                              <w:bottom w:val="single" w:sz="16" w:space="0" w:color="89847F"/>
                              <w:right w:val="nil"/>
                            </w:tcBorders>
                            <w:shd w:val="clear" w:color="auto" w:fill="D5D5D5"/>
                            <w:tcMar>
                              <w:top w:w="80" w:type="dxa"/>
                              <w:left w:w="80" w:type="dxa"/>
                              <w:bottom w:w="80" w:type="dxa"/>
                              <w:right w:w="80" w:type="dxa"/>
                            </w:tcMar>
                            <w:vAlign w:val="center"/>
                          </w:tcPr>
                          <w:p w14:paraId="535D70C9"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竞争</w:t>
                            </w:r>
                            <w:r w:rsidRPr="007B271F">
                              <w:rPr>
                                <w:rFonts w:ascii="宋体" w:eastAsia="宋体" w:hAnsi="宋体" w:cs="Arial Unicode MS" w:hint="eastAsia"/>
                                <w:b/>
                                <w:bCs/>
                                <w:color w:val="FFFFFF"/>
                                <w:sz w:val="15"/>
                                <w:szCs w:val="15"/>
                              </w:rPr>
                              <w:t>指数</w:t>
                            </w:r>
                          </w:p>
                        </w:tc>
                        <w:tc>
                          <w:tcPr>
                            <w:tcW w:w="1129" w:type="dxa"/>
                            <w:tcBorders>
                              <w:top w:val="single" w:sz="16" w:space="0" w:color="89847F"/>
                              <w:left w:val="nil"/>
                              <w:bottom w:val="single" w:sz="16" w:space="0" w:color="89847F"/>
                              <w:right w:val="single" w:sz="4" w:space="0" w:color="929292"/>
                            </w:tcBorders>
                            <w:shd w:val="clear" w:color="auto" w:fill="D5D5D5"/>
                            <w:tcMar>
                              <w:top w:w="80" w:type="dxa"/>
                              <w:left w:w="80" w:type="dxa"/>
                              <w:bottom w:w="80" w:type="dxa"/>
                              <w:right w:w="80" w:type="dxa"/>
                            </w:tcMar>
                            <w:vAlign w:val="center"/>
                          </w:tcPr>
                          <w:p w14:paraId="42BCBDD7" w14:textId="77777777" w:rsidR="00D30153" w:rsidRPr="007B271F" w:rsidRDefault="00905380">
                            <w:pPr>
                              <w:keepNext/>
                              <w:jc w:val="center"/>
                              <w:rPr>
                                <w:rFonts w:ascii="宋体" w:eastAsia="宋体" w:hAnsi="宋体"/>
                                <w:sz w:val="15"/>
                                <w:szCs w:val="15"/>
                              </w:rPr>
                            </w:pPr>
                            <w:r w:rsidRPr="007B271F">
                              <w:rPr>
                                <w:rFonts w:ascii="宋体" w:eastAsia="宋体" w:hAnsi="宋体" w:cs="Arial Unicode MS" w:hint="eastAsia"/>
                                <w:b/>
                                <w:bCs/>
                                <w:color w:val="FFFFFF"/>
                                <w:sz w:val="15"/>
                                <w:szCs w:val="15"/>
                              </w:rPr>
                              <w:t>上一季度排名</w:t>
                            </w:r>
                          </w:p>
                        </w:tc>
                      </w:tr>
                      <w:tr w:rsidR="00D30153" w:rsidRPr="007B271F" w14:paraId="22707121" w14:textId="77777777">
                        <w:tblPrEx>
                          <w:shd w:val="clear" w:color="auto" w:fill="auto"/>
                          <w:tblCellMar>
                            <w:top w:w="0" w:type="dxa"/>
                            <w:left w:w="0" w:type="dxa"/>
                            <w:bottom w:w="0" w:type="dxa"/>
                            <w:right w:w="0" w:type="dxa"/>
                          </w:tblCellMar>
                        </w:tblPrEx>
                        <w:trPr>
                          <w:trHeight w:val="300"/>
                        </w:trPr>
                        <w:tc>
                          <w:tcPr>
                            <w:tcW w:w="2654" w:type="dxa"/>
                            <w:tcBorders>
                              <w:top w:val="single" w:sz="16" w:space="0" w:color="89847F"/>
                              <w:left w:val="nil"/>
                              <w:bottom w:val="nil"/>
                              <w:right w:val="nil"/>
                            </w:tcBorders>
                            <w:shd w:val="clear" w:color="auto" w:fill="auto"/>
                            <w:tcMar>
                              <w:top w:w="80" w:type="dxa"/>
                              <w:left w:w="80" w:type="dxa"/>
                              <w:bottom w:w="80" w:type="dxa"/>
                              <w:right w:w="80" w:type="dxa"/>
                            </w:tcMar>
                            <w:vAlign w:val="center"/>
                          </w:tcPr>
                          <w:p w14:paraId="69C75EFE"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1</w:t>
                            </w:r>
                          </w:p>
                        </w:tc>
                        <w:tc>
                          <w:tcPr>
                            <w:tcW w:w="2654" w:type="dxa"/>
                            <w:tcBorders>
                              <w:top w:val="single" w:sz="16" w:space="0" w:color="89847F"/>
                              <w:left w:val="nil"/>
                              <w:bottom w:val="nil"/>
                              <w:right w:val="nil"/>
                            </w:tcBorders>
                            <w:shd w:val="clear" w:color="auto" w:fill="auto"/>
                            <w:tcMar>
                              <w:top w:w="80" w:type="dxa"/>
                              <w:left w:w="80" w:type="dxa"/>
                              <w:bottom w:w="80" w:type="dxa"/>
                              <w:right w:w="80" w:type="dxa"/>
                            </w:tcMar>
                            <w:vAlign w:val="center"/>
                          </w:tcPr>
                          <w:p w14:paraId="209420AD" w14:textId="77777777" w:rsidR="00D30153" w:rsidRPr="007B271F" w:rsidRDefault="00905380">
                            <w:pPr>
                              <w:jc w:val="center"/>
                              <w:rPr>
                                <w:rFonts w:ascii="宋体" w:eastAsia="宋体" w:hAnsi="宋体"/>
                                <w:sz w:val="15"/>
                                <w:szCs w:val="15"/>
                              </w:rPr>
                            </w:pPr>
                            <w:r w:rsidRPr="007B271F">
                              <w:rPr>
                                <w:rFonts w:ascii="宋体" w:eastAsia="宋体" w:hAnsi="宋体" w:cs="Arial Unicode MS" w:hint="eastAsia"/>
                                <w:sz w:val="15"/>
                                <w:szCs w:val="15"/>
                              </w:rPr>
                              <w:t>软件</w:t>
                            </w:r>
                            <w:r w:rsidRPr="007B271F">
                              <w:rPr>
                                <w:rFonts w:ascii="宋体" w:eastAsia="宋体" w:hAnsi="宋体" w:cs="Arial Unicode MS"/>
                                <w:sz w:val="15"/>
                                <w:szCs w:val="15"/>
                              </w:rPr>
                              <w:t>/</w:t>
                            </w:r>
                            <w:r w:rsidRPr="007B271F">
                              <w:rPr>
                                <w:rFonts w:ascii="宋体" w:eastAsia="宋体" w:hAnsi="宋体" w:cs="Arial Unicode MS" w:hint="eastAsia"/>
                                <w:sz w:val="15"/>
                                <w:szCs w:val="15"/>
                              </w:rPr>
                              <w:t>互联网开发</w:t>
                            </w:r>
                            <w:r w:rsidRPr="007B271F">
                              <w:rPr>
                                <w:rFonts w:ascii="宋体" w:eastAsia="宋体" w:hAnsi="宋体" w:cs="Arial Unicode MS"/>
                                <w:sz w:val="15"/>
                                <w:szCs w:val="15"/>
                              </w:rPr>
                              <w:t>/</w:t>
                            </w:r>
                            <w:r w:rsidRPr="007B271F">
                              <w:rPr>
                                <w:rFonts w:ascii="宋体" w:eastAsia="宋体" w:hAnsi="宋体" w:cs="Arial Unicode MS" w:hint="eastAsia"/>
                                <w:sz w:val="15"/>
                                <w:szCs w:val="15"/>
                              </w:rPr>
                              <w:t>系统集成</w:t>
                            </w:r>
                          </w:p>
                        </w:tc>
                        <w:tc>
                          <w:tcPr>
                            <w:tcW w:w="1129" w:type="dxa"/>
                            <w:tcBorders>
                              <w:top w:val="single" w:sz="16" w:space="0" w:color="89847F"/>
                              <w:left w:val="nil"/>
                              <w:bottom w:val="nil"/>
                              <w:right w:val="nil"/>
                            </w:tcBorders>
                            <w:shd w:val="clear" w:color="auto" w:fill="auto"/>
                            <w:tcMar>
                              <w:top w:w="80" w:type="dxa"/>
                              <w:left w:w="80" w:type="dxa"/>
                              <w:bottom w:w="80" w:type="dxa"/>
                              <w:right w:w="80" w:type="dxa"/>
                            </w:tcMar>
                            <w:vAlign w:val="center"/>
                          </w:tcPr>
                          <w:p w14:paraId="6DB63DA0"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101</w:instrText>
                            </w:r>
                            <w:r w:rsidRPr="007B271F">
                              <w:rPr>
                                <w:rFonts w:ascii="宋体" w:eastAsia="宋体" w:hAnsi="宋体"/>
                                <w:sz w:val="15"/>
                                <w:szCs w:val="15"/>
                              </w:rPr>
                              <w:instrText>.2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101.2</w:t>
                            </w:r>
                            <w:r w:rsidRPr="007B271F">
                              <w:rPr>
                                <w:rFonts w:ascii="宋体" w:eastAsia="宋体" w:hAnsi="宋体"/>
                                <w:sz w:val="15"/>
                                <w:szCs w:val="15"/>
                              </w:rPr>
                              <w:fldChar w:fldCharType="end"/>
                            </w:r>
                          </w:p>
                        </w:tc>
                        <w:tc>
                          <w:tcPr>
                            <w:tcW w:w="1129" w:type="dxa"/>
                            <w:tcBorders>
                              <w:top w:val="single" w:sz="16" w:space="0" w:color="89847F"/>
                              <w:left w:val="nil"/>
                              <w:bottom w:val="nil"/>
                              <w:right w:val="single" w:sz="4" w:space="0" w:color="929292"/>
                            </w:tcBorders>
                            <w:shd w:val="clear" w:color="auto" w:fill="auto"/>
                            <w:tcMar>
                              <w:top w:w="80" w:type="dxa"/>
                              <w:left w:w="80" w:type="dxa"/>
                              <w:bottom w:w="80" w:type="dxa"/>
                              <w:right w:w="80" w:type="dxa"/>
                            </w:tcMar>
                            <w:vAlign w:val="center"/>
                          </w:tcPr>
                          <w:p w14:paraId="0367067C"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1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1</w:t>
                            </w:r>
                            <w:r w:rsidRPr="007B271F">
                              <w:rPr>
                                <w:rFonts w:ascii="宋体" w:eastAsia="宋体" w:hAnsi="宋体"/>
                                <w:sz w:val="15"/>
                                <w:szCs w:val="15"/>
                              </w:rPr>
                              <w:fldChar w:fldCharType="end"/>
                            </w:r>
                          </w:p>
                        </w:tc>
                      </w:tr>
                      <w:tr w:rsidR="00D30153" w:rsidRPr="007B271F" w14:paraId="0ED545CD" w14:textId="77777777">
                        <w:tblPrEx>
                          <w:shd w:val="clear" w:color="auto" w:fill="auto"/>
                          <w:tblCellMar>
                            <w:top w:w="0" w:type="dxa"/>
                            <w:left w:w="0" w:type="dxa"/>
                            <w:bottom w:w="0" w:type="dxa"/>
                            <w:right w:w="0" w:type="dxa"/>
                          </w:tblCellMar>
                        </w:tblPrEx>
                        <w:trPr>
                          <w:trHeight w:val="287"/>
                        </w:trPr>
                        <w:tc>
                          <w:tcPr>
                            <w:tcW w:w="2654" w:type="dxa"/>
                            <w:tcBorders>
                              <w:top w:val="nil"/>
                              <w:left w:val="nil"/>
                              <w:bottom w:val="nil"/>
                              <w:right w:val="nil"/>
                            </w:tcBorders>
                            <w:shd w:val="clear" w:color="auto" w:fill="F7F7F6"/>
                            <w:tcMar>
                              <w:top w:w="80" w:type="dxa"/>
                              <w:left w:w="80" w:type="dxa"/>
                              <w:bottom w:w="80" w:type="dxa"/>
                              <w:right w:w="80" w:type="dxa"/>
                            </w:tcMar>
                            <w:vAlign w:val="center"/>
                          </w:tcPr>
                          <w:p w14:paraId="4EB0CDAA"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2</w:t>
                            </w:r>
                          </w:p>
                        </w:tc>
                        <w:tc>
                          <w:tcPr>
                            <w:tcW w:w="2654" w:type="dxa"/>
                            <w:tcBorders>
                              <w:top w:val="nil"/>
                              <w:left w:val="nil"/>
                              <w:bottom w:val="nil"/>
                              <w:right w:val="nil"/>
                            </w:tcBorders>
                            <w:shd w:val="clear" w:color="auto" w:fill="F7F7F6"/>
                            <w:tcMar>
                              <w:top w:w="80" w:type="dxa"/>
                              <w:left w:w="80" w:type="dxa"/>
                              <w:bottom w:w="80" w:type="dxa"/>
                              <w:right w:w="80" w:type="dxa"/>
                            </w:tcMar>
                            <w:vAlign w:val="center"/>
                          </w:tcPr>
                          <w:p w14:paraId="6FCEC1F4"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IT</w:t>
                            </w:r>
                            <w:r w:rsidRPr="007B271F">
                              <w:rPr>
                                <w:rFonts w:ascii="宋体" w:eastAsia="宋体" w:hAnsi="宋体" w:cs="Arial Unicode MS" w:hint="eastAsia"/>
                                <w:sz w:val="15"/>
                                <w:szCs w:val="15"/>
                              </w:rPr>
                              <w:t>质量管理</w:t>
                            </w:r>
                            <w:r w:rsidRPr="007B271F">
                              <w:rPr>
                                <w:rFonts w:ascii="宋体" w:eastAsia="宋体" w:hAnsi="宋体" w:cs="Arial Unicode MS"/>
                                <w:sz w:val="15"/>
                                <w:szCs w:val="15"/>
                              </w:rPr>
                              <w:t>/</w:t>
                            </w:r>
                            <w:r w:rsidRPr="007B271F">
                              <w:rPr>
                                <w:rFonts w:ascii="宋体" w:eastAsia="宋体" w:hAnsi="宋体" w:cs="Arial Unicode MS" w:hint="eastAsia"/>
                                <w:sz w:val="15"/>
                                <w:szCs w:val="15"/>
                              </w:rPr>
                              <w:t>测试</w:t>
                            </w:r>
                            <w:r w:rsidRPr="007B271F">
                              <w:rPr>
                                <w:rFonts w:ascii="宋体" w:eastAsia="宋体" w:hAnsi="宋体" w:cs="Arial Unicode MS"/>
                                <w:sz w:val="15"/>
                                <w:szCs w:val="15"/>
                              </w:rPr>
                              <w:t>/</w:t>
                            </w:r>
                            <w:r w:rsidRPr="007B271F">
                              <w:rPr>
                                <w:rFonts w:ascii="宋体" w:eastAsia="宋体" w:hAnsi="宋体" w:cs="Arial Unicode MS" w:hint="eastAsia"/>
                                <w:sz w:val="15"/>
                                <w:szCs w:val="15"/>
                              </w:rPr>
                              <w:t>配置管理</w:t>
                            </w:r>
                          </w:p>
                        </w:tc>
                        <w:tc>
                          <w:tcPr>
                            <w:tcW w:w="1129" w:type="dxa"/>
                            <w:tcBorders>
                              <w:top w:val="nil"/>
                              <w:left w:val="nil"/>
                              <w:bottom w:val="nil"/>
                              <w:right w:val="nil"/>
                            </w:tcBorders>
                            <w:shd w:val="clear" w:color="auto" w:fill="F7F7F6"/>
                            <w:tcMar>
                              <w:top w:w="80" w:type="dxa"/>
                              <w:left w:w="80" w:type="dxa"/>
                              <w:bottom w:w="80" w:type="dxa"/>
                              <w:right w:w="80" w:type="dxa"/>
                            </w:tcMar>
                            <w:vAlign w:val="center"/>
                          </w:tcPr>
                          <w:p w14:paraId="69F3AD9E"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87.09999999999999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87.1</w:t>
                            </w:r>
                            <w:r w:rsidRPr="007B271F">
                              <w:rPr>
                                <w:rFonts w:ascii="宋体" w:eastAsia="宋体" w:hAnsi="宋体"/>
                                <w:sz w:val="15"/>
                                <w:szCs w:val="15"/>
                              </w:rPr>
                              <w:fldChar w:fldCharType="end"/>
                            </w:r>
                          </w:p>
                        </w:tc>
                        <w:tc>
                          <w:tcPr>
                            <w:tcW w:w="1129" w:type="dxa"/>
                            <w:tcBorders>
                              <w:top w:val="nil"/>
                              <w:left w:val="nil"/>
                              <w:bottom w:val="nil"/>
                              <w:right w:val="single" w:sz="4" w:space="0" w:color="929292"/>
                            </w:tcBorders>
                            <w:shd w:val="clear" w:color="auto" w:fill="F7F7F6"/>
                            <w:tcMar>
                              <w:top w:w="80" w:type="dxa"/>
                              <w:left w:w="80" w:type="dxa"/>
                              <w:bottom w:w="80" w:type="dxa"/>
                              <w:right w:w="80" w:type="dxa"/>
                            </w:tcMar>
                            <w:vAlign w:val="center"/>
                          </w:tcPr>
                          <w:p w14:paraId="44586987"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2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2</w:t>
                            </w:r>
                            <w:r w:rsidRPr="007B271F">
                              <w:rPr>
                                <w:rFonts w:ascii="宋体" w:eastAsia="宋体" w:hAnsi="宋体"/>
                                <w:sz w:val="15"/>
                                <w:szCs w:val="15"/>
                              </w:rPr>
                              <w:fldChar w:fldCharType="end"/>
                            </w:r>
                          </w:p>
                        </w:tc>
                      </w:tr>
                      <w:tr w:rsidR="00D30153" w:rsidRPr="007B271F" w14:paraId="6066F139" w14:textId="77777777">
                        <w:tblPrEx>
                          <w:shd w:val="clear" w:color="auto" w:fill="auto"/>
                          <w:tblCellMar>
                            <w:top w:w="0" w:type="dxa"/>
                            <w:left w:w="0" w:type="dxa"/>
                            <w:bottom w:w="0" w:type="dxa"/>
                            <w:right w:w="0" w:type="dxa"/>
                          </w:tblCellMar>
                        </w:tblPrEx>
                        <w:trPr>
                          <w:trHeight w:val="287"/>
                        </w:trPr>
                        <w:tc>
                          <w:tcPr>
                            <w:tcW w:w="2654" w:type="dxa"/>
                            <w:tcBorders>
                              <w:top w:val="nil"/>
                              <w:left w:val="nil"/>
                              <w:bottom w:val="single" w:sz="4" w:space="0" w:color="929292"/>
                              <w:right w:val="nil"/>
                            </w:tcBorders>
                            <w:shd w:val="clear" w:color="auto" w:fill="auto"/>
                            <w:tcMar>
                              <w:top w:w="80" w:type="dxa"/>
                              <w:left w:w="80" w:type="dxa"/>
                              <w:bottom w:w="80" w:type="dxa"/>
                              <w:right w:w="80" w:type="dxa"/>
                            </w:tcMar>
                            <w:vAlign w:val="center"/>
                          </w:tcPr>
                          <w:p w14:paraId="26E37036"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10</w:t>
                            </w:r>
                          </w:p>
                        </w:tc>
                        <w:tc>
                          <w:tcPr>
                            <w:tcW w:w="2654" w:type="dxa"/>
                            <w:tcBorders>
                              <w:top w:val="nil"/>
                              <w:left w:val="nil"/>
                              <w:bottom w:val="single" w:sz="4" w:space="0" w:color="929292"/>
                              <w:right w:val="nil"/>
                            </w:tcBorders>
                            <w:shd w:val="clear" w:color="auto" w:fill="auto"/>
                            <w:tcMar>
                              <w:top w:w="80" w:type="dxa"/>
                              <w:left w:w="80" w:type="dxa"/>
                              <w:bottom w:w="80" w:type="dxa"/>
                              <w:right w:w="80" w:type="dxa"/>
                            </w:tcMar>
                            <w:vAlign w:val="center"/>
                          </w:tcPr>
                          <w:p w14:paraId="7E549DEE"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IT</w:t>
                            </w:r>
                            <w:r w:rsidRPr="007B271F">
                              <w:rPr>
                                <w:rFonts w:ascii="宋体" w:eastAsia="宋体" w:hAnsi="宋体" w:cs="Arial Unicode MS" w:hint="eastAsia"/>
                                <w:sz w:val="15"/>
                                <w:szCs w:val="15"/>
                              </w:rPr>
                              <w:t>运维</w:t>
                            </w:r>
                            <w:r w:rsidRPr="007B271F">
                              <w:rPr>
                                <w:rFonts w:ascii="宋体" w:eastAsia="宋体" w:hAnsi="宋体" w:cs="Arial Unicode MS"/>
                                <w:sz w:val="15"/>
                                <w:szCs w:val="15"/>
                              </w:rPr>
                              <w:t>/</w:t>
                            </w:r>
                            <w:r w:rsidRPr="007B271F">
                              <w:rPr>
                                <w:rFonts w:ascii="宋体" w:eastAsia="宋体" w:hAnsi="宋体" w:cs="Arial Unicode MS" w:hint="eastAsia"/>
                                <w:sz w:val="15"/>
                                <w:szCs w:val="15"/>
                              </w:rPr>
                              <w:t>技术支持</w:t>
                            </w:r>
                          </w:p>
                        </w:tc>
                        <w:tc>
                          <w:tcPr>
                            <w:tcW w:w="1129" w:type="dxa"/>
                            <w:tcBorders>
                              <w:top w:val="nil"/>
                              <w:left w:val="nil"/>
                              <w:bottom w:val="single" w:sz="4" w:space="0" w:color="929292"/>
                              <w:right w:val="nil"/>
                            </w:tcBorders>
                            <w:shd w:val="clear" w:color="auto" w:fill="auto"/>
                            <w:tcMar>
                              <w:top w:w="80" w:type="dxa"/>
                              <w:left w:w="80" w:type="dxa"/>
                              <w:bottom w:w="80" w:type="dxa"/>
                              <w:right w:w="80" w:type="dxa"/>
                            </w:tcMar>
                            <w:vAlign w:val="center"/>
                          </w:tcPr>
                          <w:p w14:paraId="0F3BBD42" w14:textId="77777777" w:rsidR="00D30153" w:rsidRPr="007B271F" w:rsidRDefault="00905380">
                            <w:pPr>
                              <w:jc w:val="center"/>
                              <w:rPr>
                                <w:rFonts w:ascii="宋体" w:eastAsia="宋体" w:hAnsi="宋体"/>
                                <w:sz w:val="15"/>
                                <w:szCs w:val="15"/>
                              </w:rPr>
                            </w:pPr>
                            <w:r w:rsidRPr="007B271F">
                              <w:rPr>
                                <w:rFonts w:ascii="宋体" w:eastAsia="宋体" w:hAnsi="宋体"/>
                                <w:sz w:val="15"/>
                                <w:szCs w:val="15"/>
                              </w:rPr>
                              <w:fldChar w:fldCharType="begin"/>
                            </w:r>
                            <w:r w:rsidRPr="007B271F">
                              <w:rPr>
                                <w:rFonts w:ascii="宋体" w:eastAsia="宋体" w:hAnsi="宋体"/>
                                <w:sz w:val="15"/>
                                <w:szCs w:val="15"/>
                              </w:rPr>
                              <w:instrText xml:space="preserve"> = 36 \# "0" \* MERGEFORMAT</w:instrText>
                            </w:r>
                            <w:r w:rsidRPr="007B271F">
                              <w:rPr>
                                <w:rFonts w:ascii="宋体" w:eastAsia="宋体" w:hAnsi="宋体"/>
                                <w:sz w:val="15"/>
                                <w:szCs w:val="15"/>
                              </w:rPr>
                              <w:fldChar w:fldCharType="separate"/>
                            </w:r>
                            <w:r w:rsidRPr="007B271F">
                              <w:rPr>
                                <w:rFonts w:ascii="宋体" w:eastAsia="宋体" w:hAnsi="宋体" w:cs="Arial Unicode MS"/>
                                <w:sz w:val="15"/>
                                <w:szCs w:val="15"/>
                              </w:rPr>
                              <w:t>36</w:t>
                            </w:r>
                            <w:r w:rsidRPr="007B271F">
                              <w:rPr>
                                <w:rFonts w:ascii="宋体" w:eastAsia="宋体" w:hAnsi="宋体"/>
                                <w:sz w:val="15"/>
                                <w:szCs w:val="15"/>
                              </w:rPr>
                              <w:fldChar w:fldCharType="end"/>
                            </w:r>
                          </w:p>
                        </w:tc>
                        <w:tc>
                          <w:tcPr>
                            <w:tcW w:w="1129" w:type="dxa"/>
                            <w:tcBorders>
                              <w:top w:val="nil"/>
                              <w:left w:val="nil"/>
                              <w:bottom w:val="single" w:sz="4" w:space="0" w:color="929292"/>
                              <w:right w:val="single" w:sz="4" w:space="0" w:color="929292"/>
                            </w:tcBorders>
                            <w:shd w:val="clear" w:color="auto" w:fill="auto"/>
                            <w:tcMar>
                              <w:top w:w="80" w:type="dxa"/>
                              <w:left w:w="80" w:type="dxa"/>
                              <w:bottom w:w="80" w:type="dxa"/>
                              <w:right w:w="80" w:type="dxa"/>
                            </w:tcMar>
                            <w:vAlign w:val="center"/>
                          </w:tcPr>
                          <w:p w14:paraId="01D841F4" w14:textId="77777777" w:rsidR="00D30153" w:rsidRPr="007B271F" w:rsidRDefault="00905380">
                            <w:pPr>
                              <w:jc w:val="center"/>
                              <w:rPr>
                                <w:rFonts w:ascii="宋体" w:eastAsia="宋体" w:hAnsi="宋体"/>
                                <w:sz w:val="15"/>
                                <w:szCs w:val="15"/>
                              </w:rPr>
                            </w:pPr>
                            <w:r w:rsidRPr="007B271F">
                              <w:rPr>
                                <w:rFonts w:ascii="宋体" w:eastAsia="宋体" w:hAnsi="宋体" w:cs="Arial Unicode MS"/>
                                <w:sz w:val="15"/>
                                <w:szCs w:val="15"/>
                              </w:rPr>
                              <w:t>12</w:t>
                            </w:r>
                          </w:p>
                        </w:tc>
                      </w:tr>
                    </w:tbl>
                    <w:p w14:paraId="684111C4" w14:textId="77777777" w:rsidR="00000000" w:rsidRDefault="00905380"/>
                  </w:txbxContent>
                </v:textbox>
                <w10:wrap type="topAndBottom" anchorx="page" anchory="page"/>
              </v:rect>
            </w:pict>
          </mc:Fallback>
        </mc:AlternateContent>
      </w:r>
    </w:p>
    <w:p w14:paraId="2B42DA3D" w14:textId="59491643" w:rsidR="00D30153" w:rsidRPr="007B271F" w:rsidRDefault="00905380">
      <w:pPr>
        <w:pStyle w:val="a5"/>
        <w:spacing w:before="0"/>
        <w:jc w:val="center"/>
        <w:rPr>
          <w:rFonts w:ascii="宋体" w:eastAsia="宋体" w:hAnsi="宋体" w:cs="Songti SC Regular" w:hint="default"/>
          <w:color w:val="191919"/>
          <w:sz w:val="15"/>
          <w:szCs w:val="15"/>
        </w:rPr>
      </w:pPr>
      <w:r w:rsidRPr="007B271F">
        <w:rPr>
          <w:rFonts w:ascii="宋体" w:eastAsia="宋体" w:hAnsi="宋体"/>
          <w:color w:val="191919"/>
          <w:sz w:val="15"/>
          <w:szCs w:val="15"/>
        </w:rPr>
        <w:t>图六：智联网发布职位对应平均薪资水平数据</w:t>
      </w:r>
    </w:p>
    <w:p w14:paraId="2E77FE50" w14:textId="3C99CED5" w:rsidR="00D30153" w:rsidRPr="007B271F" w:rsidRDefault="00D30153">
      <w:pPr>
        <w:pStyle w:val="a5"/>
        <w:spacing w:before="0"/>
        <w:jc w:val="both"/>
        <w:rPr>
          <w:rFonts w:ascii="Heiti SC Medium" w:eastAsiaTheme="minorEastAsia" w:hAnsi="Heiti SC Medium" w:cs="Heiti SC Medium"/>
          <w:color w:val="333333"/>
          <w:sz w:val="21"/>
          <w:szCs w:val="21"/>
        </w:rPr>
      </w:pPr>
    </w:p>
    <w:p w14:paraId="4C63FE08" w14:textId="51218602" w:rsidR="00D30153" w:rsidRPr="001B7222" w:rsidRDefault="00905380">
      <w:pPr>
        <w:pStyle w:val="a5"/>
        <w:numPr>
          <w:ilvl w:val="0"/>
          <w:numId w:val="2"/>
        </w:numPr>
        <w:spacing w:before="0"/>
        <w:jc w:val="both"/>
        <w:rPr>
          <w:rFonts w:asciiTheme="majorEastAsia" w:eastAsiaTheme="majorEastAsia" w:hAnsiTheme="majorEastAsia" w:hint="default"/>
          <w:color w:val="333333"/>
          <w:sz w:val="21"/>
          <w:szCs w:val="21"/>
        </w:rPr>
      </w:pPr>
      <w:r w:rsidRPr="001B7222">
        <w:rPr>
          <w:rFonts w:asciiTheme="majorEastAsia" w:eastAsiaTheme="majorEastAsia" w:hAnsiTheme="majorEastAsia"/>
          <w:color w:val="333333"/>
          <w:sz w:val="21"/>
          <w:szCs w:val="21"/>
        </w:rPr>
        <w:t>结论</w:t>
      </w:r>
    </w:p>
    <w:p w14:paraId="53CC5E4A" w14:textId="4B5D966D" w:rsidR="00D30153" w:rsidRPr="007B271F" w:rsidRDefault="00905380" w:rsidP="007B271F">
      <w:pPr>
        <w:pStyle w:val="a5"/>
        <w:spacing w:before="0"/>
        <w:ind w:firstLineChars="200" w:firstLine="360"/>
        <w:rPr>
          <w:rFonts w:ascii="宋体" w:eastAsia="宋体" w:hAnsi="宋体" w:cs="Songti SC Regular" w:hint="default"/>
          <w:color w:val="333333"/>
          <w:sz w:val="18"/>
          <w:szCs w:val="18"/>
        </w:rPr>
      </w:pPr>
      <w:r w:rsidRPr="007B271F">
        <w:rPr>
          <w:rFonts w:ascii="宋体" w:eastAsia="宋体" w:hAnsi="宋体"/>
          <w:color w:val="333333"/>
          <w:sz w:val="18"/>
          <w:szCs w:val="18"/>
        </w:rPr>
        <w:t>分析</w:t>
      </w:r>
      <w:r w:rsidRPr="007B271F">
        <w:rPr>
          <w:rFonts w:ascii="宋体" w:eastAsia="宋体" w:hAnsi="宋体"/>
          <w:color w:val="191919"/>
          <w:sz w:val="18"/>
          <w:szCs w:val="18"/>
        </w:rPr>
        <w:t>得出</w:t>
      </w:r>
      <w:r w:rsidRPr="007B271F">
        <w:rPr>
          <w:rFonts w:ascii="宋体" w:eastAsia="宋体" w:hAnsi="宋体"/>
          <w:color w:val="333333"/>
          <w:sz w:val="18"/>
          <w:szCs w:val="18"/>
        </w:rPr>
        <w:t>互联网行业目前仍属于社会热门行业，薪资始终处于持续上升的状态。具体岗位薪资有所波动，但整体变化不大。互联网从业者的学历有上升趋势。</w:t>
      </w:r>
      <w:r w:rsidRPr="007B271F">
        <w:rPr>
          <w:rFonts w:ascii="宋体" w:eastAsia="宋体" w:hAnsi="宋体"/>
          <w:color w:val="333333"/>
          <w:sz w:val="18"/>
          <w:szCs w:val="18"/>
        </w:rPr>
        <w:t>当前社会对高精尖人才的需求越来越明显，放眼未来如果有在互联网行业深入发展的想法，可以考虑深造读书。当然如果希望趁着互联网行业东风未歇，趁早进入行业分取行业红利也不失为另一种发展。</w:t>
      </w:r>
    </w:p>
    <w:p w14:paraId="624A3092" w14:textId="6FA22E47" w:rsidR="00D30153" w:rsidRDefault="00D30153">
      <w:pPr>
        <w:pStyle w:val="a5"/>
        <w:spacing w:before="0"/>
        <w:jc w:val="both"/>
        <w:rPr>
          <w:rFonts w:ascii="Songti SC Regular" w:eastAsia="Songti SC Regular" w:hAnsi="Songti SC Regular" w:cs="Songti SC Regular" w:hint="default"/>
          <w:color w:val="333333"/>
          <w:sz w:val="18"/>
          <w:szCs w:val="18"/>
        </w:rPr>
      </w:pPr>
    </w:p>
    <w:p w14:paraId="2857890A" w14:textId="1890CB6B" w:rsidR="00D30153" w:rsidRDefault="00D30153">
      <w:pPr>
        <w:pStyle w:val="a5"/>
        <w:spacing w:before="0"/>
        <w:jc w:val="both"/>
        <w:rPr>
          <w:rFonts w:ascii="Heiti SC Medium" w:eastAsiaTheme="minorEastAsia" w:hAnsi="Heiti SC Medium" w:cs="Heiti SC Medium" w:hint="default"/>
          <w:color w:val="333333"/>
          <w:sz w:val="21"/>
          <w:szCs w:val="21"/>
        </w:rPr>
      </w:pPr>
    </w:p>
    <w:p w14:paraId="05D877C1" w14:textId="5C76DD36" w:rsidR="001B7222" w:rsidRDefault="001B7222">
      <w:pPr>
        <w:pStyle w:val="a5"/>
        <w:spacing w:before="0"/>
        <w:jc w:val="both"/>
        <w:rPr>
          <w:rFonts w:ascii="Heiti SC Medium" w:eastAsiaTheme="minorEastAsia" w:hAnsi="Heiti SC Medium" w:cs="Heiti SC Medium" w:hint="default"/>
          <w:color w:val="333333"/>
          <w:sz w:val="21"/>
          <w:szCs w:val="21"/>
        </w:rPr>
      </w:pPr>
    </w:p>
    <w:p w14:paraId="57114000" w14:textId="77777777" w:rsidR="001B7222" w:rsidRPr="001B7222" w:rsidRDefault="001B7222">
      <w:pPr>
        <w:pStyle w:val="a5"/>
        <w:spacing w:before="0"/>
        <w:jc w:val="both"/>
        <w:rPr>
          <w:rFonts w:ascii="Heiti SC Medium" w:eastAsiaTheme="minorEastAsia" w:hAnsi="Heiti SC Medium" w:cs="Heiti SC Medium"/>
          <w:color w:val="333333"/>
          <w:sz w:val="21"/>
          <w:szCs w:val="21"/>
        </w:rPr>
      </w:pPr>
    </w:p>
    <w:p w14:paraId="413104FF" w14:textId="511D9B00" w:rsidR="00D30153" w:rsidRPr="001B7222" w:rsidRDefault="00905380" w:rsidP="001B7222">
      <w:pPr>
        <w:pStyle w:val="a5"/>
        <w:spacing w:before="0"/>
        <w:jc w:val="both"/>
        <w:rPr>
          <w:rFonts w:asciiTheme="minorEastAsia" w:eastAsiaTheme="minorEastAsia" w:hAnsiTheme="minorEastAsia" w:hint="default"/>
          <w:b/>
          <w:bCs/>
          <w:color w:val="333333"/>
          <w:sz w:val="18"/>
          <w:szCs w:val="18"/>
        </w:rPr>
      </w:pPr>
      <w:r w:rsidRPr="001B7222">
        <w:rPr>
          <w:rFonts w:asciiTheme="minorEastAsia" w:eastAsiaTheme="minorEastAsia" w:hAnsiTheme="minorEastAsia"/>
          <w:b/>
          <w:bCs/>
          <w:color w:val="333333"/>
          <w:sz w:val="18"/>
          <w:szCs w:val="18"/>
        </w:rPr>
        <w:t>参考文献</w:t>
      </w:r>
    </w:p>
    <w:p w14:paraId="1099859A" w14:textId="733BF770" w:rsidR="00D30153" w:rsidRPr="007B271F" w:rsidRDefault="00905380">
      <w:pPr>
        <w:pStyle w:val="a5"/>
        <w:spacing w:before="0"/>
        <w:jc w:val="both"/>
        <w:rPr>
          <w:rFonts w:ascii="宋体" w:eastAsia="宋体" w:hAnsi="宋体" w:cs="Songti SC Regular" w:hint="default"/>
          <w:color w:val="333333"/>
          <w:sz w:val="18"/>
          <w:szCs w:val="18"/>
        </w:rPr>
      </w:pPr>
      <w:r w:rsidRPr="007B271F">
        <w:rPr>
          <w:rFonts w:ascii="宋体" w:eastAsia="宋体" w:hAnsi="宋体"/>
          <w:color w:val="333333"/>
          <w:sz w:val="18"/>
          <w:szCs w:val="18"/>
          <w:lang w:val="en-US"/>
        </w:rPr>
        <w:t>[1]</w:t>
      </w:r>
      <w:r w:rsidRPr="007B271F">
        <w:rPr>
          <w:rFonts w:ascii="宋体" w:eastAsia="宋体" w:hAnsi="宋体"/>
          <w:color w:val="333333"/>
          <w:sz w:val="18"/>
          <w:szCs w:val="18"/>
        </w:rPr>
        <w:t>智联招聘</w:t>
      </w:r>
      <w:r w:rsidRPr="007B271F">
        <w:rPr>
          <w:rFonts w:ascii="宋体" w:eastAsia="宋体" w:hAnsi="宋体"/>
          <w:color w:val="333333"/>
          <w:sz w:val="18"/>
          <w:szCs w:val="18"/>
          <w:lang w:val="en-US"/>
        </w:rPr>
        <w:t xml:space="preserve">. </w:t>
      </w:r>
      <w:r w:rsidRPr="007B271F">
        <w:rPr>
          <w:rFonts w:ascii="宋体" w:eastAsia="宋体" w:hAnsi="宋体"/>
          <w:color w:val="333333"/>
          <w:sz w:val="18"/>
          <w:szCs w:val="18"/>
        </w:rPr>
        <w:t>2017</w:t>
      </w:r>
      <w:r w:rsidRPr="007B271F">
        <w:rPr>
          <w:rFonts w:ascii="宋体" w:eastAsia="宋体" w:hAnsi="宋体"/>
          <w:color w:val="333333"/>
          <w:sz w:val="18"/>
          <w:szCs w:val="18"/>
        </w:rPr>
        <w:t>年秋季中国雇主需求与白领人才供给报告</w:t>
      </w:r>
      <w:r w:rsidRPr="007B271F">
        <w:rPr>
          <w:rFonts w:ascii="宋体" w:eastAsia="宋体" w:hAnsi="宋体"/>
          <w:color w:val="333333"/>
          <w:sz w:val="18"/>
          <w:szCs w:val="18"/>
          <w:lang w:val="en-US"/>
        </w:rPr>
        <w:t>[</w:t>
      </w:r>
      <w:r w:rsidR="007B271F">
        <w:rPr>
          <w:rFonts w:ascii="宋体" w:eastAsia="宋体" w:hAnsi="宋体"/>
          <w:color w:val="333333"/>
          <w:sz w:val="18"/>
          <w:szCs w:val="18"/>
          <w:lang w:val="en-US"/>
        </w:rPr>
        <w:t>E</w:t>
      </w:r>
      <w:r w:rsidRPr="007B271F">
        <w:rPr>
          <w:rFonts w:ascii="宋体" w:eastAsia="宋体" w:hAnsi="宋体"/>
          <w:color w:val="333333"/>
          <w:sz w:val="18"/>
          <w:szCs w:val="18"/>
          <w:lang w:val="en-US"/>
        </w:rPr>
        <w:t xml:space="preserve">B/OL]. </w:t>
      </w:r>
      <w:hyperlink r:id="rId13" w:history="1">
        <w:r w:rsidRPr="007B271F">
          <w:rPr>
            <w:rFonts w:ascii="宋体" w:eastAsia="宋体" w:hAnsi="宋体"/>
            <w:color w:val="333333"/>
            <w:sz w:val="18"/>
            <w:szCs w:val="18"/>
            <w:lang w:val="en-US"/>
          </w:rPr>
          <w:t>http://article.zhaopin.com/marketing/pub/view/detail-100149.html</w:t>
        </w:r>
      </w:hyperlink>
      <w:r w:rsidRPr="007B271F">
        <w:rPr>
          <w:rFonts w:ascii="宋体" w:eastAsia="宋体" w:hAnsi="宋体"/>
          <w:color w:val="333333"/>
          <w:sz w:val="18"/>
          <w:szCs w:val="18"/>
          <w:lang w:val="en-US"/>
        </w:rPr>
        <w:t>.</w:t>
      </w:r>
    </w:p>
    <w:p w14:paraId="6CA72C0D" w14:textId="2AE414BA" w:rsidR="00D30153" w:rsidRPr="007B271F" w:rsidRDefault="00905380">
      <w:pPr>
        <w:pStyle w:val="a5"/>
        <w:spacing w:before="0"/>
        <w:jc w:val="both"/>
        <w:rPr>
          <w:rFonts w:ascii="宋体" w:eastAsia="宋体" w:hAnsi="宋体" w:cs="Songti SC Regular" w:hint="default"/>
          <w:color w:val="333333"/>
          <w:sz w:val="18"/>
          <w:szCs w:val="18"/>
        </w:rPr>
      </w:pPr>
      <w:r w:rsidRPr="007B271F">
        <w:rPr>
          <w:rFonts w:ascii="宋体" w:eastAsia="宋体" w:hAnsi="宋体"/>
          <w:color w:val="333333"/>
          <w:sz w:val="18"/>
          <w:szCs w:val="18"/>
          <w:lang w:val="en-US"/>
        </w:rPr>
        <w:t>[2]</w:t>
      </w:r>
      <w:r w:rsidRPr="007B271F">
        <w:rPr>
          <w:rFonts w:ascii="宋体" w:eastAsia="宋体" w:hAnsi="宋体"/>
          <w:color w:val="333333"/>
          <w:sz w:val="18"/>
          <w:szCs w:val="18"/>
        </w:rPr>
        <w:t>中华人民共和国国家统计局</w:t>
      </w:r>
      <w:r w:rsidRPr="007B271F">
        <w:rPr>
          <w:rFonts w:ascii="宋体" w:eastAsia="宋体" w:hAnsi="宋体"/>
          <w:color w:val="333333"/>
          <w:sz w:val="18"/>
          <w:szCs w:val="18"/>
          <w:lang w:val="en-US"/>
        </w:rPr>
        <w:t>.</w:t>
      </w:r>
      <w:r w:rsidRPr="007B271F">
        <w:rPr>
          <w:rFonts w:ascii="宋体" w:eastAsia="宋体" w:hAnsi="宋体"/>
          <w:color w:val="333333"/>
          <w:sz w:val="18"/>
          <w:szCs w:val="18"/>
        </w:rPr>
        <w:t xml:space="preserve"> </w:t>
      </w:r>
      <w:r w:rsidRPr="007B271F">
        <w:rPr>
          <w:rFonts w:ascii="宋体" w:eastAsia="宋体" w:hAnsi="宋体"/>
          <w:color w:val="333333"/>
          <w:sz w:val="18"/>
          <w:szCs w:val="18"/>
        </w:rPr>
        <w:t>2019</w:t>
      </w:r>
      <w:r w:rsidRPr="007B271F">
        <w:rPr>
          <w:rFonts w:ascii="宋体" w:eastAsia="宋体" w:hAnsi="宋体"/>
          <w:color w:val="333333"/>
          <w:sz w:val="18"/>
          <w:szCs w:val="18"/>
        </w:rPr>
        <w:t>年城镇非私营单位就业人员年平均工资</w:t>
      </w:r>
      <w:r w:rsidRPr="007B271F">
        <w:rPr>
          <w:rFonts w:ascii="宋体" w:eastAsia="宋体" w:hAnsi="宋体"/>
          <w:color w:val="333333"/>
          <w:sz w:val="18"/>
          <w:szCs w:val="18"/>
        </w:rPr>
        <w:t>90501</w:t>
      </w:r>
      <w:r w:rsidRPr="007B271F">
        <w:rPr>
          <w:rFonts w:ascii="宋体" w:eastAsia="宋体" w:hAnsi="宋体"/>
          <w:color w:val="333333"/>
          <w:sz w:val="18"/>
          <w:szCs w:val="18"/>
        </w:rPr>
        <w:t>元</w:t>
      </w:r>
      <w:r w:rsidRPr="007B271F">
        <w:rPr>
          <w:rFonts w:ascii="宋体" w:eastAsia="宋体" w:hAnsi="宋体"/>
          <w:color w:val="333333"/>
          <w:sz w:val="18"/>
          <w:szCs w:val="18"/>
          <w:lang w:val="pt-PT"/>
        </w:rPr>
        <w:t>[DB/O</w:t>
      </w:r>
      <w:r w:rsidRPr="007B271F">
        <w:rPr>
          <w:rFonts w:ascii="宋体" w:eastAsia="宋体" w:hAnsi="宋体"/>
          <w:color w:val="333333"/>
          <w:sz w:val="18"/>
          <w:szCs w:val="18"/>
          <w:lang w:val="en-US"/>
        </w:rPr>
        <w:t>L</w:t>
      </w:r>
      <w:r w:rsidRPr="007B271F">
        <w:rPr>
          <w:rFonts w:ascii="宋体" w:eastAsia="宋体" w:hAnsi="宋体"/>
          <w:color w:val="333333"/>
          <w:sz w:val="18"/>
          <w:szCs w:val="18"/>
          <w:lang w:val="pt-PT"/>
        </w:rPr>
        <w:t>]</w:t>
      </w:r>
      <w:r w:rsidRPr="007B271F">
        <w:rPr>
          <w:rFonts w:ascii="宋体" w:eastAsia="宋体" w:hAnsi="宋体"/>
          <w:color w:val="333333"/>
          <w:sz w:val="18"/>
          <w:szCs w:val="18"/>
          <w:lang w:val="en-US"/>
        </w:rPr>
        <w:t>. http://www.stats.gov.c</w:t>
      </w:r>
      <w:r w:rsidRPr="007B271F">
        <w:rPr>
          <w:rFonts w:ascii="宋体" w:eastAsia="宋体" w:hAnsi="宋体"/>
          <w:color w:val="333333"/>
          <w:sz w:val="18"/>
          <w:szCs w:val="18"/>
          <w:lang w:val="en-US"/>
        </w:rPr>
        <w:t>n/tjsj/zxfb/202005/t20200515_1745764.html.</w:t>
      </w:r>
    </w:p>
    <w:p w14:paraId="6451D705" w14:textId="7D7B4E9D" w:rsidR="00D30153" w:rsidRPr="007B271F" w:rsidRDefault="00905380">
      <w:pPr>
        <w:pStyle w:val="a5"/>
        <w:spacing w:before="0"/>
        <w:jc w:val="both"/>
        <w:rPr>
          <w:rFonts w:ascii="宋体" w:eastAsia="宋体" w:hAnsi="宋体" w:cs="Songti SC Regular" w:hint="default"/>
          <w:color w:val="333333"/>
          <w:sz w:val="18"/>
          <w:szCs w:val="18"/>
        </w:rPr>
      </w:pPr>
      <w:r w:rsidRPr="007B271F">
        <w:rPr>
          <w:rFonts w:ascii="宋体" w:eastAsia="宋体" w:hAnsi="宋体"/>
          <w:color w:val="333333"/>
          <w:sz w:val="18"/>
          <w:szCs w:val="18"/>
          <w:lang w:val="en-US"/>
        </w:rPr>
        <w:t>[3]</w:t>
      </w:r>
      <w:r w:rsidRPr="007B271F">
        <w:rPr>
          <w:rFonts w:ascii="宋体" w:eastAsia="宋体" w:hAnsi="宋体"/>
          <w:color w:val="333333"/>
          <w:sz w:val="18"/>
          <w:szCs w:val="18"/>
        </w:rPr>
        <w:t>CSDN</w:t>
      </w:r>
      <w:r w:rsidRPr="007B271F">
        <w:rPr>
          <w:rFonts w:ascii="宋体" w:eastAsia="宋体" w:hAnsi="宋体"/>
          <w:color w:val="333333"/>
          <w:sz w:val="18"/>
          <w:szCs w:val="18"/>
          <w:lang w:val="en-US"/>
        </w:rPr>
        <w:t xml:space="preserve">, </w:t>
      </w:r>
      <w:r w:rsidRPr="007B271F">
        <w:rPr>
          <w:rFonts w:ascii="宋体" w:eastAsia="宋体" w:hAnsi="宋体"/>
          <w:color w:val="333333"/>
          <w:sz w:val="18"/>
          <w:szCs w:val="18"/>
        </w:rPr>
        <w:t>雷霄骅</w:t>
      </w:r>
      <w:r w:rsidRPr="007B271F">
        <w:rPr>
          <w:rFonts w:ascii="宋体" w:eastAsia="宋体" w:hAnsi="宋体"/>
          <w:color w:val="333333"/>
          <w:sz w:val="18"/>
          <w:szCs w:val="18"/>
          <w:lang w:val="en-US"/>
        </w:rPr>
        <w:t xml:space="preserve">. </w:t>
      </w:r>
      <w:r w:rsidRPr="007B271F">
        <w:rPr>
          <w:rFonts w:ascii="宋体" w:eastAsia="宋体" w:hAnsi="宋体"/>
          <w:color w:val="333333"/>
          <w:sz w:val="18"/>
          <w:szCs w:val="18"/>
        </w:rPr>
        <w:t>2012</w:t>
      </w:r>
      <w:r w:rsidRPr="007B271F">
        <w:rPr>
          <w:rFonts w:ascii="宋体" w:eastAsia="宋体" w:hAnsi="宋体"/>
          <w:color w:val="333333"/>
          <w:sz w:val="18"/>
          <w:szCs w:val="18"/>
        </w:rPr>
        <w:t>年软件开发者薪资调查报告</w:t>
      </w:r>
      <w:r w:rsidRPr="007B271F">
        <w:rPr>
          <w:rFonts w:ascii="宋体" w:eastAsia="宋体" w:hAnsi="宋体"/>
          <w:color w:val="333333"/>
          <w:sz w:val="18"/>
          <w:szCs w:val="18"/>
          <w:lang w:val="en-US"/>
        </w:rPr>
        <w:t>[</w:t>
      </w:r>
      <w:r w:rsidR="007B271F">
        <w:rPr>
          <w:rFonts w:ascii="宋体" w:eastAsia="宋体" w:hAnsi="宋体"/>
          <w:color w:val="333333"/>
          <w:sz w:val="18"/>
          <w:szCs w:val="18"/>
          <w:lang w:val="en-US"/>
        </w:rPr>
        <w:t>E</w:t>
      </w:r>
      <w:r w:rsidRPr="007B271F">
        <w:rPr>
          <w:rFonts w:ascii="宋体" w:eastAsia="宋体" w:hAnsi="宋体"/>
          <w:color w:val="333333"/>
          <w:sz w:val="18"/>
          <w:szCs w:val="18"/>
          <w:lang w:val="en-US"/>
        </w:rPr>
        <w:t xml:space="preserve">B/OL]. </w:t>
      </w:r>
      <w:hyperlink r:id="rId14" w:history="1">
        <w:r w:rsidRPr="007B271F">
          <w:rPr>
            <w:rFonts w:ascii="宋体" w:eastAsia="宋体" w:hAnsi="宋体"/>
            <w:color w:val="333333"/>
            <w:sz w:val="18"/>
            <w:szCs w:val="18"/>
            <w:lang w:val="en-US"/>
          </w:rPr>
          <w:t>https://blog.csdn.net/leixiaohua1020/article/details/84489215</w:t>
        </w:r>
      </w:hyperlink>
      <w:r w:rsidRPr="007B271F">
        <w:rPr>
          <w:rFonts w:ascii="宋体" w:eastAsia="宋体" w:hAnsi="宋体"/>
          <w:color w:val="333333"/>
          <w:sz w:val="18"/>
          <w:szCs w:val="18"/>
          <w:lang w:val="en-US"/>
        </w:rPr>
        <w:t>.</w:t>
      </w:r>
    </w:p>
    <w:p w14:paraId="32B2D507" w14:textId="77777777" w:rsidR="00D30153" w:rsidRPr="007B271F" w:rsidRDefault="00905380">
      <w:pPr>
        <w:pStyle w:val="a5"/>
        <w:spacing w:before="0"/>
        <w:jc w:val="both"/>
        <w:rPr>
          <w:rFonts w:ascii="宋体" w:eastAsia="宋体" w:hAnsi="宋体" w:cs="Songti SC Regular" w:hint="default"/>
          <w:color w:val="333333"/>
          <w:sz w:val="18"/>
          <w:szCs w:val="18"/>
        </w:rPr>
      </w:pPr>
      <w:r w:rsidRPr="007B271F">
        <w:rPr>
          <w:rFonts w:ascii="宋体" w:eastAsia="宋体" w:hAnsi="宋体"/>
          <w:color w:val="333333"/>
          <w:sz w:val="18"/>
          <w:szCs w:val="18"/>
          <w:lang w:val="en-US"/>
        </w:rPr>
        <w:t>[4]</w:t>
      </w:r>
      <w:r w:rsidRPr="007B271F">
        <w:rPr>
          <w:rFonts w:ascii="宋体" w:eastAsia="宋体" w:hAnsi="宋体"/>
          <w:color w:val="333333"/>
          <w:sz w:val="18"/>
          <w:szCs w:val="18"/>
        </w:rPr>
        <w:t>麦可思研究院</w:t>
      </w:r>
      <w:r w:rsidRPr="007B271F">
        <w:rPr>
          <w:rFonts w:ascii="宋体" w:eastAsia="宋体" w:hAnsi="宋体"/>
          <w:color w:val="333333"/>
          <w:sz w:val="18"/>
          <w:szCs w:val="18"/>
          <w:lang w:val="en-US"/>
        </w:rPr>
        <w:t xml:space="preserve">, </w:t>
      </w:r>
      <w:r w:rsidRPr="007B271F">
        <w:rPr>
          <w:rFonts w:ascii="宋体" w:eastAsia="宋体" w:hAnsi="宋体"/>
          <w:color w:val="333333"/>
          <w:sz w:val="18"/>
          <w:szCs w:val="18"/>
        </w:rPr>
        <w:t>王伯庆</w:t>
      </w:r>
      <w:r w:rsidRPr="007B271F">
        <w:rPr>
          <w:rFonts w:ascii="宋体" w:eastAsia="宋体" w:hAnsi="宋体"/>
          <w:color w:val="333333"/>
          <w:sz w:val="18"/>
          <w:szCs w:val="18"/>
          <w:lang w:val="en-US"/>
        </w:rPr>
        <w:t>.</w:t>
      </w:r>
      <w:r w:rsidRPr="007B271F">
        <w:rPr>
          <w:rFonts w:ascii="宋体" w:eastAsia="宋体" w:hAnsi="宋体"/>
          <w:color w:val="333333"/>
          <w:sz w:val="18"/>
          <w:szCs w:val="18"/>
        </w:rPr>
        <w:t xml:space="preserve"> </w:t>
      </w:r>
      <w:r w:rsidRPr="007B271F">
        <w:rPr>
          <w:rFonts w:ascii="宋体" w:eastAsia="宋体" w:hAnsi="宋体"/>
          <w:color w:val="333333"/>
          <w:sz w:val="18"/>
          <w:szCs w:val="18"/>
        </w:rPr>
        <w:t>2020</w:t>
      </w:r>
      <w:r w:rsidRPr="007B271F">
        <w:rPr>
          <w:rFonts w:ascii="宋体" w:eastAsia="宋体" w:hAnsi="宋体"/>
          <w:color w:val="333333"/>
          <w:sz w:val="18"/>
          <w:szCs w:val="18"/>
        </w:rPr>
        <w:t>年中国大学生就业报告</w:t>
      </w:r>
      <w:r w:rsidRPr="007B271F">
        <w:rPr>
          <w:rFonts w:ascii="宋体" w:eastAsia="宋体" w:hAnsi="宋体"/>
          <w:color w:val="333333"/>
          <w:sz w:val="18"/>
          <w:szCs w:val="18"/>
          <w:lang w:val="en-US"/>
        </w:rPr>
        <w:t xml:space="preserve">[M]. </w:t>
      </w:r>
      <w:r w:rsidRPr="007B271F">
        <w:rPr>
          <w:rFonts w:ascii="宋体" w:eastAsia="宋体" w:hAnsi="宋体"/>
          <w:color w:val="333333"/>
          <w:sz w:val="18"/>
          <w:szCs w:val="18"/>
        </w:rPr>
        <w:t>北京</w:t>
      </w:r>
      <w:r w:rsidRPr="007B271F">
        <w:rPr>
          <w:rFonts w:ascii="宋体" w:eastAsia="宋体" w:hAnsi="宋体"/>
          <w:color w:val="333333"/>
          <w:sz w:val="18"/>
          <w:szCs w:val="18"/>
          <w:lang w:val="en-US"/>
        </w:rPr>
        <w:t xml:space="preserve">: </w:t>
      </w:r>
      <w:r w:rsidRPr="007B271F">
        <w:rPr>
          <w:rFonts w:ascii="宋体" w:eastAsia="宋体" w:hAnsi="宋体"/>
          <w:color w:val="333333"/>
          <w:sz w:val="18"/>
          <w:szCs w:val="18"/>
        </w:rPr>
        <w:t>社会文献出版社</w:t>
      </w:r>
      <w:r w:rsidRPr="007B271F">
        <w:rPr>
          <w:rFonts w:ascii="宋体" w:eastAsia="宋体" w:hAnsi="宋体"/>
          <w:color w:val="333333"/>
          <w:sz w:val="18"/>
          <w:szCs w:val="18"/>
          <w:lang w:val="en-US"/>
        </w:rPr>
        <w:t>, 2020.</w:t>
      </w:r>
    </w:p>
    <w:p w14:paraId="2E2220B1" w14:textId="5E908BD5" w:rsidR="00D30153" w:rsidRPr="007B271F" w:rsidRDefault="00905380" w:rsidP="007B271F">
      <w:pPr>
        <w:pStyle w:val="a5"/>
        <w:spacing w:before="0"/>
        <w:jc w:val="both"/>
        <w:rPr>
          <w:rFonts w:ascii="宋体" w:eastAsia="宋体" w:hAnsi="宋体" w:cs="Songti SC Regular"/>
          <w:color w:val="333333"/>
          <w:sz w:val="18"/>
          <w:szCs w:val="18"/>
        </w:rPr>
      </w:pPr>
      <w:r w:rsidRPr="007B271F">
        <w:rPr>
          <w:rFonts w:ascii="宋体" w:eastAsia="宋体" w:hAnsi="宋体"/>
          <w:color w:val="333333"/>
          <w:sz w:val="18"/>
          <w:szCs w:val="18"/>
          <w:lang w:val="en-US"/>
        </w:rPr>
        <w:t>[5]</w:t>
      </w:r>
      <w:r w:rsidRPr="007B271F">
        <w:rPr>
          <w:rFonts w:ascii="宋体" w:eastAsia="宋体" w:hAnsi="宋体"/>
          <w:color w:val="333333"/>
          <w:sz w:val="18"/>
          <w:szCs w:val="18"/>
        </w:rPr>
        <w:t>任正非</w:t>
      </w:r>
      <w:r w:rsidRPr="007B271F">
        <w:rPr>
          <w:rFonts w:ascii="宋体" w:eastAsia="宋体" w:hAnsi="宋体"/>
          <w:color w:val="333333"/>
          <w:sz w:val="18"/>
          <w:szCs w:val="18"/>
          <w:lang w:val="en-US"/>
        </w:rPr>
        <w:t xml:space="preserve">. </w:t>
      </w:r>
      <w:r w:rsidRPr="007B271F">
        <w:rPr>
          <w:rFonts w:ascii="宋体" w:eastAsia="宋体" w:hAnsi="宋体"/>
          <w:color w:val="333333"/>
          <w:sz w:val="18"/>
          <w:szCs w:val="18"/>
        </w:rPr>
        <w:t>关于对部分</w:t>
      </w:r>
      <w:r w:rsidRPr="007B271F">
        <w:rPr>
          <w:rFonts w:ascii="宋体" w:eastAsia="宋体" w:hAnsi="宋体"/>
          <w:color w:val="333333"/>
          <w:sz w:val="18"/>
          <w:szCs w:val="18"/>
        </w:rPr>
        <w:t>2019</w:t>
      </w:r>
      <w:r w:rsidRPr="007B271F">
        <w:rPr>
          <w:rFonts w:ascii="宋体" w:eastAsia="宋体" w:hAnsi="宋体"/>
          <w:color w:val="333333"/>
          <w:sz w:val="18"/>
          <w:szCs w:val="18"/>
        </w:rPr>
        <w:t>届顶尖学生实行年薪制管理的通知</w:t>
      </w:r>
      <w:r w:rsidRPr="007B271F">
        <w:rPr>
          <w:rFonts w:ascii="宋体" w:eastAsia="宋体" w:hAnsi="宋体"/>
          <w:color w:val="333333"/>
          <w:sz w:val="18"/>
          <w:szCs w:val="18"/>
          <w:lang w:val="en-US"/>
        </w:rPr>
        <w:t xml:space="preserve">[DB/OL]. </w:t>
      </w:r>
      <w:r w:rsidRPr="007B271F">
        <w:rPr>
          <w:rFonts w:ascii="宋体" w:eastAsia="宋体" w:hAnsi="宋体"/>
          <w:color w:val="333333"/>
          <w:sz w:val="18"/>
          <w:szCs w:val="18"/>
          <w:lang w:val="de-DE"/>
        </w:rPr>
        <w:t>https://tech.qq.com/a/20190723/002907.htm</w:t>
      </w:r>
      <w:r w:rsidRPr="007B271F">
        <w:rPr>
          <w:rFonts w:ascii="宋体" w:eastAsia="宋体" w:hAnsi="宋体"/>
          <w:color w:val="333333"/>
          <w:sz w:val="18"/>
          <w:szCs w:val="18"/>
          <w:lang w:val="en-US"/>
        </w:rPr>
        <w:t>.</w:t>
      </w:r>
    </w:p>
    <w:sectPr w:rsidR="00D30153" w:rsidRPr="007B271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9F47C" w14:textId="77777777" w:rsidR="00905380" w:rsidRDefault="00905380">
      <w:r>
        <w:separator/>
      </w:r>
    </w:p>
  </w:endnote>
  <w:endnote w:type="continuationSeparator" w:id="0">
    <w:p w14:paraId="2484280B" w14:textId="77777777" w:rsidR="00905380" w:rsidRDefault="0090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Songti SC Regular">
    <w:altName w:val="Cambria"/>
    <w:charset w:val="00"/>
    <w:family w:val="roman"/>
    <w:pitch w:val="default"/>
  </w:font>
  <w:font w:name="Heiti SC Light">
    <w:altName w:val="Cambria"/>
    <w:charset w:val="00"/>
    <w:family w:val="roman"/>
    <w:pitch w:val="default"/>
  </w:font>
  <w:font w:name="Songti SC Bold">
    <w:altName w:val="Cambria"/>
    <w:charset w:val="00"/>
    <w:family w:val="roman"/>
    <w:pitch w:val="default"/>
  </w:font>
  <w:font w:name="仿宋">
    <w:panose1 w:val="02010609060101010101"/>
    <w:charset w:val="86"/>
    <w:family w:val="modern"/>
    <w:pitch w:val="fixed"/>
    <w:sig w:usb0="800002BF" w:usb1="38CF7CFA" w:usb2="00000016" w:usb3="00000000" w:csb0="00040001" w:csb1="00000000"/>
  </w:font>
  <w:font w:name="Heiti SC Medium">
    <w:altName w:val="Cambria"/>
    <w:charset w:val="00"/>
    <w:family w:val="roman"/>
    <w:pitch w:val="default"/>
  </w:font>
  <w:font w:name="Kaiti SC Regular">
    <w:altName w:val="Cambria"/>
    <w:charset w:val="00"/>
    <w:family w:val="roman"/>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BA9B7" w14:textId="77777777" w:rsidR="00905380" w:rsidRDefault="00905380">
      <w:r>
        <w:separator/>
      </w:r>
    </w:p>
  </w:footnote>
  <w:footnote w:type="continuationSeparator" w:id="0">
    <w:p w14:paraId="7DD1C332" w14:textId="77777777" w:rsidR="00905380" w:rsidRDefault="00905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14873"/>
    <w:multiLevelType w:val="hybridMultilevel"/>
    <w:tmpl w:val="6472CF00"/>
    <w:styleLink w:val="a"/>
    <w:lvl w:ilvl="0" w:tplc="C8EE03E4">
      <w:start w:val="1"/>
      <w:numFmt w:val="decimal"/>
      <w:lvlText w:val="%1."/>
      <w:lvlJc w:val="left"/>
      <w:pPr>
        <w:ind w:left="34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1" w:tplc="83D05B1E">
      <w:start w:val="1"/>
      <w:numFmt w:val="decimal"/>
      <w:lvlText w:val="%2."/>
      <w:lvlJc w:val="left"/>
      <w:pPr>
        <w:ind w:left="70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2" w:tplc="2684051A">
      <w:start w:val="1"/>
      <w:numFmt w:val="decimal"/>
      <w:lvlText w:val="%3."/>
      <w:lvlJc w:val="left"/>
      <w:pPr>
        <w:ind w:left="106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3" w:tplc="EEBC493A">
      <w:start w:val="1"/>
      <w:numFmt w:val="decimal"/>
      <w:lvlText w:val="%4."/>
      <w:lvlJc w:val="left"/>
      <w:pPr>
        <w:ind w:left="142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4" w:tplc="BC6AAD60">
      <w:start w:val="1"/>
      <w:numFmt w:val="decimal"/>
      <w:lvlText w:val="%5."/>
      <w:lvlJc w:val="left"/>
      <w:pPr>
        <w:ind w:left="178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5" w:tplc="ADA8AD46">
      <w:start w:val="1"/>
      <w:numFmt w:val="decimal"/>
      <w:lvlText w:val="%6."/>
      <w:lvlJc w:val="left"/>
      <w:pPr>
        <w:ind w:left="214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6" w:tplc="FAF4F02A">
      <w:start w:val="1"/>
      <w:numFmt w:val="decimal"/>
      <w:lvlText w:val="%7."/>
      <w:lvlJc w:val="left"/>
      <w:pPr>
        <w:ind w:left="250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7" w:tplc="1EF0573E">
      <w:start w:val="1"/>
      <w:numFmt w:val="decimal"/>
      <w:lvlText w:val="%8."/>
      <w:lvlJc w:val="left"/>
      <w:pPr>
        <w:ind w:left="2864" w:hanging="344"/>
      </w:pPr>
      <w:rPr>
        <w:rFonts w:hAnsi="Arial Unicode MS"/>
        <w:b/>
        <w:bCs/>
        <w:caps w:val="0"/>
        <w:smallCaps w:val="0"/>
        <w:strike w:val="0"/>
        <w:dstrike w:val="0"/>
        <w:outline w:val="0"/>
        <w:emboss w:val="0"/>
        <w:imprint w:val="0"/>
        <w:spacing w:val="0"/>
        <w:w w:val="100"/>
        <w:kern w:val="0"/>
        <w:position w:val="0"/>
        <w:highlight w:val="none"/>
        <w:vertAlign w:val="baseline"/>
      </w:rPr>
    </w:lvl>
    <w:lvl w:ilvl="8" w:tplc="5704963E">
      <w:start w:val="1"/>
      <w:numFmt w:val="decimal"/>
      <w:lvlText w:val="%9."/>
      <w:lvlJc w:val="left"/>
      <w:pPr>
        <w:ind w:left="3224" w:hanging="3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EC5232A"/>
    <w:multiLevelType w:val="hybridMultilevel"/>
    <w:tmpl w:val="6472CF00"/>
    <w:numStyleLink w:val="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153"/>
    <w:rsid w:val="00026914"/>
    <w:rsid w:val="00105EE7"/>
    <w:rsid w:val="001B7222"/>
    <w:rsid w:val="007B271F"/>
    <w:rsid w:val="007C5350"/>
    <w:rsid w:val="00905380"/>
    <w:rsid w:val="00D30153"/>
    <w:rsid w:val="00E00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6C4EA"/>
  <w15:docId w15:val="{5BB28D45-5329-4708-A52F-1924CA74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默认"/>
    <w:pPr>
      <w:spacing w:before="160"/>
    </w:pPr>
    <w:rPr>
      <w:rFonts w:ascii="Arial Unicode MS" w:eastAsia="Helvetica Neue" w:hAnsi="Arial Unicode MS" w:cs="Arial Unicode MS" w:hint="eastAsia"/>
      <w:color w:val="000000"/>
      <w:sz w:val="24"/>
      <w:szCs w:val="24"/>
      <w:lang w:val="zh-CN"/>
      <w14:textOutline w14:w="0" w14:cap="flat" w14:cmpd="sng" w14:algn="ctr">
        <w14:noFill/>
        <w14:prstDash w14:val="solid"/>
        <w14:bevel/>
      </w14:textOutline>
    </w:rPr>
  </w:style>
  <w:style w:type="numbering" w:customStyle="1" w:styleId="a">
    <w:name w:val="编号"/>
    <w:pPr>
      <w:numPr>
        <w:numId w:val="1"/>
      </w:numPr>
    </w:pPr>
  </w:style>
  <w:style w:type="paragraph" w:styleId="a6">
    <w:name w:val="header"/>
    <w:basedOn w:val="a0"/>
    <w:link w:val="a7"/>
    <w:uiPriority w:val="99"/>
    <w:unhideWhenUsed/>
    <w:rsid w:val="007C53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7C5350"/>
    <w:rPr>
      <w:rFonts w:ascii="Helvetica Neue" w:eastAsia="Helvetica Neue" w:hAnsi="Helvetica Neue" w:cs="Helvetica Neue"/>
      <w:color w:val="000000"/>
      <w:sz w:val="18"/>
      <w:szCs w:val="18"/>
      <w14:textOutline w14:w="0" w14:cap="flat" w14:cmpd="sng" w14:algn="ctr">
        <w14:noFill/>
        <w14:prstDash w14:val="solid"/>
        <w14:bevel/>
      </w14:textOutline>
    </w:rPr>
  </w:style>
  <w:style w:type="paragraph" w:styleId="a8">
    <w:name w:val="footer"/>
    <w:basedOn w:val="a0"/>
    <w:link w:val="a9"/>
    <w:uiPriority w:val="99"/>
    <w:unhideWhenUsed/>
    <w:rsid w:val="007C5350"/>
    <w:pPr>
      <w:tabs>
        <w:tab w:val="center" w:pos="4153"/>
        <w:tab w:val="right" w:pos="8306"/>
      </w:tabs>
      <w:snapToGrid w:val="0"/>
    </w:pPr>
    <w:rPr>
      <w:sz w:val="18"/>
      <w:szCs w:val="18"/>
    </w:rPr>
  </w:style>
  <w:style w:type="character" w:customStyle="1" w:styleId="a9">
    <w:name w:val="页脚 字符"/>
    <w:basedOn w:val="a1"/>
    <w:link w:val="a8"/>
    <w:uiPriority w:val="99"/>
    <w:rsid w:val="007C5350"/>
    <w:rPr>
      <w:rFonts w:ascii="Helvetica Neue" w:eastAsia="Helvetica Neue" w:hAnsi="Helvetica Neue" w:cs="Helvetica Neue"/>
      <w:color w:val="000000"/>
      <w:sz w:val="18"/>
      <w:szCs w:val="18"/>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ticle.zhaopin.com/marketing/pub/view/detail-10014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csdn.net/leixiaohua1020/article/details/84489215"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zh-CN"/>
  <c:roundedCorners val="0"/>
  <c:style val="2"/>
  <c:chart>
    <c:autoTitleDeleted val="1"/>
    <c:plotArea>
      <c:layout>
        <c:manualLayout>
          <c:layoutTarget val="inner"/>
          <c:xMode val="edge"/>
          <c:yMode val="edge"/>
          <c:x val="0.10242258863290142"/>
          <c:y val="0.28147534189805218"/>
          <c:w val="0.87329800000000002"/>
          <c:h val="0.63873199999999997"/>
        </c:manualLayout>
      </c:layout>
      <c:barChart>
        <c:barDir val="col"/>
        <c:grouping val="clustered"/>
        <c:varyColors val="0"/>
        <c:ser>
          <c:idx val="0"/>
          <c:order val="0"/>
          <c:tx>
            <c:strRef>
              <c:f>Sheet1!$A$2</c:f>
              <c:strCache>
                <c:ptCount val="1"/>
                <c:pt idx="0">
                  <c:v>2018年</c:v>
                </c:pt>
              </c:strCache>
            </c:strRef>
          </c:tx>
          <c:spPr>
            <a:solidFill>
              <a:srgbClr val="52585F"/>
            </a:solidFill>
            <a:ln w="12700" cap="flat">
              <a:noFill/>
              <a:miter lim="400000"/>
            </a:ln>
            <a:effectLst/>
          </c:spPr>
          <c:invertIfNegative val="0"/>
          <c:cat>
            <c:strRef>
              <c:f>Sheet1!$B$1:$J$1</c:f>
              <c:strCache>
                <c:ptCount val="9"/>
                <c:pt idx="0">
                  <c:v>5万以下</c:v>
                </c:pt>
                <c:pt idx="1">
                  <c:v>5-10万</c:v>
                </c:pt>
                <c:pt idx="2">
                  <c:v>10-15万</c:v>
                </c:pt>
                <c:pt idx="3">
                  <c:v>15-20万</c:v>
                </c:pt>
                <c:pt idx="4">
                  <c:v>20-25万</c:v>
                </c:pt>
                <c:pt idx="5">
                  <c:v>25-30万</c:v>
                </c:pt>
                <c:pt idx="6">
                  <c:v>30-40万</c:v>
                </c:pt>
                <c:pt idx="7">
                  <c:v>40-50万</c:v>
                </c:pt>
                <c:pt idx="8">
                  <c:v>50万以上</c:v>
                </c:pt>
              </c:strCache>
            </c:strRef>
          </c:cat>
          <c:val>
            <c:numRef>
              <c:f>Sheet1!$B$2:$J$2</c:f>
              <c:numCache>
                <c:formatCode>General</c:formatCode>
                <c:ptCount val="9"/>
                <c:pt idx="0">
                  <c:v>6.2E-2</c:v>
                </c:pt>
                <c:pt idx="1">
                  <c:v>0.14299999999999999</c:v>
                </c:pt>
                <c:pt idx="2">
                  <c:v>0.23300000000000001</c:v>
                </c:pt>
                <c:pt idx="3">
                  <c:v>0.252</c:v>
                </c:pt>
                <c:pt idx="4">
                  <c:v>0.09</c:v>
                </c:pt>
                <c:pt idx="5">
                  <c:v>0.105</c:v>
                </c:pt>
                <c:pt idx="6">
                  <c:v>7.0999999999999994E-2</c:v>
                </c:pt>
                <c:pt idx="7">
                  <c:v>1.4E-2</c:v>
                </c:pt>
                <c:pt idx="8">
                  <c:v>1.9E-2</c:v>
                </c:pt>
              </c:numCache>
            </c:numRef>
          </c:val>
          <c:extLst>
            <c:ext xmlns:c16="http://schemas.microsoft.com/office/drawing/2014/chart" uri="{C3380CC4-5D6E-409C-BE32-E72D297353CC}">
              <c16:uniqueId val="{00000000-5210-476F-BF56-E4BB1322668F}"/>
            </c:ext>
          </c:extLst>
        </c:ser>
        <c:ser>
          <c:idx val="1"/>
          <c:order val="1"/>
          <c:tx>
            <c:strRef>
              <c:f>Sheet1!$A$3</c:f>
              <c:strCache>
                <c:ptCount val="1"/>
                <c:pt idx="0">
                  <c:v>2020年</c:v>
                </c:pt>
              </c:strCache>
            </c:strRef>
          </c:tx>
          <c:spPr>
            <a:solidFill>
              <a:srgbClr val="798089"/>
            </a:solidFill>
            <a:ln w="12700" cap="flat">
              <a:noFill/>
              <a:miter lim="400000"/>
            </a:ln>
            <a:effectLst/>
          </c:spPr>
          <c:invertIfNegative val="0"/>
          <c:cat>
            <c:strRef>
              <c:f>Sheet1!$B$1:$J$1</c:f>
              <c:strCache>
                <c:ptCount val="9"/>
                <c:pt idx="0">
                  <c:v>5万以下</c:v>
                </c:pt>
                <c:pt idx="1">
                  <c:v>5-10万</c:v>
                </c:pt>
                <c:pt idx="2">
                  <c:v>10-15万</c:v>
                </c:pt>
                <c:pt idx="3">
                  <c:v>15-20万</c:v>
                </c:pt>
                <c:pt idx="4">
                  <c:v>20-25万</c:v>
                </c:pt>
                <c:pt idx="5">
                  <c:v>25-30万</c:v>
                </c:pt>
                <c:pt idx="6">
                  <c:v>30-40万</c:v>
                </c:pt>
                <c:pt idx="7">
                  <c:v>40-50万</c:v>
                </c:pt>
                <c:pt idx="8">
                  <c:v>50万以上</c:v>
                </c:pt>
              </c:strCache>
            </c:strRef>
          </c:cat>
          <c:val>
            <c:numRef>
              <c:f>Sheet1!$B$3:$J$3</c:f>
              <c:numCache>
                <c:formatCode>General</c:formatCode>
                <c:ptCount val="9"/>
                <c:pt idx="0">
                  <c:v>0.10100000000000001</c:v>
                </c:pt>
                <c:pt idx="1">
                  <c:v>0.19400000000000001</c:v>
                </c:pt>
                <c:pt idx="2">
                  <c:v>0.216</c:v>
                </c:pt>
                <c:pt idx="3">
                  <c:v>0.158</c:v>
                </c:pt>
                <c:pt idx="4">
                  <c:v>0.104</c:v>
                </c:pt>
                <c:pt idx="5">
                  <c:v>7.5999999999999998E-2</c:v>
                </c:pt>
                <c:pt idx="6">
                  <c:v>5.8000000000000003E-2</c:v>
                </c:pt>
                <c:pt idx="7">
                  <c:v>0.04</c:v>
                </c:pt>
                <c:pt idx="8">
                  <c:v>5.3999999999999999E-2</c:v>
                </c:pt>
              </c:numCache>
            </c:numRef>
          </c:val>
          <c:extLst>
            <c:ext xmlns:c16="http://schemas.microsoft.com/office/drawing/2014/chart" uri="{C3380CC4-5D6E-409C-BE32-E72D297353CC}">
              <c16:uniqueId val="{00000001-5210-476F-BF56-E4BB1322668F}"/>
            </c:ext>
          </c:extLst>
        </c:ser>
        <c:dLbls>
          <c:showLegendKey val="0"/>
          <c:showVal val="0"/>
          <c:showCatName val="0"/>
          <c:showSerName val="0"/>
          <c:showPercent val="0"/>
          <c:showBubbleSize val="0"/>
        </c:dLbls>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Neue"/>
              </a:defRPr>
            </a:pPr>
            <a:endParaRPr lang="zh-CN"/>
          </a:p>
        </c:txPr>
        <c:crossAx val="2094734553"/>
        <c:crosses val="autoZero"/>
        <c:auto val="1"/>
        <c:lblAlgn val="ctr"/>
        <c:lblOffset val="100"/>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zh-CN"/>
          </a:p>
        </c:txPr>
        <c:crossAx val="2094734552"/>
        <c:crosses val="autoZero"/>
        <c:crossBetween val="between"/>
        <c:majorUnit val="7.4999999999999997E-2"/>
        <c:minorUnit val="3.7499999999999999E-2"/>
      </c:valAx>
      <c:spPr>
        <a:noFill/>
        <a:ln w="12700" cap="flat">
          <a:noFill/>
          <a:miter lim="400000"/>
        </a:ln>
        <a:effectLst/>
      </c:spPr>
    </c:plotArea>
    <c:legend>
      <c:legendPos val="t"/>
      <c:layout>
        <c:manualLayout>
          <c:xMode val="edge"/>
          <c:yMode val="edge"/>
          <c:x val="9.9353800000000006E-3"/>
          <c:y val="0"/>
          <c:w val="0.99006499999999997"/>
          <c:h val="7.9378000000000004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zh-CN"/>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zh-CN"/>
  <c:roundedCorners val="0"/>
  <c:style val="2"/>
  <c:chart>
    <c:autoTitleDeleted val="1"/>
    <c:plotArea>
      <c:layout>
        <c:manualLayout>
          <c:layoutTarget val="inner"/>
          <c:xMode val="edge"/>
          <c:yMode val="edge"/>
          <c:x val="6.3015689123647578E-2"/>
          <c:y val="4.1187649047824015E-2"/>
          <c:w val="0.88374900000000001"/>
          <c:h val="0.77291399999999999"/>
        </c:manualLayout>
      </c:layout>
      <c:lineChart>
        <c:grouping val="standard"/>
        <c:varyColors val="0"/>
        <c:ser>
          <c:idx val="0"/>
          <c:order val="0"/>
          <c:tx>
            <c:strRef>
              <c:f>Sheet1!$A$2</c:f>
            </c:strRef>
          </c:tx>
          <c:spPr>
            <a:ln w="50800" cap="flat">
              <a:solidFill>
                <a:schemeClr val="accent3"/>
              </a:solidFill>
              <a:prstDash val="solid"/>
              <a:miter lim="400000"/>
            </a:ln>
            <a:effectLst/>
          </c:spPr>
          <c:marker>
            <c:symbol val="circle"/>
            <c:size val="4"/>
            <c:spPr>
              <a:solidFill>
                <a:srgbClr val="FFFFFF"/>
              </a:solidFill>
              <a:ln w="50800" cap="flat">
                <a:solidFill>
                  <a:schemeClr val="accent3"/>
                </a:solidFill>
                <a:prstDash val="solid"/>
                <a:miter lim="400000"/>
              </a:ln>
              <a:effectLst/>
            </c:spPr>
          </c:marker>
          <c:cat>
            <c:strRef>
              <c:f>Sheet1!$B$1:$F$1</c:f>
              <c:strCache>
                <c:ptCount val="5"/>
                <c:pt idx="0">
                  <c:v>6-10万</c:v>
                </c:pt>
                <c:pt idx="1">
                  <c:v>10-15万</c:v>
                </c:pt>
                <c:pt idx="2">
                  <c:v>15-20万</c:v>
                </c:pt>
                <c:pt idx="3">
                  <c:v>20-30万</c:v>
                </c:pt>
                <c:pt idx="4">
                  <c:v>30-50万</c:v>
                </c:pt>
              </c:strCache>
            </c:strRef>
          </c:cat>
          <c:val>
            <c:numRef>
              <c:f>Sheet1!$B$2:$F$2</c:f>
            </c:numRef>
          </c:val>
          <c:smooth val="0"/>
          <c:extLst>
            <c:ext xmlns:c16="http://schemas.microsoft.com/office/drawing/2014/chart" uri="{C3380CC4-5D6E-409C-BE32-E72D297353CC}">
              <c16:uniqueId val="{00000000-1D9D-41AE-9DFD-ABD6C56FE0F0}"/>
            </c:ext>
          </c:extLst>
        </c:ser>
        <c:ser>
          <c:idx val="1"/>
          <c:order val="1"/>
          <c:tx>
            <c:strRef>
              <c:f>Sheet1!$A$3</c:f>
              <c:strCache>
                <c:ptCount val="1"/>
                <c:pt idx="0">
                  <c:v>工作3-5年</c:v>
                </c:pt>
              </c:strCache>
            </c:strRef>
          </c:tx>
          <c:spPr>
            <a:ln w="50800" cap="flat">
              <a:solidFill>
                <a:schemeClr val="accent2">
                  <a:hueOff val="260013"/>
                  <a:satOff val="17755"/>
                  <a:lumOff val="-25437"/>
                </a:schemeClr>
              </a:solidFill>
              <a:prstDash val="solid"/>
              <a:miter lim="400000"/>
            </a:ln>
            <a:effectLst/>
          </c:spPr>
          <c:marker>
            <c:symbol val="circle"/>
            <c:size val="4"/>
            <c:spPr>
              <a:solidFill>
                <a:srgbClr val="FFFFFF"/>
              </a:solidFill>
              <a:ln w="50800" cap="flat">
                <a:solidFill>
                  <a:schemeClr val="accent2">
                    <a:hueOff val="260013"/>
                    <a:satOff val="17755"/>
                    <a:lumOff val="-25437"/>
                  </a:schemeClr>
                </a:solidFill>
                <a:prstDash val="solid"/>
                <a:miter lim="400000"/>
              </a:ln>
              <a:effectLst/>
            </c:spPr>
          </c:marker>
          <c:cat>
            <c:strRef>
              <c:f>Sheet1!$B$1:$F$1</c:f>
              <c:strCache>
                <c:ptCount val="5"/>
                <c:pt idx="0">
                  <c:v>6-10万</c:v>
                </c:pt>
                <c:pt idx="1">
                  <c:v>10-15万</c:v>
                </c:pt>
                <c:pt idx="2">
                  <c:v>15-20万</c:v>
                </c:pt>
                <c:pt idx="3">
                  <c:v>20-30万</c:v>
                </c:pt>
                <c:pt idx="4">
                  <c:v>30-50万</c:v>
                </c:pt>
              </c:strCache>
            </c:strRef>
          </c:cat>
          <c:val>
            <c:numRef>
              <c:f>Sheet1!$B$3:$F$3</c:f>
              <c:numCache>
                <c:formatCode>General</c:formatCode>
                <c:ptCount val="5"/>
                <c:pt idx="0">
                  <c:v>9.8000000000000004E-2</c:v>
                </c:pt>
                <c:pt idx="1">
                  <c:v>0.25490000000000002</c:v>
                </c:pt>
                <c:pt idx="2">
                  <c:v>0.2157</c:v>
                </c:pt>
                <c:pt idx="3">
                  <c:v>0.25490000000000002</c:v>
                </c:pt>
                <c:pt idx="4">
                  <c:v>0.17649999999999999</c:v>
                </c:pt>
              </c:numCache>
            </c:numRef>
          </c:val>
          <c:smooth val="0"/>
          <c:extLst>
            <c:ext xmlns:c16="http://schemas.microsoft.com/office/drawing/2014/chart" uri="{C3380CC4-5D6E-409C-BE32-E72D297353CC}">
              <c16:uniqueId val="{00000001-1D9D-41AE-9DFD-ABD6C56FE0F0}"/>
            </c:ext>
          </c:extLst>
        </c:ser>
        <c:ser>
          <c:idx val="2"/>
          <c:order val="2"/>
          <c:tx>
            <c:strRef>
              <c:f>Sheet1!$A$4</c:f>
            </c:strRef>
          </c:tx>
          <c:spPr>
            <a:ln w="50800" cap="flat">
              <a:solidFill>
                <a:schemeClr val="accent3">
                  <a:hueOff val="362282"/>
                  <a:satOff val="31803"/>
                  <a:lumOff val="-18242"/>
                </a:schemeClr>
              </a:solidFill>
              <a:prstDash val="solid"/>
              <a:miter lim="400000"/>
            </a:ln>
            <a:effectLst/>
          </c:spPr>
          <c:marker>
            <c:symbol val="circle"/>
            <c:size val="4"/>
            <c:spPr>
              <a:solidFill>
                <a:srgbClr val="FFFFFF"/>
              </a:solidFill>
              <a:ln w="50800" cap="flat">
                <a:solidFill>
                  <a:schemeClr val="accent3">
                    <a:hueOff val="362282"/>
                    <a:satOff val="31803"/>
                    <a:lumOff val="-18242"/>
                  </a:schemeClr>
                </a:solidFill>
                <a:prstDash val="solid"/>
                <a:miter lim="400000"/>
              </a:ln>
              <a:effectLst/>
            </c:spPr>
          </c:marker>
          <c:cat>
            <c:strRef>
              <c:f>Sheet1!$B$1:$F$1</c:f>
              <c:strCache>
                <c:ptCount val="5"/>
                <c:pt idx="0">
                  <c:v>6-10万</c:v>
                </c:pt>
                <c:pt idx="1">
                  <c:v>10-15万</c:v>
                </c:pt>
                <c:pt idx="2">
                  <c:v>15-20万</c:v>
                </c:pt>
                <c:pt idx="3">
                  <c:v>20-30万</c:v>
                </c:pt>
                <c:pt idx="4">
                  <c:v>30-50万</c:v>
                </c:pt>
              </c:strCache>
            </c:strRef>
          </c:cat>
          <c:val>
            <c:numRef>
              <c:f>Sheet1!$B$4:$F$4</c:f>
            </c:numRef>
          </c:val>
          <c:smooth val="0"/>
          <c:extLst>
            <c:ext xmlns:c16="http://schemas.microsoft.com/office/drawing/2014/chart" uri="{C3380CC4-5D6E-409C-BE32-E72D297353CC}">
              <c16:uniqueId val="{00000002-1D9D-41AE-9DFD-ABD6C56FE0F0}"/>
            </c:ext>
          </c:extLst>
        </c:ser>
        <c:ser>
          <c:idx val="3"/>
          <c:order val="3"/>
          <c:tx>
            <c:strRef>
              <c:f>Sheet1!$A$5</c:f>
            </c:strRef>
          </c:tx>
          <c:spPr>
            <a:ln w="50800" cap="flat">
              <a:solidFill>
                <a:schemeClr val="accent2"/>
              </a:solidFill>
              <a:prstDash val="solid"/>
              <a:miter lim="400000"/>
            </a:ln>
            <a:effectLst/>
          </c:spPr>
          <c:marker>
            <c:symbol val="circle"/>
            <c:size val="4"/>
            <c:spPr>
              <a:solidFill>
                <a:srgbClr val="FFFFFF"/>
              </a:solidFill>
              <a:ln w="50800" cap="flat">
                <a:solidFill>
                  <a:schemeClr val="accent2"/>
                </a:solidFill>
                <a:prstDash val="solid"/>
                <a:miter lim="400000"/>
              </a:ln>
              <a:effectLst/>
            </c:spPr>
          </c:marker>
          <c:cat>
            <c:strRef>
              <c:f>Sheet1!$B$1:$F$1</c:f>
              <c:strCache>
                <c:ptCount val="5"/>
                <c:pt idx="0">
                  <c:v>6-10万</c:v>
                </c:pt>
                <c:pt idx="1">
                  <c:v>10-15万</c:v>
                </c:pt>
                <c:pt idx="2">
                  <c:v>15-20万</c:v>
                </c:pt>
                <c:pt idx="3">
                  <c:v>20-30万</c:v>
                </c:pt>
                <c:pt idx="4">
                  <c:v>30-50万</c:v>
                </c:pt>
              </c:strCache>
            </c:strRef>
          </c:cat>
          <c:val>
            <c:numRef>
              <c:f>Sheet1!$B$5:$F$5</c:f>
            </c:numRef>
          </c:val>
          <c:smooth val="0"/>
          <c:extLst>
            <c:ext xmlns:c16="http://schemas.microsoft.com/office/drawing/2014/chart" uri="{C3380CC4-5D6E-409C-BE32-E72D297353CC}">
              <c16:uniqueId val="{00000003-1D9D-41AE-9DFD-ABD6C56FE0F0}"/>
            </c:ext>
          </c:extLst>
        </c:ser>
        <c:ser>
          <c:idx val="4"/>
          <c:order val="4"/>
          <c:tx>
            <c:strRef>
              <c:f>Sheet1!$A$6</c:f>
            </c:strRef>
          </c:tx>
          <c:spPr>
            <a:ln w="50800" cap="flat">
              <a:solidFill>
                <a:schemeClr val="accent3">
                  <a:hueOff val="914338"/>
                  <a:satOff val="31515"/>
                  <a:lumOff val="-30790"/>
                </a:schemeClr>
              </a:solidFill>
              <a:prstDash val="solid"/>
              <a:miter lim="400000"/>
            </a:ln>
            <a:effectLst/>
          </c:spPr>
          <c:marker>
            <c:symbol val="circle"/>
            <c:size val="4"/>
            <c:spPr>
              <a:solidFill>
                <a:srgbClr val="FFFFFF"/>
              </a:solidFill>
              <a:ln w="50800" cap="flat">
                <a:solidFill>
                  <a:schemeClr val="accent3">
                    <a:hueOff val="914338"/>
                    <a:satOff val="31515"/>
                    <a:lumOff val="-30790"/>
                  </a:schemeClr>
                </a:solidFill>
                <a:prstDash val="solid"/>
                <a:miter lim="400000"/>
              </a:ln>
              <a:effectLst/>
            </c:spPr>
          </c:marker>
          <c:cat>
            <c:strRef>
              <c:f>Sheet1!$B$1:$F$1</c:f>
              <c:strCache>
                <c:ptCount val="5"/>
                <c:pt idx="0">
                  <c:v>6-10万</c:v>
                </c:pt>
                <c:pt idx="1">
                  <c:v>10-15万</c:v>
                </c:pt>
                <c:pt idx="2">
                  <c:v>15-20万</c:v>
                </c:pt>
                <c:pt idx="3">
                  <c:v>20-30万</c:v>
                </c:pt>
                <c:pt idx="4">
                  <c:v>30-50万</c:v>
                </c:pt>
              </c:strCache>
            </c:strRef>
          </c:cat>
          <c:val>
            <c:numRef>
              <c:f>Sheet1!$B$6:$F$6</c:f>
            </c:numRef>
          </c:val>
          <c:smooth val="0"/>
          <c:extLst>
            <c:ext xmlns:c16="http://schemas.microsoft.com/office/drawing/2014/chart" uri="{C3380CC4-5D6E-409C-BE32-E72D297353CC}">
              <c16:uniqueId val="{00000004-1D9D-41AE-9DFD-ABD6C56FE0F0}"/>
            </c:ext>
          </c:extLst>
        </c:ser>
        <c:ser>
          <c:idx val="5"/>
          <c:order val="5"/>
          <c:tx>
            <c:strRef>
              <c:f>Sheet1!$A$7</c:f>
              <c:strCache>
                <c:ptCount val="1"/>
                <c:pt idx="0">
                  <c:v>5-10年</c:v>
                </c:pt>
              </c:strCache>
            </c:strRef>
          </c:tx>
          <c:spPr>
            <a:ln w="50800" cap="flat">
              <a:solidFill>
                <a:srgbClr val="00A89D"/>
              </a:solidFill>
              <a:prstDash val="solid"/>
              <a:miter lim="400000"/>
            </a:ln>
            <a:effectLst/>
          </c:spPr>
          <c:marker>
            <c:symbol val="circle"/>
            <c:size val="4"/>
            <c:spPr>
              <a:solidFill>
                <a:srgbClr val="FFFFFF"/>
              </a:solidFill>
              <a:ln w="50800" cap="flat">
                <a:solidFill>
                  <a:srgbClr val="00A89D"/>
                </a:solidFill>
                <a:prstDash val="solid"/>
                <a:miter lim="400000"/>
              </a:ln>
              <a:effectLst/>
            </c:spPr>
          </c:marker>
          <c:cat>
            <c:strRef>
              <c:f>Sheet1!$B$1:$F$1</c:f>
              <c:strCache>
                <c:ptCount val="5"/>
                <c:pt idx="0">
                  <c:v>6-10万</c:v>
                </c:pt>
                <c:pt idx="1">
                  <c:v>10-15万</c:v>
                </c:pt>
                <c:pt idx="2">
                  <c:v>15-20万</c:v>
                </c:pt>
                <c:pt idx="3">
                  <c:v>20-30万</c:v>
                </c:pt>
                <c:pt idx="4">
                  <c:v>30-50万</c:v>
                </c:pt>
              </c:strCache>
            </c:strRef>
          </c:cat>
          <c:val>
            <c:numRef>
              <c:f>Sheet1!$B$7:$F$7</c:f>
              <c:numCache>
                <c:formatCode>General</c:formatCode>
                <c:ptCount val="5"/>
                <c:pt idx="0">
                  <c:v>2.7E-2</c:v>
                </c:pt>
                <c:pt idx="1">
                  <c:v>0.16220000000000001</c:v>
                </c:pt>
                <c:pt idx="2">
                  <c:v>0.2162</c:v>
                </c:pt>
                <c:pt idx="3">
                  <c:v>0.32429999999999998</c:v>
                </c:pt>
                <c:pt idx="4">
                  <c:v>0.2162</c:v>
                </c:pt>
              </c:numCache>
            </c:numRef>
          </c:val>
          <c:smooth val="0"/>
          <c:extLst>
            <c:ext xmlns:c16="http://schemas.microsoft.com/office/drawing/2014/chart" uri="{C3380CC4-5D6E-409C-BE32-E72D297353CC}">
              <c16:uniqueId val="{00000005-1D9D-41AE-9DFD-ABD6C56FE0F0}"/>
            </c:ext>
          </c:extLst>
        </c:ser>
        <c:dLbls>
          <c:showLegendKey val="0"/>
          <c:showVal val="0"/>
          <c:showCatName val="0"/>
          <c:showSerName val="0"/>
          <c:showPercent val="0"/>
          <c:showBubbleSize val="0"/>
        </c:dLbls>
        <c:marker val="1"/>
        <c:smooth val="0"/>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Neue"/>
              </a:defRPr>
            </a:pPr>
            <a:endParaRPr lang="zh-CN"/>
          </a:p>
        </c:txPr>
        <c:crossAx val="2094734553"/>
        <c:crosses val="autoZero"/>
        <c:auto val="1"/>
        <c:lblAlgn val="ctr"/>
        <c:lblOffset val="100"/>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zh-CN"/>
          </a:p>
        </c:txPr>
        <c:crossAx val="2094734552"/>
        <c:crosses val="autoZero"/>
        <c:crossBetween val="midCat"/>
        <c:majorUnit val="0.1"/>
        <c:minorUnit val="0.05"/>
      </c:valAx>
      <c:spPr>
        <a:noFill/>
        <a:ln w="12700" cap="flat">
          <a:noFill/>
          <a:miter lim="400000"/>
        </a:ln>
        <a:effectLst/>
      </c:spPr>
    </c:plotArea>
    <c:legend>
      <c:legendPos val="t"/>
      <c:layout>
        <c:manualLayout>
          <c:xMode val="edge"/>
          <c:yMode val="edge"/>
          <c:x val="4.2488600000000001E-2"/>
          <c:y val="0"/>
          <c:w val="0.88826400000000005"/>
          <c:h val="7.4212899999999998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zh-CN"/>
        </a:p>
      </c:txPr>
    </c:legend>
    <c:plotVisOnly val="1"/>
    <c:dispBlanksAs val="gap"/>
    <c:showDLblsOverMax val="1"/>
  </c:chart>
  <c:spPr>
    <a:noFill/>
    <a:ln>
      <a:noFill/>
    </a:ln>
    <a:effectLst/>
  </c:spPr>
  <c:externalData r:id="rId1">
    <c:autoUpdate val="0"/>
  </c:externalData>
</c:chartSpace>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B5E9D-D547-4CDE-9BE1-DEA3D45A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bai</dc:creator>
  <cp:lastModifiedBy>bai tang</cp:lastModifiedBy>
  <cp:revision>4</cp:revision>
  <cp:lastPrinted>2021-04-08T11:53:00Z</cp:lastPrinted>
  <dcterms:created xsi:type="dcterms:W3CDTF">2021-04-08T11:14:00Z</dcterms:created>
  <dcterms:modified xsi:type="dcterms:W3CDTF">2021-04-08T11:55:00Z</dcterms:modified>
</cp:coreProperties>
</file>