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val="en-US" w:eastAsia="zh-CN"/>
        </w:rPr>
        <w:t>从京津冀地区IT行业薪资看一体化发展</w:t>
      </w:r>
    </w:p>
    <w:p>
      <w:pPr>
        <w:spacing w:after="180" w:afterLines="50" w:line="220" w:lineRule="atLeast"/>
        <w:rPr>
          <w:rFonts w:ascii="宋体" w:hAnsi="宋体" w:eastAsia="宋体"/>
          <w:sz w:val="21"/>
          <w:szCs w:val="21"/>
          <w:vertAlign w:val="superscript"/>
        </w:rPr>
      </w:pPr>
      <w:r>
        <w:rPr>
          <w:rFonts w:hint="eastAsia" w:ascii="宋体" w:hAnsi="宋体" w:eastAsia="宋体"/>
          <w:b/>
          <w:sz w:val="21"/>
          <w:szCs w:val="21"/>
          <w:lang w:val="en-US" w:eastAsia="zh-CN"/>
        </w:rPr>
        <w:t>马紫婷</w:t>
      </w:r>
      <w:r>
        <w:rPr>
          <w:rFonts w:hint="eastAsia" w:ascii="宋体" w:hAnsi="宋体" w:eastAsia="宋体"/>
          <w:sz w:val="21"/>
          <w:szCs w:val="21"/>
          <w:vertAlign w:val="superscript"/>
        </w:rPr>
        <w:t>1</w:t>
      </w:r>
    </w:p>
    <w:p>
      <w:pPr>
        <w:spacing w:after="0" w:line="220" w:lineRule="atLeast"/>
        <w:rPr>
          <w:rFonts w:ascii="宋体" w:hAnsi="宋体" w:eastAsia="宋体"/>
          <w:sz w:val="18"/>
          <w:szCs w:val="18"/>
          <w:vertAlign w:val="superscript"/>
        </w:rPr>
      </w:pPr>
      <w:r>
        <w:rPr>
          <w:rFonts w:hint="eastAsia" w:ascii="仿宋" w:hAnsi="仿宋" w:eastAsia="仿宋"/>
          <w:sz w:val="18"/>
          <w:szCs w:val="18"/>
        </w:rPr>
        <w:t xml:space="preserve">1 </w:t>
      </w: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116621</w:t>
      </w:r>
    </w:p>
    <w:p>
      <w:pPr>
        <w:spacing w:after="0" w:line="220" w:lineRule="atLeast"/>
        <w:jc w:val="both"/>
        <w:rPr>
          <w:rFonts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Azi-yuzu@qq.com</w:t>
      </w:r>
      <w:r>
        <w:rPr>
          <w:rFonts w:hint="eastAsia" w:ascii="仿宋" w:hAnsi="仿宋" w:eastAsia="仿宋"/>
          <w:sz w:val="18"/>
          <w:szCs w:val="18"/>
        </w:rPr>
        <w:t>）</w:t>
      </w:r>
    </w:p>
    <w:p>
      <w:pPr>
        <w:spacing w:after="0" w:line="220" w:lineRule="atLeast"/>
        <w:jc w:val="both"/>
        <w:rPr>
          <w:rFonts w:ascii="仿宋" w:hAnsi="仿宋" w:eastAsia="仿宋"/>
          <w:sz w:val="21"/>
          <w:szCs w:val="21"/>
        </w:rPr>
      </w:pPr>
    </w:p>
    <w:p>
      <w:pPr>
        <w:spacing w:before="180" w:beforeLines="50" w:after="180" w:afterLines="50" w:line="220" w:lineRule="atLeast"/>
        <w:rPr>
          <w:rFonts w:hint="default" w:ascii="仿宋" w:hAnsi="仿宋" w:eastAsia="仿宋"/>
          <w:color w:val="FF0000"/>
          <w:sz w:val="18"/>
          <w:szCs w:val="18"/>
          <w:lang w:val="en-US" w:eastAsia="zh-CN"/>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lang w:val="en-US" w:eastAsia="zh-CN"/>
        </w:rPr>
        <w:t>随着雄安新区千年大计的逐步落实，全方位推进京津冀一体化的工作也提上日程。然而大数据时代的发展并非是简单的修路搭桥，更重要的核心是技术的共享与人才的高效利用。因此将环渤海圈城市从科技水平层面进行分析，进而将科技化智慧之都延伸打造为环渤海IT产业科技智能圈显得尤为重要。根据京津冀地区2012-2018年IT行业从业人员的人数、薪资等方面的数据来看，京津冀的科技产业发展整体呈上升趋势，增幅逐年增大。但北京作为其中的领跑者仍有很长的路要走，全面高效真正促进环渤海圈科技水平一体化还需各方做出努力。政府需要积极调整人才政策、城市需要自主内建焕发活力、企业需要因地制宜精准投资、IT行业从业者需要打破地域隔阂积极创新。以雄安新区为突破口，社会各方一起参与全民建设，国家的政策与号召才真正有意义。</w:t>
      </w:r>
    </w:p>
    <w:p>
      <w:pPr>
        <w:spacing w:before="180" w:beforeLines="50" w:after="180" w:afterLines="50" w:line="220" w:lineRule="atLeast"/>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IT行业</w:t>
      </w:r>
      <w:r>
        <w:rPr>
          <w:rFonts w:hint="eastAsia" w:ascii="宋体" w:hAnsi="宋体" w:eastAsia="宋体"/>
          <w:sz w:val="18"/>
          <w:szCs w:val="18"/>
        </w:rPr>
        <w:t>；</w:t>
      </w:r>
      <w:r>
        <w:rPr>
          <w:rFonts w:hint="eastAsia" w:ascii="宋体" w:hAnsi="宋体" w:eastAsia="宋体"/>
          <w:sz w:val="18"/>
          <w:szCs w:val="18"/>
          <w:lang w:val="en-US" w:eastAsia="zh-CN"/>
        </w:rPr>
        <w:t>薪资</w:t>
      </w:r>
      <w:r>
        <w:rPr>
          <w:rFonts w:hint="eastAsia" w:ascii="宋体" w:hAnsi="宋体" w:eastAsia="宋体"/>
          <w:sz w:val="18"/>
          <w:szCs w:val="18"/>
        </w:rPr>
        <w:t>；</w:t>
      </w:r>
      <w:r>
        <w:rPr>
          <w:rFonts w:hint="eastAsia" w:ascii="宋体" w:hAnsi="宋体" w:eastAsia="宋体"/>
          <w:sz w:val="18"/>
          <w:szCs w:val="18"/>
          <w:lang w:val="en-US" w:eastAsia="zh-CN"/>
        </w:rPr>
        <w:t>从业人数；雄安新区；京津冀一体化；</w:t>
      </w:r>
      <w:r>
        <w:rPr>
          <w:rFonts w:ascii="宋体" w:hAnsi="宋体" w:eastAsia="宋体"/>
          <w:sz w:val="18"/>
          <w:szCs w:val="18"/>
        </w:rPr>
        <w:t>…</w:t>
      </w:r>
      <w:r>
        <w:rPr>
          <w:rFonts w:hint="eastAsia" w:ascii="宋体" w:hAnsi="宋体" w:eastAsia="宋体"/>
          <w:sz w:val="18"/>
          <w:szCs w:val="18"/>
        </w:rPr>
        <w:t xml:space="preserve"> </w:t>
      </w:r>
    </w:p>
    <w:p>
      <w:pPr>
        <w:pStyle w:val="15"/>
        <w:ind w:left="106" w:hanging="106"/>
        <w:rPr>
          <w:b/>
        </w:rPr>
      </w:pPr>
      <w:r>
        <w:rPr>
          <w:rFonts w:hint="eastAsia"/>
          <w:b/>
        </w:rPr>
        <w:t xml:space="preserve">    </w:t>
      </w:r>
    </w:p>
    <w:p>
      <w:pPr>
        <w:pStyle w:val="15"/>
        <w:numPr>
          <w:ilvl w:val="0"/>
          <w:numId w:val="1"/>
        </w:numPr>
        <w:ind w:firstLineChars="0"/>
        <w:rPr>
          <w:rFonts w:ascii="黑体" w:hAnsi="黑体" w:eastAsia="黑体"/>
          <w:color w:val="FF0000"/>
          <w:sz w:val="21"/>
          <w:szCs w:val="21"/>
        </w:rPr>
        <w:sectPr>
          <w:headerReference r:id="rId4" w:type="first"/>
          <w:footerReference r:id="rId5" w:type="first"/>
          <w:headerReference r:id="rId3" w:type="default"/>
          <w:pgSz w:w="11906" w:h="16838"/>
          <w:pgMar w:top="1440" w:right="1800" w:bottom="1440" w:left="1800" w:header="708" w:footer="708" w:gutter="0"/>
          <w:cols w:space="720" w:num="1"/>
          <w:titlePg/>
          <w:docGrid w:type="lines" w:linePitch="360" w:charSpace="0"/>
        </w:sectPr>
      </w:pPr>
    </w:p>
    <w:p>
      <w:pPr>
        <w:pStyle w:val="2"/>
        <w:numPr>
          <w:ilvl w:val="0"/>
          <w:numId w:val="1"/>
        </w:numPr>
      </w:pPr>
      <w:r>
        <w:rPr>
          <w:rFonts w:hint="eastAsia" w:ascii="黑体" w:hAnsi="黑体" w:eastAsia="黑体"/>
          <w:szCs w:val="21"/>
          <w:lang w:val="en-US" w:eastAsia="zh-CN"/>
        </w:rPr>
        <w:t>引言</w:t>
      </w:r>
    </w:p>
    <w:p>
      <w:pPr>
        <w:pStyle w:val="3"/>
        <w:spacing w:after="0" w:line="400" w:lineRule="exact"/>
        <w:ind w:firstLine="360" w:firstLineChars="200"/>
        <w:rPr>
          <w:rFonts w:hint="eastAsia" w:ascii="宋体" w:hAnsi="宋体"/>
          <w:sz w:val="18"/>
          <w:szCs w:val="18"/>
        </w:rPr>
      </w:pPr>
      <w:r>
        <w:rPr>
          <w:rFonts w:hint="eastAsia" w:ascii="宋体" w:hAnsi="宋体"/>
          <w:sz w:val="18"/>
          <w:szCs w:val="18"/>
        </w:rPr>
        <w:t>大数据对于经济社会健康发展具有重大意义。以大数据综合试验区为抓手，有效促进行业间、区域间数据要素与其他生产要素的整合利用，有利于重塑产业链、供应链、价值链，优化资源配置，引领区域协同发展。</w:t>
      </w:r>
      <w:r>
        <w:rPr>
          <w:rFonts w:hint="eastAsia" w:ascii="宋体" w:hAnsi="宋体"/>
          <w:sz w:val="18"/>
          <w:szCs w:val="18"/>
          <w:lang w:val="en-US" w:eastAsia="zh-CN"/>
        </w:rPr>
        <w:t>因此，京津冀</w:t>
      </w:r>
      <w:r>
        <w:rPr>
          <w:rFonts w:hint="eastAsia" w:ascii="宋体" w:hAnsi="宋体"/>
          <w:sz w:val="18"/>
          <w:szCs w:val="18"/>
        </w:rPr>
        <w:t>三地</w:t>
      </w:r>
      <w:r>
        <w:rPr>
          <w:rFonts w:hint="eastAsia" w:ascii="宋体" w:hAnsi="宋体"/>
          <w:sz w:val="18"/>
          <w:szCs w:val="18"/>
          <w:lang w:val="en-US" w:eastAsia="zh-CN"/>
        </w:rPr>
        <w:t>需</w:t>
      </w:r>
      <w:r>
        <w:rPr>
          <w:rFonts w:hint="eastAsia" w:ascii="宋体" w:hAnsi="宋体"/>
          <w:sz w:val="18"/>
          <w:szCs w:val="18"/>
        </w:rPr>
        <w:t>通力合作，加快打造以北京为创新核心、天津为综合支撑、河北做承接转化的大数据产业一体化格局，在京津冀协同发展中发挥先行示范、率先引领的功能，共同将京津冀区域打造成为国家大数据产业创新中心、应用先行区、改革综合试验区和全球大数据产业创新高地。</w:t>
      </w:r>
    </w:p>
    <w:p>
      <w:pPr>
        <w:pStyle w:val="3"/>
        <w:spacing w:after="0" w:line="400" w:lineRule="exact"/>
        <w:ind w:firstLine="360" w:firstLineChars="200"/>
        <w:rPr>
          <w:rFonts w:hint="eastAsia" w:ascii="宋体" w:hAnsi="宋体"/>
          <w:sz w:val="18"/>
          <w:szCs w:val="18"/>
        </w:rPr>
      </w:pPr>
      <w:r>
        <w:rPr>
          <w:rFonts w:hint="eastAsia" w:ascii="宋体" w:hAnsi="宋体"/>
          <w:sz w:val="18"/>
          <w:szCs w:val="18"/>
        </w:rPr>
        <w:t>习近平总书记指出：“发展是第一要务、人才是第一资源、创新是第一动力。强起来要靠创新，创新要靠人才。”当前，</w:t>
      </w:r>
      <w:r>
        <w:rPr>
          <w:rFonts w:hint="eastAsia" w:ascii="宋体" w:hAnsi="宋体"/>
          <w:sz w:val="18"/>
          <w:szCs w:val="18"/>
          <w:lang w:val="en-US" w:eastAsia="zh-CN"/>
        </w:rPr>
        <w:t>京津冀</w:t>
      </w:r>
      <w:r>
        <w:rPr>
          <w:rFonts w:hint="eastAsia" w:ascii="宋体" w:hAnsi="宋体"/>
          <w:sz w:val="18"/>
          <w:szCs w:val="18"/>
        </w:rPr>
        <w:t>正面临转变发展方式、推动高质量发展的重大任务，比以往任何时期都更加需要科技引领、创新支撑和人才保障。</w:t>
      </w:r>
    </w:p>
    <w:p>
      <w:pPr>
        <w:pStyle w:val="3"/>
        <w:spacing w:after="0" w:line="400" w:lineRule="exact"/>
        <w:ind w:firstLine="360" w:firstLineChars="200"/>
        <w:rPr>
          <w:rFonts w:hint="default" w:ascii="宋体" w:hAnsi="宋体" w:eastAsia="宋体"/>
          <w:sz w:val="18"/>
          <w:szCs w:val="18"/>
          <w:lang w:val="en-US" w:eastAsia="zh-CN"/>
        </w:rPr>
      </w:pPr>
      <w:r>
        <w:rPr>
          <w:rFonts w:hint="eastAsia" w:ascii="宋体" w:hAnsi="宋体"/>
          <w:sz w:val="18"/>
          <w:szCs w:val="18"/>
          <w:lang w:val="en-US" w:eastAsia="zh-CN"/>
        </w:rPr>
        <w:t>本文从IT行业管中规豹，以IT行业的视角重新认识京津冀一体化进程的现状与未来发展方向。</w:t>
      </w:r>
    </w:p>
    <w:p>
      <w:pPr>
        <w:pStyle w:val="3"/>
        <w:spacing w:after="0" w:line="240" w:lineRule="auto"/>
        <w:ind w:firstLine="360" w:firstLineChars="200"/>
        <w:rPr>
          <w:rFonts w:hint="eastAsia" w:ascii="宋体" w:hAnsi="宋体" w:eastAsia="宋体"/>
          <w:sz w:val="18"/>
          <w:szCs w:val="18"/>
          <w:lang w:eastAsia="zh-CN"/>
        </w:rPr>
      </w:pPr>
    </w:p>
    <w:p>
      <w:pPr>
        <w:pStyle w:val="3"/>
        <w:spacing w:after="0" w:line="400" w:lineRule="exact"/>
        <w:ind w:firstLine="357"/>
        <w:rPr>
          <w:rFonts w:hint="eastAsia" w:ascii="宋体" w:hAnsi="宋体"/>
          <w:sz w:val="18"/>
          <w:szCs w:val="18"/>
        </w:rPr>
      </w:pPr>
    </w:p>
    <w:p>
      <w:pPr>
        <w:pStyle w:val="2"/>
        <w:numPr>
          <w:ilvl w:val="0"/>
          <w:numId w:val="1"/>
        </w:numPr>
      </w:pPr>
      <w:r>
        <w:rPr>
          <w:rFonts w:hint="eastAsia" w:ascii="黑体" w:hAnsi="黑体" w:eastAsia="黑体"/>
          <w:szCs w:val="21"/>
          <w:lang w:val="en-US" w:eastAsia="zh-CN"/>
        </w:rPr>
        <w:t>京津冀IT行业发展现状</w:t>
      </w:r>
    </w:p>
    <w:p>
      <w:pPr>
        <w:pStyle w:val="3"/>
        <w:spacing w:after="0" w:line="400" w:lineRule="exact"/>
        <w:rPr>
          <w:rFonts w:hint="eastAsia" w:ascii="宋体" w:hAnsi="宋体"/>
          <w:sz w:val="18"/>
          <w:szCs w:val="18"/>
        </w:rPr>
      </w:pPr>
    </w:p>
    <w:p>
      <w:pPr>
        <w:pStyle w:val="15"/>
        <w:numPr>
          <w:ilvl w:val="1"/>
          <w:numId w:val="1"/>
        </w:numPr>
        <w:ind w:left="119" w:hanging="119"/>
        <w:rPr>
          <w:rFonts w:ascii="黑体" w:hAnsi="黑体" w:eastAsia="黑体"/>
          <w:sz w:val="18"/>
          <w:szCs w:val="18"/>
        </w:rPr>
      </w:pPr>
      <w:r>
        <w:rPr>
          <w:rFonts w:hint="eastAsia" w:ascii="黑体" w:hAnsi="黑体" w:eastAsia="黑体"/>
          <w:sz w:val="18"/>
          <w:szCs w:val="18"/>
          <w:lang w:val="en-US" w:eastAsia="zh-CN"/>
        </w:rPr>
        <w:t>北京IT行业现状</w:t>
      </w:r>
    </w:p>
    <w:p>
      <w:pPr>
        <w:pStyle w:val="15"/>
        <w:numPr>
          <w:numId w:val="0"/>
        </w:numPr>
        <w:ind w:leftChars="0" w:firstLine="360" w:firstLineChars="200"/>
        <w:rPr>
          <w:rFonts w:hint="eastAsia" w:ascii="宋体" w:hAnsi="宋体"/>
          <w:sz w:val="18"/>
          <w:szCs w:val="18"/>
          <w:lang w:val="en-US" w:eastAsia="zh-CN"/>
        </w:rPr>
      </w:pPr>
      <w:r>
        <w:rPr>
          <w:rFonts w:hint="eastAsia" w:ascii="宋体" w:hAnsi="宋体"/>
          <w:sz w:val="18"/>
          <w:szCs w:val="18"/>
          <w:lang w:val="en-US" w:eastAsia="zh-CN"/>
        </w:rPr>
        <w:t>科技成果产出是人才科技能力高低的重要体现指标之一，区域拥有发明专利数是区域科技创新成效的外在体现</w:t>
      </w:r>
      <w:bookmarkStart w:id="0" w:name="_GoBack"/>
      <w:bookmarkEnd w:id="0"/>
      <w:r>
        <w:rPr>
          <w:rFonts w:hint="eastAsia" w:ascii="宋体" w:hAnsi="宋体"/>
          <w:sz w:val="18"/>
          <w:szCs w:val="18"/>
          <w:lang w:val="en-US" w:eastAsia="zh-CN"/>
        </w:rPr>
        <w:t>。2017 年，北京市专利授权数为 10.69 万件，天津市为 4.17 万件，河北省为 3.53 万件。其中，北京市的专利授权数为天津的 2.6 倍左右，是河北省的 3 倍。</w:t>
      </w:r>
    </w:p>
    <w:p>
      <w:pPr>
        <w:pStyle w:val="15"/>
        <w:numPr>
          <w:numId w:val="0"/>
        </w:numPr>
        <w:ind w:leftChars="0" w:firstLine="360" w:firstLineChars="200"/>
        <w:rPr>
          <w:rFonts w:hint="default" w:ascii="宋体" w:hAnsi="宋体"/>
          <w:sz w:val="18"/>
          <w:szCs w:val="18"/>
          <w:lang w:val="en-US" w:eastAsia="zh-CN"/>
        </w:rPr>
      </w:pPr>
      <w:r>
        <w:rPr>
          <w:rFonts w:hint="eastAsia" w:ascii="宋体" w:hAnsi="宋体"/>
          <w:sz w:val="18"/>
          <w:szCs w:val="18"/>
          <w:lang w:val="en-US" w:eastAsia="zh-CN"/>
        </w:rPr>
        <w:t>人才的高度集中也往往意味着人才的不充分不高效利用，因此北京中关村官方发布的大数据产业发展促进计划图（图1）中，明确指出要优化空间布局，形成京津冀地区大数据产业带，实现京津冀地区创新型分布式发展。</w:t>
      </w:r>
    </w:p>
    <w:p>
      <w:pPr>
        <w:pStyle w:val="15"/>
        <w:numPr>
          <w:numId w:val="0"/>
        </w:numPr>
        <w:ind w:leftChars="0"/>
        <w:rPr>
          <w:rFonts w:hint="default" w:ascii="宋体" w:hAnsi="宋体"/>
          <w:sz w:val="18"/>
          <w:szCs w:val="18"/>
          <w:lang w:val="en-US" w:eastAsia="zh-CN"/>
        </w:rPr>
      </w:pPr>
      <w:r>
        <w:rPr>
          <w:rFonts w:hint="default" w:ascii="宋体" w:hAnsi="宋体"/>
          <w:sz w:val="18"/>
          <w:szCs w:val="18"/>
          <w:lang w:val="en-US" w:eastAsia="zh-CN"/>
        </w:rPr>
        <w:pict>
          <v:shape id="_x0000_i1037" o:spt="75" alt="京津冀一体化大数据产业图" type="#_x0000_t75" style="height:93.85pt;width:189.55pt;" filled="f" o:preferrelative="t" stroked="f" coordsize="21600,21600">
            <v:path/>
            <v:fill on="f" focussize="0,0"/>
            <v:stroke on="f"/>
            <v:imagedata r:id="rId8" o:title="京津冀一体化大数据产业图"/>
            <o:lock v:ext="edit" aspectratio="t"/>
            <w10:wrap type="none"/>
            <w10:anchorlock/>
          </v:shape>
        </w:pict>
      </w:r>
    </w:p>
    <w:p>
      <w:pPr>
        <w:pStyle w:val="3"/>
        <w:spacing w:after="0"/>
        <w:jc w:val="center"/>
        <w:rPr>
          <w:rFonts w:hint="eastAsia" w:ascii="宋体" w:hAnsi="宋体"/>
          <w:sz w:val="18"/>
          <w:szCs w:val="18"/>
        </w:rPr>
      </w:pPr>
      <w:r>
        <w:rPr>
          <w:rFonts w:hint="eastAsia" w:ascii="宋体" w:hAnsi="宋体"/>
          <w:sz w:val="15"/>
          <w:szCs w:val="15"/>
        </w:rPr>
        <w:t xml:space="preserve">图1  </w:t>
      </w:r>
      <w:r>
        <w:rPr>
          <w:rFonts w:hint="eastAsia" w:ascii="宋体" w:hAnsi="宋体"/>
          <w:sz w:val="15"/>
          <w:szCs w:val="15"/>
          <w:lang w:val="en-US" w:eastAsia="zh-CN"/>
        </w:rPr>
        <w:t>中关村大数据产业发展促进路线图</w:t>
      </w:r>
    </w:p>
    <w:p>
      <w:pPr>
        <w:pStyle w:val="3"/>
        <w:spacing w:after="0" w:line="400" w:lineRule="exact"/>
        <w:ind w:firstLine="357"/>
        <w:rPr>
          <w:rFonts w:hint="eastAsia" w:ascii="宋体" w:hAnsi="宋体"/>
          <w:sz w:val="18"/>
          <w:szCs w:val="18"/>
        </w:rPr>
      </w:pPr>
    </w:p>
    <w:p>
      <w:pPr>
        <w:pStyle w:val="15"/>
        <w:numPr>
          <w:ilvl w:val="1"/>
          <w:numId w:val="1"/>
        </w:numPr>
        <w:ind w:left="119" w:hanging="119"/>
        <w:rPr>
          <w:rFonts w:ascii="黑体" w:hAnsi="黑体" w:eastAsia="黑体"/>
          <w:sz w:val="18"/>
          <w:szCs w:val="18"/>
        </w:rPr>
      </w:pPr>
      <w:r>
        <w:rPr>
          <w:rFonts w:hint="eastAsia" w:ascii="黑体" w:hAnsi="黑体" w:eastAsia="黑体"/>
          <w:sz w:val="18"/>
          <w:szCs w:val="18"/>
          <w:lang w:val="en-US" w:eastAsia="zh-CN"/>
        </w:rPr>
        <w:t>京津冀地区IT行业变化</w:t>
      </w:r>
    </w:p>
    <w:p>
      <w:pPr>
        <w:pStyle w:val="15"/>
        <w:numPr>
          <w:ilvl w:val="2"/>
          <w:numId w:val="1"/>
        </w:numPr>
        <w:ind w:firstLineChars="0"/>
        <w:rPr>
          <w:rFonts w:hint="eastAsia" w:ascii="楷体" w:hAnsi="楷体" w:eastAsia="楷体"/>
          <w:sz w:val="18"/>
          <w:szCs w:val="18"/>
          <w:lang w:val="en-US" w:eastAsia="zh-CN"/>
        </w:rPr>
      </w:pPr>
      <w:r>
        <w:rPr>
          <w:rFonts w:hint="eastAsia" w:ascii="楷体" w:hAnsi="楷体" w:eastAsia="楷体"/>
          <w:sz w:val="18"/>
          <w:szCs w:val="18"/>
          <w:lang w:val="en-US" w:eastAsia="zh-CN"/>
        </w:rPr>
        <w:t>京津冀IT行业薪资水平变化</w:t>
      </w:r>
    </w:p>
    <w:p>
      <w:pPr>
        <w:pStyle w:val="3"/>
        <w:spacing w:after="0" w:line="400" w:lineRule="exact"/>
        <w:ind w:firstLine="357"/>
        <w:rPr>
          <w:rFonts w:hint="eastAsia" w:ascii="宋体" w:hAnsi="宋体"/>
          <w:sz w:val="18"/>
          <w:szCs w:val="18"/>
          <w:lang w:val="en-US" w:eastAsia="zh-CN"/>
        </w:rPr>
      </w:pPr>
      <w:r>
        <w:rPr>
          <w:rFonts w:hint="eastAsia" w:ascii="宋体" w:hAnsi="宋体"/>
          <w:sz w:val="18"/>
          <w:szCs w:val="18"/>
          <w:lang w:val="en-US" w:eastAsia="zh-CN"/>
        </w:rPr>
        <w:t>由2012-2018（其中2016年数据缺失）京津冀三地IT行业全部劳动者薪酬折线图（图2）不难看出，IT行业薪资水平整体呈上升趋势。</w:t>
      </w:r>
    </w:p>
    <w:p>
      <w:pPr>
        <w:pStyle w:val="3"/>
        <w:spacing w:after="0" w:line="240" w:lineRule="auto"/>
        <w:ind w:firstLine="357"/>
        <w:rPr>
          <w:rFonts w:hint="default" w:ascii="宋体" w:hAnsi="宋体"/>
          <w:sz w:val="18"/>
          <w:szCs w:val="18"/>
          <w:lang w:val="en-US" w:eastAsia="zh-CN"/>
        </w:rPr>
      </w:pPr>
      <w:r>
        <w:rPr>
          <w:rFonts w:hint="default" w:ascii="宋体" w:hAnsi="宋体"/>
          <w:sz w:val="18"/>
          <w:szCs w:val="18"/>
          <w:lang w:val="en-US" w:eastAsia="zh-CN"/>
        </w:rPr>
        <w:pict>
          <v:shape id="_x0000_i1041" o:spt="75" alt="京津冀全部劳动者报酬变化折线图" type="#_x0000_t75" style="height:105pt;width:189pt;" filled="f" o:preferrelative="t" stroked="f" coordsize="21600,21600">
            <v:path/>
            <v:fill on="f" focussize="0,0"/>
            <v:stroke on="f"/>
            <v:imagedata r:id="rId9" o:title="京津冀全部劳动者报酬变化折线图"/>
            <o:lock v:ext="edit" aspectratio="t"/>
            <w10:wrap type="none"/>
            <w10:anchorlock/>
          </v:shape>
        </w:pict>
      </w:r>
    </w:p>
    <w:p>
      <w:pPr>
        <w:pStyle w:val="3"/>
        <w:spacing w:after="0" w:line="400" w:lineRule="exact"/>
        <w:ind w:firstLine="357"/>
        <w:rPr>
          <w:rFonts w:hint="eastAsia" w:ascii="宋体" w:hAnsi="宋体"/>
          <w:sz w:val="18"/>
          <w:szCs w:val="18"/>
          <w:lang w:val="en-US" w:eastAsia="zh-CN"/>
        </w:rPr>
      </w:pPr>
    </w:p>
    <w:p>
      <w:pPr>
        <w:pStyle w:val="3"/>
        <w:spacing w:after="0"/>
        <w:jc w:val="center"/>
        <w:rPr>
          <w:rFonts w:hint="default" w:ascii="宋体" w:hAnsi="宋体" w:eastAsia="宋体"/>
          <w:sz w:val="15"/>
          <w:szCs w:val="15"/>
          <w:lang w:val="en-US" w:eastAsia="zh-CN"/>
        </w:rPr>
      </w:pPr>
      <w:r>
        <w:rPr>
          <w:rFonts w:hint="eastAsia" w:ascii="宋体" w:hAnsi="宋体"/>
          <w:sz w:val="15"/>
          <w:szCs w:val="15"/>
        </w:rPr>
        <w:t>图</w:t>
      </w:r>
      <w:r>
        <w:rPr>
          <w:rFonts w:hint="eastAsia" w:ascii="宋体" w:hAnsi="宋体"/>
          <w:sz w:val="15"/>
          <w:szCs w:val="15"/>
          <w:lang w:val="en-US" w:eastAsia="zh-CN"/>
        </w:rPr>
        <w:t>2</w:t>
      </w:r>
      <w:r>
        <w:rPr>
          <w:rFonts w:hint="eastAsia" w:ascii="宋体" w:hAnsi="宋体"/>
          <w:sz w:val="15"/>
          <w:szCs w:val="15"/>
        </w:rPr>
        <w:t xml:space="preserve">  </w:t>
      </w:r>
      <w:r>
        <w:rPr>
          <w:rFonts w:hint="eastAsia" w:ascii="宋体" w:hAnsi="宋体"/>
          <w:sz w:val="15"/>
          <w:szCs w:val="15"/>
          <w:lang w:val="en-US" w:eastAsia="zh-CN"/>
        </w:rPr>
        <w:t>京津冀IT行业全部劳动者报酬变化折线图</w:t>
      </w:r>
    </w:p>
    <w:p>
      <w:pPr>
        <w:pStyle w:val="3"/>
        <w:spacing w:after="0" w:line="400" w:lineRule="exact"/>
        <w:ind w:firstLine="357"/>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但从中也不难看出，北京地区劳动者薪酬总数远远高于天津与河北地区，差距较大。表1的数据也证实了这一点。</w:t>
      </w:r>
    </w:p>
    <w:p>
      <w:pPr>
        <w:pStyle w:val="3"/>
        <w:spacing w:after="0" w:line="240" w:lineRule="atLeast"/>
        <w:jc w:val="center"/>
        <w:rPr>
          <w:rFonts w:hint="default" w:eastAsia="宋体"/>
          <w:color w:val="FF0000"/>
          <w:sz w:val="15"/>
          <w:szCs w:val="15"/>
          <w:lang w:val="en-US" w:eastAsia="zh-CN"/>
        </w:rPr>
      </w:pPr>
      <w:r>
        <w:rPr>
          <w:rFonts w:hint="eastAsia" w:ascii="宋体" w:hAnsi="宋体"/>
          <w:sz w:val="15"/>
          <w:szCs w:val="15"/>
        </w:rPr>
        <w:t xml:space="preserve">表1   </w:t>
      </w:r>
      <w:r>
        <w:rPr>
          <w:rFonts w:hint="eastAsia" w:ascii="宋体" w:hAnsi="宋体"/>
          <w:sz w:val="15"/>
          <w:szCs w:val="15"/>
          <w:lang w:val="en-US" w:eastAsia="zh-CN"/>
        </w:rPr>
        <w:t>京津冀三地劳动者薪酬数据表</w:t>
      </w:r>
    </w:p>
    <w:tbl>
      <w:tblPr>
        <w:tblStyle w:val="8"/>
        <w:tblW w:w="4178" w:type="dxa"/>
        <w:jc w:val="center"/>
        <w:tblLayout w:type="fixed"/>
        <w:tblCellMar>
          <w:top w:w="0" w:type="dxa"/>
          <w:left w:w="108" w:type="dxa"/>
          <w:bottom w:w="0" w:type="dxa"/>
          <w:right w:w="108" w:type="dxa"/>
        </w:tblCellMar>
      </w:tblPr>
      <w:tblGrid>
        <w:gridCol w:w="1194"/>
        <w:gridCol w:w="1081"/>
        <w:gridCol w:w="1008"/>
        <w:gridCol w:w="895"/>
      </w:tblGrid>
      <w:tr>
        <w:tblPrEx>
          <w:tblCellMar>
            <w:top w:w="0" w:type="dxa"/>
            <w:left w:w="108" w:type="dxa"/>
            <w:bottom w:w="0" w:type="dxa"/>
            <w:right w:w="108" w:type="dxa"/>
          </w:tblCellMar>
        </w:tblPrEx>
        <w:trPr>
          <w:trHeight w:val="1058" w:hRule="atLeast"/>
          <w:jc w:val="center"/>
        </w:trPr>
        <w:tc>
          <w:tcPr>
            <w:tcW w:w="1194"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年份</w:t>
            </w:r>
          </w:p>
        </w:tc>
        <w:tc>
          <w:tcPr>
            <w:tcW w:w="1081"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北京</w:t>
            </w:r>
          </w:p>
        </w:tc>
        <w:tc>
          <w:tcPr>
            <w:tcW w:w="1008"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val="en-US" w:eastAsia="zh-CN"/>
              </w:rPr>
            </w:pPr>
            <w:r>
              <w:rPr>
                <w:rFonts w:hint="eastAsia" w:ascii="Times New Roman" w:hAnsi="Times New Roman" w:eastAsia="仿宋"/>
                <w:kern w:val="2"/>
                <w:sz w:val="15"/>
                <w:szCs w:val="15"/>
                <w:lang w:val="en-US" w:eastAsia="zh-CN"/>
              </w:rPr>
              <w:t>天津</w:t>
            </w:r>
          </w:p>
        </w:tc>
        <w:tc>
          <w:tcPr>
            <w:tcW w:w="895" w:type="dxa"/>
            <w:tcBorders>
              <w:top w:val="single" w:color="auto" w:sz="4" w:space="0"/>
              <w:bottom w:val="single" w:color="auto" w:sz="4" w:space="0"/>
            </w:tcBorders>
            <w:noWrap w:val="0"/>
            <w:vAlign w:val="center"/>
          </w:tcPr>
          <w:p>
            <w:pPr>
              <w:widowControl w:val="0"/>
              <w:overflowPunct w:val="0"/>
              <w:jc w:val="center"/>
              <w:rPr>
                <w:rFonts w:hint="eastAsia" w:ascii="Times New Roman" w:hAnsi="Times New Roman" w:eastAsia="仿宋"/>
                <w:kern w:val="2"/>
                <w:sz w:val="15"/>
                <w:szCs w:val="15"/>
                <w:lang w:eastAsia="zh-CN"/>
              </w:rPr>
            </w:pPr>
            <w:r>
              <w:rPr>
                <w:rFonts w:hint="eastAsia" w:ascii="Times New Roman" w:hAnsi="Times New Roman" w:eastAsia="仿宋"/>
                <w:sz w:val="15"/>
                <w:szCs w:val="15"/>
                <w:lang w:val="en-US" w:eastAsia="zh-CN"/>
              </w:rPr>
              <w:t>河北</w:t>
            </w:r>
          </w:p>
        </w:tc>
      </w:tr>
      <w:tr>
        <w:tblPrEx>
          <w:tblCellMar>
            <w:top w:w="0" w:type="dxa"/>
            <w:left w:w="108" w:type="dxa"/>
            <w:bottom w:w="0" w:type="dxa"/>
            <w:right w:w="108" w:type="dxa"/>
          </w:tblCellMar>
        </w:tblPrEx>
        <w:trPr>
          <w:trHeight w:val="729" w:hRule="atLeast"/>
          <w:jc w:val="center"/>
        </w:trPr>
        <w:tc>
          <w:tcPr>
            <w:tcW w:w="1194" w:type="dxa"/>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2012</w:t>
            </w:r>
          </w:p>
        </w:tc>
        <w:tc>
          <w:tcPr>
            <w:tcW w:w="1081"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7954045</w:t>
            </w:r>
          </w:p>
        </w:tc>
        <w:tc>
          <w:tcPr>
            <w:tcW w:w="1008"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560553</w:t>
            </w:r>
          </w:p>
        </w:tc>
        <w:tc>
          <w:tcPr>
            <w:tcW w:w="895"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222977</w:t>
            </w:r>
          </w:p>
        </w:tc>
      </w:tr>
      <w:tr>
        <w:tblPrEx>
          <w:tblCellMar>
            <w:top w:w="0" w:type="dxa"/>
            <w:left w:w="108" w:type="dxa"/>
            <w:bottom w:w="0" w:type="dxa"/>
            <w:right w:w="108" w:type="dxa"/>
          </w:tblCellMar>
        </w:tblPrEx>
        <w:trPr>
          <w:trHeight w:val="729" w:hRule="atLeast"/>
          <w:jc w:val="center"/>
        </w:trPr>
        <w:tc>
          <w:tcPr>
            <w:tcW w:w="1194" w:type="dxa"/>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2013</w:t>
            </w:r>
          </w:p>
        </w:tc>
        <w:tc>
          <w:tcPr>
            <w:tcW w:w="1081"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9338693</w:t>
            </w:r>
          </w:p>
        </w:tc>
        <w:tc>
          <w:tcPr>
            <w:tcW w:w="1008"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610539</w:t>
            </w:r>
          </w:p>
        </w:tc>
        <w:tc>
          <w:tcPr>
            <w:tcW w:w="895"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290124</w:t>
            </w:r>
          </w:p>
        </w:tc>
      </w:tr>
      <w:tr>
        <w:tblPrEx>
          <w:tblCellMar>
            <w:top w:w="0" w:type="dxa"/>
            <w:left w:w="108" w:type="dxa"/>
            <w:bottom w:w="0" w:type="dxa"/>
            <w:right w:w="108" w:type="dxa"/>
          </w:tblCellMar>
        </w:tblPrEx>
        <w:trPr>
          <w:trHeight w:val="729" w:hRule="atLeast"/>
          <w:jc w:val="center"/>
        </w:trPr>
        <w:tc>
          <w:tcPr>
            <w:tcW w:w="1194" w:type="dxa"/>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2014</w:t>
            </w:r>
          </w:p>
        </w:tc>
        <w:tc>
          <w:tcPr>
            <w:tcW w:w="1081"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11093203</w:t>
            </w:r>
          </w:p>
        </w:tc>
        <w:tc>
          <w:tcPr>
            <w:tcW w:w="1008"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860396</w:t>
            </w:r>
          </w:p>
        </w:tc>
        <w:tc>
          <w:tcPr>
            <w:tcW w:w="895"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436365</w:t>
            </w:r>
          </w:p>
        </w:tc>
      </w:tr>
      <w:tr>
        <w:tblPrEx>
          <w:tblCellMar>
            <w:top w:w="0" w:type="dxa"/>
            <w:left w:w="108" w:type="dxa"/>
            <w:bottom w:w="0" w:type="dxa"/>
            <w:right w:w="108" w:type="dxa"/>
          </w:tblCellMar>
        </w:tblPrEx>
        <w:trPr>
          <w:trHeight w:val="729" w:hRule="atLeast"/>
          <w:jc w:val="center"/>
        </w:trPr>
        <w:tc>
          <w:tcPr>
            <w:tcW w:w="1194" w:type="dxa"/>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2015</w:t>
            </w:r>
          </w:p>
        </w:tc>
        <w:tc>
          <w:tcPr>
            <w:tcW w:w="1081"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12827484</w:t>
            </w:r>
          </w:p>
        </w:tc>
        <w:tc>
          <w:tcPr>
            <w:tcW w:w="1008"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884792</w:t>
            </w:r>
          </w:p>
        </w:tc>
        <w:tc>
          <w:tcPr>
            <w:tcW w:w="895"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557390</w:t>
            </w:r>
          </w:p>
        </w:tc>
      </w:tr>
      <w:tr>
        <w:tblPrEx>
          <w:tblCellMar>
            <w:top w:w="0" w:type="dxa"/>
            <w:left w:w="108" w:type="dxa"/>
            <w:bottom w:w="0" w:type="dxa"/>
            <w:right w:w="108" w:type="dxa"/>
          </w:tblCellMar>
        </w:tblPrEx>
        <w:trPr>
          <w:trHeight w:val="729" w:hRule="atLeast"/>
          <w:jc w:val="center"/>
        </w:trPr>
        <w:tc>
          <w:tcPr>
            <w:tcW w:w="1194" w:type="dxa"/>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2016</w:t>
            </w:r>
          </w:p>
        </w:tc>
        <w:tc>
          <w:tcPr>
            <w:tcW w:w="1081" w:type="dxa"/>
            <w:tcBorders/>
            <w:noWrap w:val="0"/>
            <w:vAlign w:val="center"/>
          </w:tcPr>
          <w:p>
            <w:pPr>
              <w:widowControl w:val="0"/>
              <w:overflowPunct w:val="0"/>
              <w:jc w:val="center"/>
              <w:rPr>
                <w:rFonts w:ascii="Times New Roman" w:hAnsi="Times New Roman" w:eastAsia="仿宋"/>
                <w:sz w:val="15"/>
                <w:szCs w:val="15"/>
              </w:rPr>
            </w:pPr>
          </w:p>
        </w:tc>
        <w:tc>
          <w:tcPr>
            <w:tcW w:w="1008" w:type="dxa"/>
            <w:tcBorders/>
            <w:noWrap w:val="0"/>
            <w:vAlign w:val="center"/>
          </w:tcPr>
          <w:p>
            <w:pPr>
              <w:widowControl w:val="0"/>
              <w:overflowPunct w:val="0"/>
              <w:jc w:val="center"/>
              <w:rPr>
                <w:rFonts w:ascii="Times New Roman" w:hAnsi="Times New Roman" w:eastAsia="仿宋"/>
                <w:sz w:val="15"/>
                <w:szCs w:val="15"/>
              </w:rPr>
            </w:pPr>
          </w:p>
        </w:tc>
        <w:tc>
          <w:tcPr>
            <w:tcW w:w="895" w:type="dxa"/>
            <w:tcBorders/>
            <w:noWrap w:val="0"/>
            <w:vAlign w:val="center"/>
          </w:tcPr>
          <w:p>
            <w:pPr>
              <w:widowControl w:val="0"/>
              <w:overflowPunct w:val="0"/>
              <w:jc w:val="center"/>
              <w:rPr>
                <w:rFonts w:ascii="Times New Roman" w:hAnsi="Times New Roman" w:eastAsia="仿宋"/>
                <w:sz w:val="15"/>
                <w:szCs w:val="15"/>
              </w:rPr>
            </w:pPr>
          </w:p>
        </w:tc>
      </w:tr>
      <w:tr>
        <w:tblPrEx>
          <w:tblCellMar>
            <w:top w:w="0" w:type="dxa"/>
            <w:left w:w="108" w:type="dxa"/>
            <w:bottom w:w="0" w:type="dxa"/>
            <w:right w:w="108" w:type="dxa"/>
          </w:tblCellMar>
        </w:tblPrEx>
        <w:trPr>
          <w:trHeight w:val="729" w:hRule="atLeast"/>
          <w:jc w:val="center"/>
        </w:trPr>
        <w:tc>
          <w:tcPr>
            <w:tcW w:w="1194" w:type="dxa"/>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2017</w:t>
            </w:r>
          </w:p>
        </w:tc>
        <w:tc>
          <w:tcPr>
            <w:tcW w:w="1081"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17653228</w:t>
            </w:r>
          </w:p>
        </w:tc>
        <w:tc>
          <w:tcPr>
            <w:tcW w:w="1008"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894893</w:t>
            </w:r>
          </w:p>
        </w:tc>
        <w:tc>
          <w:tcPr>
            <w:tcW w:w="895" w:type="dxa"/>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795203</w:t>
            </w:r>
          </w:p>
        </w:tc>
      </w:tr>
      <w:tr>
        <w:tblPrEx>
          <w:tblCellMar>
            <w:top w:w="0" w:type="dxa"/>
            <w:left w:w="108" w:type="dxa"/>
            <w:bottom w:w="0" w:type="dxa"/>
            <w:right w:w="108" w:type="dxa"/>
          </w:tblCellMar>
        </w:tblPrEx>
        <w:trPr>
          <w:trHeight w:val="729" w:hRule="atLeast"/>
          <w:jc w:val="center"/>
        </w:trPr>
        <w:tc>
          <w:tcPr>
            <w:tcW w:w="1194" w:type="dxa"/>
            <w:tcBorders>
              <w:bottom w:val="single" w:color="auto" w:sz="4" w:space="0"/>
            </w:tcBorders>
            <w:noWrap w:val="0"/>
            <w:vAlign w:val="center"/>
          </w:tcPr>
          <w:p>
            <w:pPr>
              <w:widowControl w:val="0"/>
              <w:overflowPunct w:val="0"/>
              <w:jc w:val="center"/>
              <w:rPr>
                <w:rFonts w:hint="default" w:ascii="Times New Roman" w:hAnsi="Times New Roman" w:eastAsia="仿宋"/>
                <w:sz w:val="15"/>
                <w:szCs w:val="15"/>
                <w:lang w:val="en-US" w:eastAsia="zh-CN"/>
              </w:rPr>
            </w:pPr>
            <w:r>
              <w:rPr>
                <w:rFonts w:hint="eastAsia" w:ascii="Times New Roman" w:hAnsi="Times New Roman" w:eastAsia="仿宋"/>
                <w:sz w:val="15"/>
                <w:szCs w:val="15"/>
                <w:lang w:val="en-US" w:eastAsia="zh-CN"/>
              </w:rPr>
              <w:t>2018</w:t>
            </w:r>
          </w:p>
        </w:tc>
        <w:tc>
          <w:tcPr>
            <w:tcW w:w="1081" w:type="dxa"/>
            <w:tcBorders>
              <w:bottom w:val="single" w:color="auto" w:sz="4" w:space="0"/>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22144632</w:t>
            </w:r>
          </w:p>
        </w:tc>
        <w:tc>
          <w:tcPr>
            <w:tcW w:w="1008" w:type="dxa"/>
            <w:tcBorders>
              <w:bottom w:val="single" w:color="auto" w:sz="4" w:space="0"/>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1287335</w:t>
            </w:r>
          </w:p>
        </w:tc>
        <w:tc>
          <w:tcPr>
            <w:tcW w:w="895" w:type="dxa"/>
            <w:tcBorders>
              <w:bottom w:val="single" w:color="auto" w:sz="4" w:space="0"/>
            </w:tcBorders>
            <w:noWrap w:val="0"/>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620562</w:t>
            </w:r>
          </w:p>
        </w:tc>
      </w:tr>
    </w:tbl>
    <w:p/>
    <w:p>
      <w:pPr>
        <w:pStyle w:val="15"/>
        <w:numPr>
          <w:ilvl w:val="2"/>
          <w:numId w:val="1"/>
        </w:numPr>
        <w:ind w:firstLineChars="0"/>
        <w:rPr>
          <w:rFonts w:hint="eastAsia" w:ascii="楷体" w:hAnsi="楷体" w:eastAsia="楷体"/>
          <w:sz w:val="18"/>
          <w:szCs w:val="18"/>
          <w:lang w:val="en-US" w:eastAsia="zh-CN"/>
        </w:rPr>
      </w:pPr>
      <w:r>
        <w:rPr>
          <w:rFonts w:hint="eastAsia" w:ascii="楷体" w:hAnsi="楷体" w:eastAsia="楷体"/>
          <w:sz w:val="18"/>
          <w:szCs w:val="18"/>
          <w:lang w:val="en-US" w:eastAsia="zh-CN"/>
        </w:rPr>
        <w:t>京津冀IT行业从业人数变化</w:t>
      </w:r>
    </w:p>
    <w:p>
      <w:pPr>
        <w:pStyle w:val="3"/>
        <w:spacing w:after="0" w:line="400" w:lineRule="exact"/>
        <w:ind w:firstLine="357"/>
        <w:rPr>
          <w:rFonts w:hint="eastAsia" w:ascii="宋体" w:hAnsi="宋体"/>
          <w:sz w:val="18"/>
          <w:szCs w:val="18"/>
          <w:lang w:val="en-US" w:eastAsia="zh-CN"/>
        </w:rPr>
      </w:pPr>
      <w:r>
        <w:rPr>
          <w:rFonts w:hint="eastAsia" w:ascii="宋体" w:hAnsi="宋体"/>
          <w:sz w:val="18"/>
          <w:szCs w:val="18"/>
          <w:lang w:val="en-US" w:eastAsia="zh-CN"/>
        </w:rPr>
        <w:t>由2012-2018（其中2016年数据缺失）京津冀三地IT行业从业人数折线图（图3）不难看出，IT行业从业人数整体呈上升趋势。</w:t>
      </w:r>
    </w:p>
    <w:p/>
    <w:p>
      <w:pPr>
        <w:pStyle w:val="3"/>
        <w:spacing w:after="0"/>
        <w:rPr>
          <w:rFonts w:hint="eastAsia" w:ascii="宋体" w:hAnsi="宋体" w:eastAsia="宋体"/>
          <w:sz w:val="18"/>
          <w:szCs w:val="18"/>
          <w:lang w:eastAsia="zh-CN"/>
        </w:rPr>
      </w:pPr>
      <w:r>
        <w:rPr>
          <w:rFonts w:hint="eastAsia" w:ascii="宋体" w:hAnsi="宋体" w:eastAsia="宋体"/>
          <w:sz w:val="18"/>
          <w:szCs w:val="18"/>
          <w:lang w:eastAsia="zh-CN"/>
        </w:rPr>
        <w:pict>
          <v:shape id="_x0000_i1043" o:spt="75" alt="京津冀从业人员年末人数变化折线图" type="#_x0000_t75" style="height:105pt;width:189pt;" filled="f" o:preferrelative="t" stroked="f" coordsize="21600,21600">
            <v:path/>
            <v:fill on="f" focussize="0,0"/>
            <v:stroke on="f"/>
            <v:imagedata r:id="rId10" o:title="京津冀从业人员年末人数变化折线图"/>
            <o:lock v:ext="edit" aspectratio="t"/>
            <w10:wrap type="none"/>
            <w10:anchorlock/>
          </v:shape>
        </w:pict>
      </w:r>
    </w:p>
    <w:p>
      <w:pPr>
        <w:pStyle w:val="3"/>
        <w:spacing w:after="0"/>
        <w:jc w:val="center"/>
        <w:rPr>
          <w:rFonts w:hint="default" w:ascii="宋体" w:hAnsi="宋体" w:eastAsia="宋体"/>
          <w:sz w:val="15"/>
          <w:szCs w:val="15"/>
          <w:lang w:val="en-US" w:eastAsia="zh-CN"/>
        </w:rPr>
      </w:pPr>
      <w:r>
        <w:rPr>
          <w:rFonts w:hint="eastAsia" w:ascii="宋体" w:hAnsi="宋体"/>
          <w:sz w:val="15"/>
          <w:szCs w:val="15"/>
        </w:rPr>
        <w:t>图</w:t>
      </w:r>
      <w:r>
        <w:rPr>
          <w:rFonts w:hint="eastAsia" w:ascii="宋体" w:hAnsi="宋体"/>
          <w:sz w:val="15"/>
          <w:szCs w:val="15"/>
          <w:lang w:val="en-US" w:eastAsia="zh-CN"/>
        </w:rPr>
        <w:t>3</w:t>
      </w:r>
      <w:r>
        <w:rPr>
          <w:rFonts w:hint="eastAsia" w:ascii="宋体" w:hAnsi="宋体"/>
          <w:sz w:val="15"/>
          <w:szCs w:val="15"/>
        </w:rPr>
        <w:t xml:space="preserve">  </w:t>
      </w:r>
      <w:r>
        <w:rPr>
          <w:rFonts w:hint="eastAsia" w:ascii="宋体" w:hAnsi="宋体"/>
          <w:sz w:val="15"/>
          <w:szCs w:val="15"/>
          <w:lang w:val="en-US" w:eastAsia="zh-CN"/>
        </w:rPr>
        <w:t>京津冀IT行业从业人数变化折线图</w:t>
      </w:r>
    </w:p>
    <w:p>
      <w:pPr>
        <w:pStyle w:val="3"/>
        <w:spacing w:after="0"/>
        <w:ind w:firstLine="825" w:firstLineChars="550"/>
        <w:rPr>
          <w:sz w:val="15"/>
          <w:szCs w:val="15"/>
        </w:rPr>
      </w:pPr>
    </w:p>
    <w:p>
      <w:pPr>
        <w:pStyle w:val="2"/>
        <w:numPr>
          <w:ilvl w:val="0"/>
          <w:numId w:val="1"/>
        </w:numPr>
      </w:pPr>
      <w:r>
        <w:rPr>
          <w:rFonts w:hint="eastAsia" w:ascii="黑体" w:hAnsi="黑体" w:eastAsia="黑体"/>
          <w:szCs w:val="21"/>
          <w:lang w:val="en-US" w:eastAsia="zh-CN"/>
        </w:rPr>
        <w:t>京津冀一体化发展存在的问题</w:t>
      </w:r>
    </w:p>
    <w:p>
      <w:pPr>
        <w:pStyle w:val="15"/>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统筹规划</w:t>
      </w:r>
    </w:p>
    <w:p>
      <w:pPr>
        <w:pStyle w:val="15"/>
        <w:numPr>
          <w:ilvl w:val="2"/>
          <w:numId w:val="1"/>
        </w:numPr>
        <w:ind w:firstLineChars="0"/>
        <w:rPr>
          <w:rFonts w:hint="eastAsia" w:ascii="黑体" w:hAnsi="黑体" w:eastAsia="黑体"/>
          <w:sz w:val="18"/>
          <w:szCs w:val="18"/>
          <w:lang w:val="en-US" w:eastAsia="zh-CN"/>
        </w:rPr>
      </w:pPr>
      <w:r>
        <w:rPr>
          <w:rFonts w:hint="eastAsia" w:ascii="楷体" w:hAnsi="楷体" w:eastAsia="楷体"/>
          <w:sz w:val="18"/>
          <w:szCs w:val="18"/>
          <w:lang w:val="en-US" w:eastAsia="zh-CN"/>
        </w:rPr>
        <w:t>规划效果不佳，统筹力度不够</w:t>
      </w:r>
    </w:p>
    <w:p>
      <w:pPr>
        <w:ind w:firstLine="360" w:firstLineChars="200"/>
        <w:rPr>
          <w:rFonts w:hint="eastAsia" w:ascii="宋体" w:hAnsi="宋体" w:eastAsia="宋体" w:cs="Times New Roman"/>
          <w:color w:val="auto"/>
          <w:kern w:val="2"/>
          <w:sz w:val="18"/>
          <w:szCs w:val="18"/>
          <w:lang w:val="en-US" w:eastAsia="zh-CN" w:bidi="ar-SA"/>
        </w:rPr>
      </w:pPr>
      <w:r>
        <w:rPr>
          <w:rFonts w:hint="eastAsia" w:ascii="宋体" w:hAnsi="宋体" w:eastAsia="宋体" w:cs="Times New Roman"/>
          <w:color w:val="auto"/>
          <w:kern w:val="2"/>
          <w:sz w:val="18"/>
          <w:szCs w:val="18"/>
          <w:lang w:val="en-US" w:eastAsia="zh-CN" w:bidi="ar-SA"/>
        </w:rPr>
        <w:t>京津冀三地的人才一体化进程不断推进，相应政策也陆续出台，但在具体实施过程中却困难重重，与预期效果存在差距。京津冀三地为吸引更多优质人才，制定了一系列优惠政策，例如天津市的“海河英才”计划，吸引了大量优质科技人才流入天津。河北省虽然也相继推出“英才入冀”“外专百人计划”等引才计划，但与京津两地的先天差距使大批科技人才优先选择北京和天津。因此，京津冀三地在人才引用方面利益竞争大于合作协同，这与京津冀人才一体化的目标背道而驰。</w:t>
      </w:r>
    </w:p>
    <w:p>
      <w:pPr>
        <w:pStyle w:val="15"/>
        <w:numPr>
          <w:ilvl w:val="2"/>
          <w:numId w:val="1"/>
        </w:numPr>
        <w:ind w:firstLineChars="0"/>
        <w:rPr>
          <w:rFonts w:hint="eastAsia" w:ascii="楷体" w:hAnsi="楷体" w:eastAsia="楷体"/>
          <w:sz w:val="18"/>
          <w:szCs w:val="18"/>
          <w:lang w:val="en-US" w:eastAsia="zh-CN"/>
        </w:rPr>
      </w:pPr>
      <w:r>
        <w:rPr>
          <w:rFonts w:hint="eastAsia" w:ascii="楷体" w:hAnsi="楷体" w:eastAsia="楷体"/>
          <w:sz w:val="18"/>
          <w:szCs w:val="18"/>
          <w:lang w:val="en-US" w:eastAsia="zh-CN"/>
        </w:rPr>
        <w:t>政策衔接不畅，人才流动存在阻碍</w:t>
      </w:r>
    </w:p>
    <w:p>
      <w:pPr>
        <w:ind w:firstLine="360" w:firstLineChars="200"/>
        <w:rPr>
          <w:rFonts w:hint="eastAsia" w:ascii="宋体" w:hAnsi="宋体" w:eastAsia="宋体" w:cs="Times New Roman"/>
          <w:color w:val="auto"/>
          <w:kern w:val="2"/>
          <w:sz w:val="18"/>
          <w:szCs w:val="18"/>
          <w:lang w:val="en-US" w:eastAsia="zh-CN" w:bidi="ar-SA"/>
        </w:rPr>
      </w:pPr>
      <w:r>
        <w:rPr>
          <w:rFonts w:hint="eastAsia" w:ascii="宋体" w:hAnsi="宋体" w:eastAsia="宋体" w:cs="Times New Roman"/>
          <w:color w:val="auto"/>
          <w:kern w:val="2"/>
          <w:sz w:val="18"/>
          <w:szCs w:val="18"/>
          <w:lang w:val="en-US" w:eastAsia="zh-CN" w:bidi="ar-SA"/>
        </w:rPr>
        <w:t>京津冀三地分属不同行政区划，在诸多涉及人才流动的政策衔接方面不够顺畅，导致三地间人才流动阻碍较多。一方面，京津冀三地间由于各自占有资源以及用人需求的差异，导致其在引才、用才标准方面存在较大差异。另一方面，京津冀三地间户籍准入政策和社会福利保障制度也未能实现有效对接，加上职业资格评定体系不同，可能导致原本具有较高职称的专业性技术人才到其他地区产生降级的现象出现，待遇水平下降，这就进一步阻碍了人才流动，导致人才市场分割。</w:t>
      </w:r>
    </w:p>
    <w:p>
      <w:pPr>
        <w:pStyle w:val="2"/>
        <w:numPr>
          <w:ilvl w:val="0"/>
          <w:numId w:val="1"/>
        </w:numPr>
        <w:rPr>
          <w:rFonts w:hint="default"/>
          <w:lang w:val="en-US"/>
        </w:rPr>
      </w:pPr>
      <w:r>
        <w:rPr>
          <w:rFonts w:hint="eastAsia" w:ascii="黑体" w:hAnsi="黑体" w:eastAsia="黑体"/>
          <w:szCs w:val="21"/>
          <w:lang w:val="en-US" w:eastAsia="zh-CN"/>
        </w:rPr>
        <w:t>京津冀一体化发展的突破口</w:t>
      </w:r>
    </w:p>
    <w:p>
      <w:pPr>
        <w:pStyle w:val="15"/>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明确协同发展目标</w:t>
      </w:r>
    </w:p>
    <w:p>
      <w:pPr>
        <w:keepNext w:val="0"/>
        <w:keepLines w:val="0"/>
        <w:widowControl/>
        <w:suppressLineNumbers w:val="0"/>
        <w:ind w:firstLine="364" w:firstLineChars="200"/>
        <w:jc w:val="left"/>
        <w:rPr>
          <w:rFonts w:hint="default" w:ascii="方正宋三简体" w:hAnsi="方正宋三简体" w:eastAsia="方正宋三简体" w:cs="方正宋三简体"/>
          <w:color w:val="231F20"/>
          <w:kern w:val="0"/>
          <w:sz w:val="18"/>
          <w:szCs w:val="18"/>
          <w:lang w:val="en-US" w:eastAsia="zh-CN" w:bidi="ar"/>
        </w:rPr>
      </w:pPr>
      <w:r>
        <w:rPr>
          <w:rFonts w:hint="default" w:ascii="方正宋三简体" w:hAnsi="方正宋三简体" w:eastAsia="方正宋三简体" w:cs="方正宋三简体"/>
          <w:color w:val="231F20"/>
          <w:kern w:val="0"/>
          <w:sz w:val="18"/>
          <w:szCs w:val="18"/>
          <w:lang w:val="en-US" w:eastAsia="zh-CN" w:bidi="ar"/>
        </w:rPr>
        <w:t>从短期角度来看，京津冀协同发展战略的目标是，通过产业转移和产业协同发展来缓解北京市所面临的“大城市病”难题 ；而从长远视角来看，京津冀协同发展战略的根本目标是，通过建立政策互动机制、资源共享机制、市场开放机制、协同创新三大机制，建设京津冀的创新共同体系</w:t>
      </w:r>
      <w:r>
        <w:rPr>
          <w:rFonts w:hint="eastAsia" w:ascii="方正宋三简体" w:hAnsi="方正宋三简体" w:eastAsia="方正宋三简体" w:cs="方正宋三简体"/>
          <w:color w:val="231F20"/>
          <w:kern w:val="0"/>
          <w:sz w:val="18"/>
          <w:szCs w:val="18"/>
          <w:lang w:val="en-US" w:eastAsia="zh-CN" w:bidi="ar"/>
        </w:rPr>
        <w:t>、</w:t>
      </w:r>
      <w:r>
        <w:rPr>
          <w:rFonts w:hint="default" w:ascii="方正宋三简体" w:hAnsi="方正宋三简体" w:eastAsia="方正宋三简体" w:cs="方正宋三简体"/>
          <w:color w:val="231F20"/>
          <w:kern w:val="0"/>
          <w:sz w:val="18"/>
          <w:szCs w:val="18"/>
          <w:lang w:val="en-US" w:eastAsia="zh-CN" w:bidi="ar"/>
        </w:rPr>
        <w:t>形成区域协同创新中心，最终打造一个具有全球影响力和辐射力的“新型经济增长极”。</w:t>
      </w:r>
    </w:p>
    <w:p>
      <w:pPr>
        <w:pStyle w:val="15"/>
        <w:numPr>
          <w:ilvl w:val="1"/>
          <w:numId w:val="1"/>
        </w:numPr>
        <w:ind w:left="119" w:hanging="119"/>
      </w:pPr>
      <w:r>
        <w:rPr>
          <w:rFonts w:hint="eastAsia" w:ascii="黑体" w:hAnsi="黑体" w:eastAsia="黑体"/>
          <w:sz w:val="18"/>
          <w:szCs w:val="18"/>
          <w:lang w:val="en-US" w:eastAsia="zh-CN"/>
        </w:rPr>
        <w:t>抓住突破口</w:t>
      </w:r>
    </w:p>
    <w:p>
      <w:pPr>
        <w:pStyle w:val="15"/>
        <w:numPr>
          <w:numId w:val="0"/>
        </w:numPr>
        <w:ind w:firstLine="364" w:firstLineChars="200"/>
        <w:rPr>
          <w:rFonts w:hint="default" w:ascii="汉仪大宋简" w:hAnsi="汉仪大宋简" w:eastAsia="汉仪大宋简" w:cs="汉仪大宋简"/>
          <w:color w:val="231F20"/>
          <w:kern w:val="0"/>
          <w:sz w:val="18"/>
          <w:szCs w:val="18"/>
          <w:lang w:val="en-US" w:eastAsia="zh-CN" w:bidi="ar"/>
        </w:rPr>
      </w:pPr>
      <w:r>
        <w:rPr>
          <w:rFonts w:ascii="汉仪大宋简" w:hAnsi="汉仪大宋简" w:eastAsia="汉仪大宋简" w:cs="汉仪大宋简"/>
          <w:color w:val="231F20"/>
          <w:kern w:val="0"/>
          <w:sz w:val="18"/>
          <w:szCs w:val="18"/>
          <w:lang w:val="en-US" w:eastAsia="zh-CN" w:bidi="ar"/>
        </w:rPr>
        <w:t>积极利用雄安新区的设立与</w:t>
      </w:r>
      <w:r>
        <w:rPr>
          <w:rFonts w:hint="default" w:ascii="汉仪大宋简" w:hAnsi="汉仪大宋简" w:eastAsia="汉仪大宋简" w:cs="汉仪大宋简"/>
          <w:color w:val="231F20"/>
          <w:kern w:val="0"/>
          <w:sz w:val="18"/>
          <w:szCs w:val="18"/>
          <w:lang w:val="en-US" w:eastAsia="zh-CN" w:bidi="ar"/>
        </w:rPr>
        <w:t>发展契机，作为打破当前京津冀产业协同发展的机制体制性障碍的突破口，全面加快推进京津冀产业协同发展战略的布局和实施</w:t>
      </w:r>
      <w:r>
        <w:rPr>
          <w:rFonts w:hint="eastAsia" w:ascii="汉仪大宋简" w:hAnsi="汉仪大宋简" w:eastAsia="汉仪大宋简" w:cs="汉仪大宋简"/>
          <w:color w:val="231F20"/>
          <w:kern w:val="0"/>
          <w:sz w:val="18"/>
          <w:szCs w:val="18"/>
          <w:lang w:val="en-US" w:eastAsia="zh-CN" w:bidi="ar"/>
        </w:rPr>
        <w:t>。</w:t>
      </w:r>
    </w:p>
    <w:p>
      <w:pPr>
        <w:pStyle w:val="15"/>
        <w:numPr>
          <w:ilvl w:val="1"/>
          <w:numId w:val="1"/>
        </w:numPr>
        <w:ind w:left="119" w:hanging="119"/>
        <w:rPr>
          <w:rFonts w:hint="eastAsia" w:ascii="宋体" w:hAnsi="宋体"/>
          <w:sz w:val="18"/>
          <w:szCs w:val="18"/>
          <w:lang w:val="en-US" w:eastAsia="zh-CN"/>
        </w:rPr>
      </w:pPr>
      <w:r>
        <w:rPr>
          <w:rFonts w:hint="eastAsia" w:ascii="黑体" w:hAnsi="黑体" w:eastAsia="黑体"/>
          <w:sz w:val="18"/>
          <w:szCs w:val="18"/>
          <w:lang w:val="en-US" w:eastAsia="zh-CN"/>
        </w:rPr>
        <w:t>社会企业资本多元化</w:t>
      </w:r>
    </w:p>
    <w:p>
      <w:pPr>
        <w:pStyle w:val="3"/>
        <w:spacing w:after="0" w:line="400" w:lineRule="exact"/>
        <w:ind w:firstLine="357"/>
        <w:rPr>
          <w:rFonts w:hint="eastAsia" w:ascii="宋体" w:hAnsi="宋体" w:eastAsia="宋体"/>
          <w:sz w:val="18"/>
          <w:szCs w:val="18"/>
          <w:lang w:val="en-US" w:eastAsia="zh-CN"/>
        </w:rPr>
      </w:pPr>
      <w:r>
        <w:rPr>
          <w:rFonts w:hint="eastAsia" w:ascii="宋体" w:hAnsi="宋体"/>
          <w:sz w:val="18"/>
          <w:szCs w:val="18"/>
          <w:lang w:val="en-US" w:eastAsia="zh-CN"/>
        </w:rPr>
        <w:t>加快促进京津冀联动的多层次、多样化资本市场的发展积极构建京津冀区域统一的多层次、多样化资本市场，推动京津冀区域的互联网金融创新中心的建设，强化统一的金融风险监管制度。逐步完善和强化社会资本筹集机制。</w:t>
      </w:r>
    </w:p>
    <w:p>
      <w:pPr>
        <w:pStyle w:val="2"/>
        <w:numPr>
          <w:ilvl w:val="0"/>
          <w:numId w:val="1"/>
        </w:numPr>
        <w:rPr>
          <w:rFonts w:hint="default"/>
          <w:lang w:val="en-US"/>
        </w:rPr>
      </w:pPr>
      <w:r>
        <w:rPr>
          <w:rFonts w:hint="eastAsia" w:ascii="黑体" w:hAnsi="黑体" w:eastAsia="黑体"/>
          <w:szCs w:val="21"/>
          <w:lang w:val="en-US" w:eastAsia="zh-CN"/>
        </w:rPr>
        <w:t>结论</w:t>
      </w:r>
    </w:p>
    <w:p>
      <w:pPr>
        <w:keepNext w:val="0"/>
        <w:keepLines w:val="0"/>
        <w:widowControl/>
        <w:suppressLineNumbers w:val="0"/>
        <w:ind w:firstLine="360" w:firstLineChars="200"/>
        <w:jc w:val="left"/>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仅仅从IT行业的数据对整个京津冀地区的发展与一体化进程进行分析固然具有一定的局限性，但从中也暴露出了一些真实存在的问题，据此，得出未来的发展方略。即，</w:t>
      </w:r>
      <w:r>
        <w:rPr>
          <w:rFonts w:hint="default" w:ascii="宋体" w:hAnsi="宋体" w:eastAsia="宋体" w:cs="Times New Roman"/>
          <w:kern w:val="2"/>
          <w:sz w:val="18"/>
          <w:szCs w:val="18"/>
          <w:lang w:val="en-US" w:eastAsia="zh-CN" w:bidi="ar-SA"/>
        </w:rPr>
        <w:t>政府需要积极调整人才政策、城市需要自主内建焕发活力、企业需要因地制宜精准投资、IT行业从业者需要打破地域隔阂积极创新。</w:t>
      </w:r>
    </w:p>
    <w:p>
      <w:pPr>
        <w:pStyle w:val="3"/>
        <w:spacing w:after="0"/>
        <w:ind w:firstLine="990" w:firstLineChars="550"/>
        <w:rPr>
          <w:rFonts w:ascii="宋体" w:hAnsi="宋体"/>
          <w:sz w:val="18"/>
          <w:szCs w:val="18"/>
        </w:rPr>
      </w:pPr>
    </w:p>
    <w:p>
      <w:pPr>
        <w:pStyle w:val="3"/>
        <w:rPr>
          <w:rFonts w:ascii="宋体" w:hAnsi="宋体"/>
          <w:color w:val="FF0000"/>
          <w:sz w:val="18"/>
          <w:szCs w:val="18"/>
        </w:rPr>
      </w:pPr>
    </w:p>
    <w:p>
      <w:pPr>
        <w:pStyle w:val="13"/>
        <w:ind w:left="0" w:firstLine="0" w:firstLineChars="0"/>
        <w:rPr>
          <w:sz w:val="18"/>
          <w:szCs w:val="18"/>
        </w:rPr>
      </w:pPr>
    </w:p>
    <w:p>
      <w:pPr>
        <w:pStyle w:val="13"/>
        <w:spacing w:line="240" w:lineRule="auto"/>
        <w:ind w:left="0" w:firstLine="0" w:firstLineChars="0"/>
        <w:rPr>
          <w:color w:val="FF0000"/>
          <w:sz w:val="18"/>
          <w:szCs w:val="18"/>
        </w:rPr>
      </w:pPr>
    </w:p>
    <w:p>
      <w:pPr>
        <w:pStyle w:val="13"/>
        <w:spacing w:line="240" w:lineRule="auto"/>
        <w:ind w:left="0" w:firstLine="0" w:firstLineChars="0"/>
        <w:rPr>
          <w:b/>
          <w:color w:val="FF0000"/>
          <w:sz w:val="18"/>
          <w:szCs w:val="18"/>
        </w:rPr>
      </w:pPr>
    </w:p>
    <w:p>
      <w:pPr>
        <w:pStyle w:val="13"/>
        <w:ind w:left="333" w:leftChars="34" w:firstLineChars="0"/>
        <w:jc w:val="left"/>
        <w:rPr>
          <w:rFonts w:hAnsi="宋体"/>
          <w:b/>
          <w:sz w:val="18"/>
          <w:szCs w:val="18"/>
        </w:rPr>
      </w:pPr>
      <w:r>
        <w:rPr>
          <w:rFonts w:hint="eastAsia" w:hAnsi="宋体"/>
          <w:b/>
          <w:sz w:val="18"/>
          <w:szCs w:val="18"/>
        </w:rPr>
        <w:t>参考文献</w:t>
      </w:r>
    </w:p>
    <w:p>
      <w:pPr>
        <w:pStyle w:val="13"/>
        <w:ind w:left="333" w:leftChars="34" w:firstLineChars="0"/>
        <w:jc w:val="left"/>
        <w:rPr>
          <w:rFonts w:hint="eastAsia" w:hAnsi="宋体"/>
          <w:b/>
          <w:sz w:val="18"/>
          <w:szCs w:val="18"/>
        </w:rPr>
      </w:pPr>
    </w:p>
    <w:p>
      <w:pPr>
        <w:pStyle w:val="13"/>
        <w:numPr>
          <w:ilvl w:val="0"/>
          <w:numId w:val="2"/>
        </w:numPr>
        <w:tabs>
          <w:tab w:val="clear" w:pos="312"/>
        </w:tabs>
        <w:jc w:val="left"/>
        <w:rPr>
          <w:rFonts w:hint="eastAsia" w:ascii="宋体" w:hAnsi="宋体" w:eastAsia="宋体" w:cs="Times New Roman"/>
          <w:sz w:val="18"/>
          <w:szCs w:val="18"/>
          <w:lang w:val="en-US" w:eastAsia="zh-CN" w:bidi="ar-SA"/>
        </w:rPr>
      </w:pPr>
      <w:r>
        <w:rPr>
          <w:rFonts w:hint="eastAsia" w:ascii="宋体" w:hAnsi="宋体" w:eastAsia="宋体"/>
          <w:sz w:val="18"/>
          <w:szCs w:val="18"/>
        </w:rPr>
        <w:t>王小玲,申珂瑜. 京津冀人才一体化背景下河北省科技人才队伍建设路径[J]. 人才资源开发,2021,(05):15-17.</w:t>
      </w:r>
    </w:p>
    <w:p>
      <w:pPr>
        <w:pStyle w:val="13"/>
        <w:numPr>
          <w:ilvl w:val="0"/>
          <w:numId w:val="2"/>
        </w:numPr>
        <w:tabs>
          <w:tab w:val="clear" w:pos="312"/>
        </w:tabs>
        <w:jc w:val="left"/>
        <w:rPr>
          <w:rFonts w:hint="eastAsia" w:ascii="宋体" w:hAnsi="宋体" w:eastAsia="宋体" w:cs="Times New Roman"/>
          <w:sz w:val="18"/>
          <w:szCs w:val="18"/>
          <w:lang w:val="en-US" w:eastAsia="zh-CN" w:bidi="ar-SA"/>
        </w:rPr>
      </w:pPr>
      <w:r>
        <w:rPr>
          <w:rFonts w:hint="eastAsia" w:ascii="宋体" w:hAnsi="宋体" w:eastAsia="宋体" w:cs="Times New Roman"/>
          <w:sz w:val="18"/>
          <w:szCs w:val="18"/>
          <w:lang w:val="en-US" w:eastAsia="zh-CN" w:bidi="ar-SA"/>
        </w:rPr>
        <w:t>王臻.数字经济发展与京津冀一体化协同[J].北京观察,2021(01):18-19.</w:t>
      </w:r>
    </w:p>
    <w:p>
      <w:pPr>
        <w:rPr>
          <w:rFonts w:ascii="宋体" w:hAnsi="宋体" w:eastAsia="宋体"/>
          <w:b/>
          <w:color w:val="FF0000"/>
          <w:sz w:val="21"/>
          <w:szCs w:val="21"/>
        </w:rPr>
      </w:pPr>
    </w:p>
    <w:sectPr>
      <w:headerReference r:id="rId6" w:type="even"/>
      <w:type w:val="continuous"/>
      <w:pgSz w:w="11906" w:h="16838"/>
      <w:pgMar w:top="1440" w:right="1800" w:bottom="1440" w:left="1800" w:header="708" w:footer="708" w:gutter="0"/>
      <w:cols w:space="708"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宋三简体">
    <w:altName w:val="宋体"/>
    <w:panose1 w:val="00000000000000000000"/>
    <w:charset w:val="00"/>
    <w:family w:val="auto"/>
    <w:pitch w:val="default"/>
    <w:sig w:usb0="00000000" w:usb1="00000000" w:usb2="00000000" w:usb3="00000000" w:csb0="00000000" w:csb1="00000000"/>
  </w:font>
  <w:font w:name="汉仪大宋简">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rPr>
        <w:rFonts w:ascii="宋体" w:hAnsi="宋体" w:eastAsia="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0"/>
      <w:jc w:val="left"/>
      <w:rPr>
        <w:rFonts w:ascii="宋体" w:hAnsi="宋体" w:eastAsia="宋体"/>
        <w:sz w:val="15"/>
        <w:szCs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spacing w:after="0"/>
      <w:jc w:val="left"/>
      <w:rPr>
        <w:rFonts w:ascii="Times New Roman" w:hAnsi="Times New Roman" w:eastAsia="仿宋"/>
      </w:rPr>
    </w:pPr>
    <w:r>
      <w:rPr>
        <w:rFonts w:hint="eastAsia" w:ascii="Times New Roman" w:hAnsi="Times New Roman" w:eastAsia="仿宋"/>
        <w:sz w:val="15"/>
        <w:szCs w:val="15"/>
      </w:rPr>
      <w:t xml:space="preserve"> </w:t>
    </w:r>
    <w:r>
      <w:rPr>
        <w:rFonts w:hint="eastAsia" w:ascii="Times New Roman" w:hAnsi="Times New Roman" w:eastAsia="仿宋"/>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宋体" w:hAnsi="宋体" w:eastAsia="宋体"/>
        <w:sz w:val="15"/>
        <w:szCs w:val="1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468C7"/>
    <w:multiLevelType w:val="singleLevel"/>
    <w:tmpl w:val="4A7468C7"/>
    <w:lvl w:ilvl="0" w:tentative="0">
      <w:start w:val="1"/>
      <w:numFmt w:val="decimal"/>
      <w:lvlText w:val="[%1]"/>
      <w:lvlJc w:val="left"/>
      <w:pPr>
        <w:tabs>
          <w:tab w:val="left" w:pos="312"/>
        </w:tabs>
      </w:pPr>
    </w:lvl>
  </w:abstractNum>
  <w:abstractNum w:abstractNumId="1">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evenAndOddHeaders w:val="1"/>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631A"/>
    <w:rsid w:val="00262119"/>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51CF0"/>
    <w:rsid w:val="009569A3"/>
    <w:rsid w:val="009655B0"/>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F34918"/>
    <w:rsid w:val="00F60B7E"/>
    <w:rsid w:val="00F746D8"/>
    <w:rsid w:val="00F81581"/>
    <w:rsid w:val="00F837DC"/>
    <w:rsid w:val="00F9124B"/>
    <w:rsid w:val="00FE4CAF"/>
    <w:rsid w:val="025224ED"/>
    <w:rsid w:val="095F1821"/>
    <w:rsid w:val="0B8160C8"/>
    <w:rsid w:val="0EA145CA"/>
    <w:rsid w:val="1030698E"/>
    <w:rsid w:val="12654D6A"/>
    <w:rsid w:val="15F264FE"/>
    <w:rsid w:val="20236BE3"/>
    <w:rsid w:val="23CB6674"/>
    <w:rsid w:val="24903351"/>
    <w:rsid w:val="25F058C3"/>
    <w:rsid w:val="265B5D97"/>
    <w:rsid w:val="27D5172C"/>
    <w:rsid w:val="29D17896"/>
    <w:rsid w:val="33621B91"/>
    <w:rsid w:val="38B75B73"/>
    <w:rsid w:val="3BFC2917"/>
    <w:rsid w:val="3C92720B"/>
    <w:rsid w:val="3EB658A1"/>
    <w:rsid w:val="444C3414"/>
    <w:rsid w:val="4565251D"/>
    <w:rsid w:val="48EE6C70"/>
    <w:rsid w:val="4B27224E"/>
    <w:rsid w:val="4CA14097"/>
    <w:rsid w:val="533B3115"/>
    <w:rsid w:val="58BE0748"/>
    <w:rsid w:val="66B5651B"/>
    <w:rsid w:val="6DBB7DE5"/>
    <w:rsid w:val="77B462C0"/>
    <w:rsid w:val="7AE97DF9"/>
    <w:rsid w:val="7AF51E9F"/>
    <w:rsid w:val="7B5A0B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sz w:val="22"/>
      <w:szCs w:val="22"/>
      <w:lang w:val="en-US" w:eastAsia="zh-CN" w:bidi="ar-SA"/>
    </w:rPr>
  </w:style>
  <w:style w:type="character" w:default="1" w:styleId="9">
    <w:name w:val="Default Paragraph Font"/>
    <w:unhideWhenUsed/>
    <w:uiPriority w:val="1"/>
  </w:style>
  <w:style w:type="table" w:default="1" w:styleId="8">
    <w:name w:val="Normal Table"/>
    <w:unhideWhenUsed/>
    <w:qFormat/>
    <w:uiPriority w:val="99"/>
    <w:tblPr>
      <w:tblStyle w:val="8"/>
      <w:tblCellMar>
        <w:top w:w="0" w:type="dxa"/>
        <w:left w:w="108" w:type="dxa"/>
        <w:bottom w:w="0" w:type="dxa"/>
        <w:right w:w="108" w:type="dxa"/>
      </w:tblCellMar>
    </w:tblPr>
  </w:style>
  <w:style w:type="paragraph" w:styleId="2">
    <w:name w:val="annotation text"/>
    <w:basedOn w:val="1"/>
    <w:link w:val="21"/>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link w:val="19"/>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4">
    <w:name w:val="Balloon Text"/>
    <w:basedOn w:val="1"/>
    <w:link w:val="18"/>
    <w:unhideWhenUsed/>
    <w:qFormat/>
    <w:uiPriority w:val="99"/>
    <w:pPr>
      <w:spacing w:after="0"/>
    </w:pPr>
    <w:rPr>
      <w:sz w:val="18"/>
      <w:szCs w:val="18"/>
    </w:rPr>
  </w:style>
  <w:style w:type="paragraph" w:styleId="5">
    <w:name w:val="footer"/>
    <w:basedOn w:val="1"/>
    <w:link w:val="22"/>
    <w:unhideWhenUsed/>
    <w:qFormat/>
    <w:uiPriority w:val="99"/>
    <w:pPr>
      <w:tabs>
        <w:tab w:val="center" w:pos="4153"/>
        <w:tab w:val="right" w:pos="8306"/>
      </w:tabs>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jc w:val="center"/>
    </w:pPr>
    <w:rPr>
      <w:sz w:val="18"/>
      <w:szCs w:val="18"/>
    </w:rPr>
  </w:style>
  <w:style w:type="paragraph" w:styleId="7">
    <w:name w:val="annotation subject"/>
    <w:basedOn w:val="2"/>
    <w:next w:val="2"/>
    <w:link w:val="20"/>
    <w:unhideWhenUsed/>
    <w:uiPriority w:val="99"/>
    <w:pPr>
      <w:widowControl/>
      <w:adjustRightInd w:val="0"/>
      <w:snapToGrid w:val="0"/>
      <w:spacing w:after="200"/>
    </w:pPr>
    <w:rPr>
      <w:rFonts w:ascii="Tahoma" w:hAnsi="Tahoma" w:eastAsia="微软雅黑" w:cs="Times New Roman"/>
      <w:b/>
      <w:bCs/>
      <w:kern w:val="0"/>
      <w:sz w:val="22"/>
      <w:szCs w:val="22"/>
    </w:rPr>
  </w:style>
  <w:style w:type="character" w:styleId="10">
    <w:name w:val="Hyperlink"/>
    <w:basedOn w:val="9"/>
    <w:unhideWhenUsed/>
    <w:qFormat/>
    <w:uiPriority w:val="99"/>
    <w:rPr>
      <w:color w:val="0000FF"/>
      <w:u w:val="single"/>
    </w:rPr>
  </w:style>
  <w:style w:type="character" w:styleId="11">
    <w:name w:val="annotation reference"/>
    <w:basedOn w:val="9"/>
    <w:semiHidden/>
    <w:qFormat/>
    <w:uiPriority w:val="0"/>
    <w:rPr>
      <w:sz w:val="21"/>
      <w:szCs w:val="21"/>
    </w:rPr>
  </w:style>
  <w:style w:type="paragraph" w:customStyle="1" w:styleId="12">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13">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 w:type="paragraph" w:styleId="14">
    <w:name w:val="List Paragraph"/>
    <w:basedOn w:val="1"/>
    <w:unhideWhenUsed/>
    <w:qFormat/>
    <w:uiPriority w:val="34"/>
    <w:pPr>
      <w:ind w:firstLine="420" w:firstLineChars="200"/>
    </w:pPr>
  </w:style>
  <w:style w:type="paragraph" w:customStyle="1" w:styleId="15">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16">
    <w:name w:val="列出段落2"/>
    <w:basedOn w:val="1"/>
    <w:qFormat/>
    <w:uiPriority w:val="34"/>
    <w:pPr>
      <w:ind w:firstLine="420" w:firstLineChars="200"/>
    </w:pPr>
  </w:style>
  <w:style w:type="character" w:styleId="17">
    <w:name w:val=""/>
    <w:basedOn w:val="9"/>
    <w:qFormat/>
    <w:uiPriority w:val="21"/>
    <w:rPr>
      <w:b/>
      <w:bCs/>
      <w:i/>
      <w:iCs/>
      <w:color w:val="4F81BD"/>
    </w:rPr>
  </w:style>
  <w:style w:type="character" w:customStyle="1" w:styleId="18">
    <w:name w:val="批注框文本 Char"/>
    <w:basedOn w:val="9"/>
    <w:link w:val="4"/>
    <w:semiHidden/>
    <w:qFormat/>
    <w:uiPriority w:val="99"/>
    <w:rPr>
      <w:rFonts w:ascii="Tahoma" w:hAnsi="Tahoma"/>
      <w:sz w:val="18"/>
      <w:szCs w:val="18"/>
    </w:rPr>
  </w:style>
  <w:style w:type="character" w:customStyle="1" w:styleId="19">
    <w:name w:val="正文文本 Char"/>
    <w:basedOn w:val="9"/>
    <w:link w:val="3"/>
    <w:uiPriority w:val="0"/>
    <w:rPr>
      <w:rFonts w:ascii="Times New Roman" w:hAnsi="Times New Roman" w:eastAsia="宋体" w:cs="Times New Roman"/>
      <w:kern w:val="2"/>
      <w:sz w:val="21"/>
      <w:szCs w:val="24"/>
    </w:rPr>
  </w:style>
  <w:style w:type="character" w:customStyle="1" w:styleId="20">
    <w:name w:val="批注主题 Char"/>
    <w:basedOn w:val="21"/>
    <w:link w:val="7"/>
    <w:semiHidden/>
    <w:qFormat/>
    <w:uiPriority w:val="99"/>
    <w:rPr>
      <w:rFonts w:ascii="Tahoma" w:hAnsi="Tahoma" w:eastAsia="微软雅黑" w:cs="Times New Roman"/>
      <w:b/>
      <w:bCs/>
      <w:sz w:val="22"/>
      <w:szCs w:val="22"/>
    </w:rPr>
  </w:style>
  <w:style w:type="character" w:customStyle="1" w:styleId="21">
    <w:name w:val="批注文字 Char"/>
    <w:basedOn w:val="9"/>
    <w:link w:val="2"/>
    <w:semiHidden/>
    <w:uiPriority w:val="0"/>
    <w:rPr>
      <w:rFonts w:ascii="Times New Roman" w:hAnsi="Times New Roman" w:eastAsia="宋体" w:cs="Times New Roman"/>
      <w:kern w:val="2"/>
      <w:sz w:val="21"/>
      <w:szCs w:val="24"/>
    </w:rPr>
  </w:style>
  <w:style w:type="character" w:customStyle="1" w:styleId="22">
    <w:name w:val="页脚 Char"/>
    <w:basedOn w:val="9"/>
    <w:link w:val="5"/>
    <w:qFormat/>
    <w:uiPriority w:val="99"/>
    <w:rPr>
      <w:rFonts w:ascii="Tahoma" w:hAnsi="Tahoma"/>
      <w:sz w:val="18"/>
      <w:szCs w:val="18"/>
    </w:rPr>
  </w:style>
  <w:style w:type="character" w:customStyle="1" w:styleId="23">
    <w:name w:val="页眉 Char"/>
    <w:basedOn w:val="9"/>
    <w:link w:val="6"/>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592</Words>
  <Characters>3380</Characters>
  <Lines>28</Lines>
  <Paragraphs>7</Paragraphs>
  <TotalTime>3</TotalTime>
  <ScaleCrop>false</ScaleCrop>
  <LinksUpToDate>false</LinksUpToDate>
  <CharactersWithSpaces>3965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2019-08-08T01:39:00Z</dcterms:created>
  <dc:creator>Administrator</dc:creator>
  <cp:lastModifiedBy>此系</cp:lastModifiedBy>
  <cp:lastPrinted>2019-07-11T06:22:00Z</cp:lastPrinted>
  <dcterms:modified xsi:type="dcterms:W3CDTF">2021-04-08T12:10:48Z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