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C0F10" w14:textId="0884AD12" w:rsidR="0061237E" w:rsidRPr="001A64FB" w:rsidRDefault="00AC71A8" w:rsidP="00471427">
      <w:pPr>
        <w:rPr>
          <w:rFonts w:ascii="黑体" w:eastAsia="黑体" w:hAnsi="黑体"/>
          <w:sz w:val="32"/>
          <w:szCs w:val="32"/>
        </w:rPr>
      </w:pPr>
      <w:r w:rsidRPr="001A64FB">
        <w:rPr>
          <w:rFonts w:ascii="黑体" w:eastAsia="黑体" w:hAnsi="黑体" w:hint="eastAsia"/>
          <w:sz w:val="32"/>
          <w:szCs w:val="32"/>
        </w:rPr>
        <w:t>京津冀一体化对</w:t>
      </w:r>
      <w:r w:rsidR="00843CE5" w:rsidRPr="001A64FB">
        <w:rPr>
          <w:rFonts w:ascii="黑体" w:eastAsia="黑体" w:hAnsi="黑体" w:hint="eastAsia"/>
          <w:sz w:val="32"/>
          <w:szCs w:val="32"/>
        </w:rPr>
        <w:t>I</w:t>
      </w:r>
      <w:r w:rsidR="00843CE5" w:rsidRPr="001A64FB">
        <w:rPr>
          <w:rFonts w:ascii="黑体" w:eastAsia="黑体" w:hAnsi="黑体"/>
          <w:sz w:val="32"/>
          <w:szCs w:val="32"/>
        </w:rPr>
        <w:t>T</w:t>
      </w:r>
      <w:r w:rsidR="00843CE5" w:rsidRPr="001A64FB">
        <w:rPr>
          <w:rFonts w:ascii="黑体" w:eastAsia="黑体" w:hAnsi="黑体" w:hint="eastAsia"/>
          <w:sz w:val="32"/>
          <w:szCs w:val="32"/>
        </w:rPr>
        <w:t>行业薪酬变化</w:t>
      </w:r>
      <w:r w:rsidRPr="001A64FB">
        <w:rPr>
          <w:rFonts w:ascii="黑体" w:eastAsia="黑体" w:hAnsi="黑体" w:hint="eastAsia"/>
          <w:sz w:val="32"/>
          <w:szCs w:val="32"/>
        </w:rPr>
        <w:t>的</w:t>
      </w:r>
      <w:r w:rsidR="004C512A" w:rsidRPr="001A64FB">
        <w:rPr>
          <w:rFonts w:ascii="黑体" w:eastAsia="黑体" w:hAnsi="黑体" w:hint="eastAsia"/>
          <w:sz w:val="32"/>
          <w:szCs w:val="32"/>
        </w:rPr>
        <w:t>影响</w:t>
      </w:r>
    </w:p>
    <w:p w14:paraId="730B98AD" w14:textId="77777777" w:rsidR="00E22B17" w:rsidRDefault="00E22B17" w:rsidP="00471427">
      <w:pPr>
        <w:rPr>
          <w:rFonts w:ascii="黑体" w:eastAsia="黑体" w:hAnsi="黑体"/>
          <w:sz w:val="32"/>
          <w:szCs w:val="36"/>
        </w:rPr>
      </w:pPr>
    </w:p>
    <w:p w14:paraId="2DC013AC" w14:textId="0D63F4B5" w:rsidR="0057597B" w:rsidRPr="002523A4" w:rsidRDefault="0057597B" w:rsidP="00471427">
      <w:pPr>
        <w:rPr>
          <w:rFonts w:asciiTheme="majorEastAsia" w:eastAsiaTheme="majorEastAsia" w:hAnsiTheme="majorEastAsia"/>
          <w:b/>
          <w:bCs/>
          <w:szCs w:val="21"/>
          <w:vertAlign w:val="superscript"/>
        </w:rPr>
      </w:pPr>
      <w:r w:rsidRPr="002523A4">
        <w:rPr>
          <w:rFonts w:asciiTheme="majorEastAsia" w:eastAsiaTheme="majorEastAsia" w:hAnsiTheme="majorEastAsia" w:hint="eastAsia"/>
          <w:b/>
          <w:bCs/>
          <w:szCs w:val="21"/>
        </w:rPr>
        <w:t>高越</w:t>
      </w:r>
      <w:r w:rsidRPr="002523A4">
        <w:rPr>
          <w:rFonts w:asciiTheme="majorEastAsia" w:eastAsiaTheme="majorEastAsia" w:hAnsiTheme="majorEastAsia" w:hint="eastAsia"/>
          <w:b/>
          <w:bCs/>
          <w:szCs w:val="21"/>
          <w:vertAlign w:val="superscript"/>
        </w:rPr>
        <w:t>1</w:t>
      </w:r>
    </w:p>
    <w:p w14:paraId="0B32B8EB" w14:textId="57033E87" w:rsidR="00AC71A8" w:rsidRDefault="00195DB0" w:rsidP="00471427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1</w:t>
      </w:r>
      <w:r w:rsidR="002523A4" w:rsidRPr="002523A4">
        <w:rPr>
          <w:rFonts w:ascii="仿宋" w:eastAsia="仿宋" w:hAnsi="仿宋" w:hint="eastAsia"/>
          <w:sz w:val="18"/>
          <w:szCs w:val="18"/>
        </w:rPr>
        <w:t xml:space="preserve">大连理工大学 辽宁省 大连市 </w:t>
      </w:r>
      <w:r w:rsidR="002523A4" w:rsidRPr="002523A4">
        <w:rPr>
          <w:rFonts w:ascii="仿宋" w:eastAsia="仿宋" w:hAnsi="仿宋"/>
          <w:sz w:val="18"/>
          <w:szCs w:val="18"/>
        </w:rPr>
        <w:t>116000</w:t>
      </w:r>
    </w:p>
    <w:p w14:paraId="065AC773" w14:textId="77777777" w:rsidR="00E22B17" w:rsidRPr="002523A4" w:rsidRDefault="00E22B17" w:rsidP="00471427">
      <w:pPr>
        <w:rPr>
          <w:rFonts w:ascii="仿宋" w:eastAsia="仿宋" w:hAnsi="仿宋"/>
          <w:sz w:val="18"/>
          <w:szCs w:val="18"/>
        </w:rPr>
      </w:pPr>
    </w:p>
    <w:p w14:paraId="44729B7E" w14:textId="1903D433" w:rsidR="002523A4" w:rsidRDefault="002523A4" w:rsidP="00471427">
      <w:pPr>
        <w:rPr>
          <w:rFonts w:ascii="仿宋" w:eastAsia="仿宋" w:hAnsi="仿宋"/>
          <w:sz w:val="18"/>
          <w:szCs w:val="18"/>
        </w:rPr>
      </w:pPr>
      <w:r w:rsidRPr="00E22B17">
        <w:rPr>
          <w:rFonts w:ascii="仿宋" w:eastAsia="仿宋" w:hAnsi="仿宋" w:hint="eastAsia"/>
          <w:b/>
          <w:bCs/>
          <w:sz w:val="18"/>
          <w:szCs w:val="18"/>
        </w:rPr>
        <w:t>摘 要</w:t>
      </w:r>
      <w:r w:rsidRPr="00E22B17">
        <w:rPr>
          <w:rFonts w:ascii="仿宋" w:eastAsia="仿宋" w:hAnsi="仿宋" w:hint="eastAsia"/>
          <w:sz w:val="18"/>
          <w:szCs w:val="18"/>
        </w:rPr>
        <w:t xml:space="preserve"> </w:t>
      </w:r>
      <w:r w:rsidRPr="00E22B17">
        <w:rPr>
          <w:rFonts w:ascii="仿宋" w:eastAsia="仿宋" w:hAnsi="仿宋"/>
          <w:sz w:val="18"/>
          <w:szCs w:val="18"/>
        </w:rPr>
        <w:t>2014</w:t>
      </w:r>
      <w:r w:rsidRPr="00E22B17">
        <w:rPr>
          <w:rFonts w:ascii="仿宋" w:eastAsia="仿宋" w:hAnsi="仿宋" w:hint="eastAsia"/>
          <w:sz w:val="18"/>
          <w:szCs w:val="18"/>
        </w:rPr>
        <w:t>年3月5日，国务院总理李克强在政府工作报告中提出京津冀一体化方案，</w:t>
      </w:r>
      <w:r w:rsidR="008C24FA" w:rsidRPr="00E22B17">
        <w:rPr>
          <w:rFonts w:ascii="仿宋" w:eastAsia="仿宋" w:hAnsi="仿宋" w:hint="eastAsia"/>
          <w:sz w:val="18"/>
          <w:szCs w:val="18"/>
        </w:rPr>
        <w:t>习近平总书记将实现京津冀协同发展上升到国家战略层面。京津冀一体化实施后，三地区整体经济发展状况稳步提升。本文主要结合国</w:t>
      </w:r>
      <w:proofErr w:type="gramStart"/>
      <w:r w:rsidR="008C24FA" w:rsidRPr="00E22B17">
        <w:rPr>
          <w:rFonts w:ascii="仿宋" w:eastAsia="仿宋" w:hAnsi="仿宋" w:hint="eastAsia"/>
          <w:sz w:val="18"/>
          <w:szCs w:val="18"/>
        </w:rPr>
        <w:t>研</w:t>
      </w:r>
      <w:proofErr w:type="gramEnd"/>
      <w:r w:rsidR="008C24FA" w:rsidRPr="00E22B17">
        <w:rPr>
          <w:rFonts w:ascii="仿宋" w:eastAsia="仿宋" w:hAnsi="仿宋" w:hint="eastAsia"/>
          <w:sz w:val="18"/>
          <w:szCs w:val="18"/>
        </w:rPr>
        <w:t>网的统计数据，对I</w:t>
      </w:r>
      <w:r w:rsidR="008C24FA" w:rsidRPr="00E22B17">
        <w:rPr>
          <w:rFonts w:ascii="仿宋" w:eastAsia="仿宋" w:hAnsi="仿宋"/>
          <w:sz w:val="18"/>
          <w:szCs w:val="18"/>
        </w:rPr>
        <w:t>T</w:t>
      </w:r>
      <w:r w:rsidR="008C24FA" w:rsidRPr="00E22B17">
        <w:rPr>
          <w:rFonts w:ascii="仿宋" w:eastAsia="仿宋" w:hAnsi="仿宋" w:hint="eastAsia"/>
          <w:sz w:val="18"/>
          <w:szCs w:val="18"/>
        </w:rPr>
        <w:t>行业薪酬数据进行分析，对比京津冀三个地区I</w:t>
      </w:r>
      <w:r w:rsidR="008C24FA" w:rsidRPr="00E22B17">
        <w:rPr>
          <w:rFonts w:ascii="仿宋" w:eastAsia="仿宋" w:hAnsi="仿宋"/>
          <w:sz w:val="18"/>
          <w:szCs w:val="18"/>
        </w:rPr>
        <w:t>T</w:t>
      </w:r>
      <w:r w:rsidR="008C24FA" w:rsidRPr="00E22B17">
        <w:rPr>
          <w:rFonts w:ascii="仿宋" w:eastAsia="仿宋" w:hAnsi="仿宋" w:hint="eastAsia"/>
          <w:sz w:val="18"/>
          <w:szCs w:val="18"/>
        </w:rPr>
        <w:t>行业薪资增长量和增长率，从而得出北京、天津、河北近年来的经济和I</w:t>
      </w:r>
      <w:r w:rsidR="008C24FA" w:rsidRPr="00E22B17">
        <w:rPr>
          <w:rFonts w:ascii="仿宋" w:eastAsia="仿宋" w:hAnsi="仿宋"/>
          <w:sz w:val="18"/>
          <w:szCs w:val="18"/>
        </w:rPr>
        <w:t>T</w:t>
      </w:r>
      <w:r w:rsidR="008C24FA" w:rsidRPr="00E22B17">
        <w:rPr>
          <w:rFonts w:ascii="仿宋" w:eastAsia="仿宋" w:hAnsi="仿宋" w:hint="eastAsia"/>
          <w:sz w:val="18"/>
          <w:szCs w:val="18"/>
        </w:rPr>
        <w:t>行业薪资均稳步增长，但是河北地区整体薪资仍然较低的结论。</w:t>
      </w:r>
    </w:p>
    <w:p w14:paraId="42F06538" w14:textId="36E97859" w:rsidR="00E22B17" w:rsidRDefault="00E22B17" w:rsidP="002B0F47">
      <w:pPr>
        <w:spacing w:before="240"/>
        <w:rPr>
          <w:rFonts w:ascii="仿宋" w:eastAsia="仿宋" w:hAnsi="仿宋"/>
          <w:b/>
          <w:bCs/>
          <w:sz w:val="18"/>
          <w:szCs w:val="18"/>
        </w:rPr>
      </w:pPr>
      <w:r w:rsidRPr="00E22B17">
        <w:rPr>
          <w:rFonts w:ascii="仿宋" w:eastAsia="仿宋" w:hAnsi="仿宋" w:hint="eastAsia"/>
          <w:b/>
          <w:bCs/>
          <w:sz w:val="18"/>
          <w:szCs w:val="18"/>
        </w:rPr>
        <w:t>关键词</w:t>
      </w:r>
      <w:r>
        <w:rPr>
          <w:rFonts w:ascii="仿宋" w:eastAsia="仿宋" w:hAnsi="仿宋" w:hint="eastAsia"/>
          <w:b/>
          <w:bCs/>
          <w:sz w:val="18"/>
          <w:szCs w:val="18"/>
        </w:rPr>
        <w:t>：</w:t>
      </w:r>
      <w:r w:rsidRPr="00195DB0">
        <w:rPr>
          <w:rFonts w:ascii="仿宋" w:eastAsia="仿宋" w:hAnsi="仿宋" w:hint="eastAsia"/>
          <w:sz w:val="18"/>
          <w:szCs w:val="18"/>
        </w:rPr>
        <w:t>京津冀</w:t>
      </w:r>
      <w:r w:rsidR="00CE7220" w:rsidRPr="00195DB0">
        <w:rPr>
          <w:rFonts w:ascii="仿宋" w:eastAsia="仿宋" w:hAnsi="仿宋" w:hint="eastAsia"/>
          <w:sz w:val="18"/>
          <w:szCs w:val="18"/>
        </w:rPr>
        <w:t>一体化</w:t>
      </w:r>
      <w:r w:rsidRPr="00195DB0">
        <w:rPr>
          <w:rFonts w:ascii="仿宋" w:eastAsia="仿宋" w:hAnsi="仿宋" w:hint="eastAsia"/>
          <w:sz w:val="18"/>
          <w:szCs w:val="18"/>
        </w:rPr>
        <w:t>；协同发展；劳动者报酬；I</w:t>
      </w:r>
      <w:r w:rsidRPr="00195DB0">
        <w:rPr>
          <w:rFonts w:ascii="仿宋" w:eastAsia="仿宋" w:hAnsi="仿宋"/>
          <w:sz w:val="18"/>
          <w:szCs w:val="18"/>
        </w:rPr>
        <w:t>T</w:t>
      </w:r>
      <w:r w:rsidRPr="00195DB0">
        <w:rPr>
          <w:rFonts w:ascii="仿宋" w:eastAsia="仿宋" w:hAnsi="仿宋" w:hint="eastAsia"/>
          <w:sz w:val="18"/>
          <w:szCs w:val="18"/>
        </w:rPr>
        <w:t>行业；稳步增长</w:t>
      </w:r>
    </w:p>
    <w:p w14:paraId="082AC71C" w14:textId="77777777" w:rsidR="00AF2E97" w:rsidRDefault="00AF2E97" w:rsidP="002353E1">
      <w:pPr>
        <w:rPr>
          <w:rFonts w:ascii="黑体" w:eastAsia="黑体" w:hAnsi="黑体"/>
          <w:szCs w:val="21"/>
        </w:rPr>
        <w:sectPr w:rsidR="00AF2E97" w:rsidSect="00471427">
          <w:headerReference w:type="even" r:id="rId7"/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4FFA485" w14:textId="663E896B" w:rsidR="002353E1" w:rsidRDefault="002353E1" w:rsidP="002353E1">
      <w:pPr>
        <w:rPr>
          <w:rFonts w:ascii="黑体" w:eastAsia="黑体" w:hAnsi="黑体"/>
          <w:szCs w:val="21"/>
        </w:rPr>
      </w:pPr>
    </w:p>
    <w:p w14:paraId="4FA3B1C1" w14:textId="3AB60C38" w:rsidR="002353E1" w:rsidRDefault="002353E1" w:rsidP="002353E1">
      <w:pPr>
        <w:rPr>
          <w:rFonts w:ascii="黑体" w:eastAsia="黑体" w:hAnsi="黑体"/>
          <w:szCs w:val="21"/>
        </w:rPr>
        <w:sectPr w:rsidR="002353E1" w:rsidSect="00A8350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89A4937" w14:textId="7590D0B5" w:rsidR="00E22B17" w:rsidRDefault="00E22B17" w:rsidP="002B0F47">
      <w:pPr>
        <w:spacing w:line="360" w:lineRule="auto"/>
        <w:rPr>
          <w:rFonts w:ascii="黑体" w:eastAsia="黑体" w:hAnsi="黑体"/>
          <w:szCs w:val="21"/>
        </w:rPr>
      </w:pPr>
      <w:r w:rsidRPr="00E22B17">
        <w:rPr>
          <w:rFonts w:ascii="黑体" w:eastAsia="黑体" w:hAnsi="黑体" w:hint="eastAsia"/>
          <w:szCs w:val="21"/>
        </w:rPr>
        <w:t>1 引言</w:t>
      </w:r>
    </w:p>
    <w:p w14:paraId="065A6A3D" w14:textId="69283277" w:rsidR="00E22B17" w:rsidRDefault="00E22B17" w:rsidP="00195DB0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22B17">
        <w:rPr>
          <w:rFonts w:ascii="宋体" w:eastAsia="宋体" w:hAnsi="宋体" w:hint="eastAsia"/>
          <w:sz w:val="18"/>
          <w:szCs w:val="18"/>
        </w:rPr>
        <w:t>京津冀</w:t>
      </w:r>
      <w:r w:rsidR="004C512A">
        <w:rPr>
          <w:rFonts w:ascii="宋体" w:eastAsia="宋体" w:hAnsi="宋体" w:hint="eastAsia"/>
          <w:sz w:val="18"/>
          <w:szCs w:val="18"/>
        </w:rPr>
        <w:t>两市一省是环渤海经济圈最具影响力也最为活跃的地区。目前，京津冀一体化发展已经上升为国家发展战略</w:t>
      </w:r>
      <w:r w:rsidR="00A8350E">
        <w:rPr>
          <w:rFonts w:ascii="宋体" w:eastAsia="宋体" w:hAnsi="宋体" w:hint="eastAsia"/>
          <w:sz w:val="18"/>
          <w:szCs w:val="18"/>
        </w:rPr>
        <w:t>[</w:t>
      </w:r>
      <w:r w:rsidR="00A8350E">
        <w:rPr>
          <w:rFonts w:ascii="宋体" w:eastAsia="宋体" w:hAnsi="宋体"/>
          <w:sz w:val="18"/>
          <w:szCs w:val="18"/>
        </w:rPr>
        <w:t>1]</w:t>
      </w:r>
      <w:r w:rsidR="002B7773">
        <w:rPr>
          <w:rFonts w:ascii="宋体" w:eastAsia="宋体" w:hAnsi="宋体" w:hint="eastAsia"/>
          <w:sz w:val="18"/>
          <w:szCs w:val="18"/>
        </w:rPr>
        <w:t>。该战略的核心是有序疏解北京的</w:t>
      </w:r>
      <w:proofErr w:type="gramStart"/>
      <w:r w:rsidR="002B7773">
        <w:rPr>
          <w:rFonts w:ascii="宋体" w:eastAsia="宋体" w:hAnsi="宋体" w:hint="eastAsia"/>
          <w:sz w:val="18"/>
          <w:szCs w:val="18"/>
        </w:rPr>
        <w:t>非首都</w:t>
      </w:r>
      <w:proofErr w:type="gramEnd"/>
      <w:r w:rsidR="002B7773">
        <w:rPr>
          <w:rFonts w:ascii="宋体" w:eastAsia="宋体" w:hAnsi="宋体" w:hint="eastAsia"/>
          <w:sz w:val="18"/>
          <w:szCs w:val="18"/>
        </w:rPr>
        <w:t>功能，同时拉动京津冀的经济发展</w:t>
      </w:r>
      <w:r w:rsidR="00A8350E">
        <w:rPr>
          <w:rFonts w:ascii="宋体" w:eastAsia="宋体" w:hAnsi="宋体" w:hint="eastAsia"/>
          <w:sz w:val="18"/>
          <w:szCs w:val="18"/>
        </w:rPr>
        <w:t>[</w:t>
      </w:r>
      <w:r w:rsidR="00A8350E">
        <w:rPr>
          <w:rFonts w:ascii="宋体" w:eastAsia="宋体" w:hAnsi="宋体"/>
          <w:sz w:val="18"/>
          <w:szCs w:val="18"/>
        </w:rPr>
        <w:t>2]</w:t>
      </w:r>
      <w:r w:rsidR="002B7773">
        <w:rPr>
          <w:rFonts w:ascii="宋体" w:eastAsia="宋体" w:hAnsi="宋体" w:hint="eastAsia"/>
          <w:sz w:val="18"/>
          <w:szCs w:val="18"/>
        </w:rPr>
        <w:t>。从2</w:t>
      </w:r>
      <w:r w:rsidR="002B7773">
        <w:rPr>
          <w:rFonts w:ascii="宋体" w:eastAsia="宋体" w:hAnsi="宋体"/>
          <w:sz w:val="18"/>
          <w:szCs w:val="18"/>
        </w:rPr>
        <w:t>014</w:t>
      </w:r>
      <w:r w:rsidR="002B7773">
        <w:rPr>
          <w:rFonts w:ascii="宋体" w:eastAsia="宋体" w:hAnsi="宋体" w:hint="eastAsia"/>
          <w:sz w:val="18"/>
          <w:szCs w:val="18"/>
        </w:rPr>
        <w:t>年实施</w:t>
      </w:r>
      <w:r w:rsidR="00CE7220">
        <w:rPr>
          <w:rFonts w:ascii="宋体" w:eastAsia="宋体" w:hAnsi="宋体" w:hint="eastAsia"/>
          <w:sz w:val="18"/>
          <w:szCs w:val="18"/>
        </w:rPr>
        <w:t>后</w:t>
      </w:r>
      <w:r w:rsidR="002B7773">
        <w:rPr>
          <w:rFonts w:ascii="宋体" w:eastAsia="宋体" w:hAnsi="宋体" w:hint="eastAsia"/>
          <w:sz w:val="18"/>
          <w:szCs w:val="18"/>
        </w:rPr>
        <w:t>，</w:t>
      </w:r>
      <w:r w:rsidR="00CE7220">
        <w:rPr>
          <w:rFonts w:ascii="宋体" w:eastAsia="宋体" w:hAnsi="宋体" w:hint="eastAsia"/>
          <w:sz w:val="18"/>
          <w:szCs w:val="18"/>
        </w:rPr>
        <w:t>从国</w:t>
      </w:r>
      <w:proofErr w:type="gramStart"/>
      <w:r w:rsidR="00CE7220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CE7220">
        <w:rPr>
          <w:rFonts w:ascii="宋体" w:eastAsia="宋体" w:hAnsi="宋体" w:hint="eastAsia"/>
          <w:sz w:val="18"/>
          <w:szCs w:val="18"/>
        </w:rPr>
        <w:t>网的数据（见表1）京津冀整体的经济发展稳步提升</w:t>
      </w:r>
      <w:r w:rsidR="002B7773">
        <w:rPr>
          <w:rFonts w:ascii="宋体" w:eastAsia="宋体" w:hAnsi="宋体" w:hint="eastAsia"/>
          <w:sz w:val="18"/>
          <w:szCs w:val="18"/>
        </w:rPr>
        <w:t>。然而，由于长久以来，京津冀三地发展差距就很大，因此，京津冀的协同发展虽然对各地经济都有推动作用，但是，</w:t>
      </w:r>
      <w:r w:rsidR="00CE7220">
        <w:rPr>
          <w:rFonts w:ascii="宋体" w:eastAsia="宋体" w:hAnsi="宋体" w:hint="eastAsia"/>
          <w:sz w:val="18"/>
          <w:szCs w:val="18"/>
        </w:rPr>
        <w:t>地区之间经济发展差距仍然很大。</w:t>
      </w:r>
      <w:r w:rsidR="00CE7220">
        <w:rPr>
          <w:rFonts w:ascii="宋体" w:eastAsia="宋体" w:hAnsi="宋体"/>
          <w:sz w:val="18"/>
          <w:szCs w:val="18"/>
        </w:rPr>
        <w:t xml:space="preserve"> </w:t>
      </w:r>
    </w:p>
    <w:p w14:paraId="6AD1A5A4" w14:textId="6DE57267" w:rsidR="002B7773" w:rsidRDefault="00CE7220" w:rsidP="00195DB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IT</w:t>
      </w:r>
      <w:r>
        <w:rPr>
          <w:rFonts w:ascii="宋体" w:eastAsia="宋体" w:hAnsi="宋体" w:hint="eastAsia"/>
          <w:sz w:val="18"/>
          <w:szCs w:val="18"/>
        </w:rPr>
        <w:t>行业是各个行业的领先，I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行业薪酬在一定程度上能够反应地区经济发展状况。因此，本文通过2</w:t>
      </w:r>
      <w:r>
        <w:rPr>
          <w:rFonts w:ascii="宋体" w:eastAsia="宋体" w:hAnsi="宋体"/>
          <w:sz w:val="18"/>
          <w:szCs w:val="18"/>
        </w:rPr>
        <w:t>009</w:t>
      </w:r>
      <w:r>
        <w:rPr>
          <w:rFonts w:ascii="宋体" w:eastAsia="宋体" w:hAnsi="宋体" w:hint="eastAsia"/>
          <w:sz w:val="18"/>
          <w:szCs w:val="18"/>
        </w:rPr>
        <w:t>年-</w:t>
      </w:r>
      <w:r>
        <w:rPr>
          <w:rFonts w:ascii="宋体" w:eastAsia="宋体" w:hAnsi="宋体"/>
          <w:sz w:val="18"/>
          <w:szCs w:val="18"/>
        </w:rPr>
        <w:t>2018</w:t>
      </w:r>
      <w:r>
        <w:rPr>
          <w:rFonts w:ascii="宋体" w:eastAsia="宋体" w:hAnsi="宋体" w:hint="eastAsia"/>
          <w:sz w:val="18"/>
          <w:szCs w:val="18"/>
        </w:rPr>
        <w:t>年I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行业劳动者报酬的变化来分析京津冀一体化对三地</w:t>
      </w:r>
      <w:r w:rsidR="0036727D">
        <w:rPr>
          <w:rFonts w:ascii="宋体" w:eastAsia="宋体" w:hAnsi="宋体" w:hint="eastAsia"/>
          <w:sz w:val="18"/>
          <w:szCs w:val="18"/>
        </w:rPr>
        <w:t>I</w:t>
      </w:r>
      <w:r w:rsidR="0036727D">
        <w:rPr>
          <w:rFonts w:ascii="宋体" w:eastAsia="宋体" w:hAnsi="宋体"/>
          <w:sz w:val="18"/>
          <w:szCs w:val="18"/>
        </w:rPr>
        <w:t>T</w:t>
      </w:r>
      <w:r w:rsidR="0036727D">
        <w:rPr>
          <w:rFonts w:ascii="宋体" w:eastAsia="宋体" w:hAnsi="宋体" w:hint="eastAsia"/>
          <w:sz w:val="18"/>
          <w:szCs w:val="18"/>
        </w:rPr>
        <w:t>行业薪酬</w:t>
      </w:r>
      <w:r>
        <w:rPr>
          <w:rFonts w:ascii="宋体" w:eastAsia="宋体" w:hAnsi="宋体" w:hint="eastAsia"/>
          <w:sz w:val="18"/>
          <w:szCs w:val="18"/>
        </w:rPr>
        <w:t>的影响。具体而言，本文分析了2</w:t>
      </w:r>
      <w:r>
        <w:rPr>
          <w:rFonts w:ascii="宋体" w:eastAsia="宋体" w:hAnsi="宋体"/>
          <w:sz w:val="18"/>
          <w:szCs w:val="18"/>
        </w:rPr>
        <w:t>009</w:t>
      </w:r>
      <w:r>
        <w:rPr>
          <w:rFonts w:ascii="宋体" w:eastAsia="宋体" w:hAnsi="宋体" w:hint="eastAsia"/>
          <w:sz w:val="18"/>
          <w:szCs w:val="18"/>
        </w:rPr>
        <w:t>年-</w:t>
      </w:r>
      <w:r>
        <w:rPr>
          <w:rFonts w:ascii="宋体" w:eastAsia="宋体" w:hAnsi="宋体"/>
          <w:sz w:val="18"/>
          <w:szCs w:val="18"/>
        </w:rPr>
        <w:t>2018</w:t>
      </w:r>
      <w:r>
        <w:rPr>
          <w:rFonts w:ascii="宋体" w:eastAsia="宋体" w:hAnsi="宋体" w:hint="eastAsia"/>
          <w:sz w:val="18"/>
          <w:szCs w:val="18"/>
        </w:rPr>
        <w:t>年I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行业劳动者报酬的增长量和增长率，以及京津冀整体的薪酬增长，相互对比之下，</w:t>
      </w:r>
      <w:r w:rsidR="001E4DE6">
        <w:rPr>
          <w:rFonts w:ascii="宋体" w:eastAsia="宋体" w:hAnsi="宋体" w:hint="eastAsia"/>
          <w:sz w:val="18"/>
          <w:szCs w:val="18"/>
        </w:rPr>
        <w:t>天津和河北的劳动者报酬同比增长率均高于北京，但是增长量却远低于北京，原因可能为，北京地区的经济发展水平一直位于前列，</w:t>
      </w:r>
      <w:r w:rsidR="00A70CC7">
        <w:rPr>
          <w:rFonts w:ascii="宋体" w:eastAsia="宋体" w:hAnsi="宋体" w:hint="eastAsia"/>
          <w:sz w:val="18"/>
          <w:szCs w:val="18"/>
        </w:rPr>
        <w:t>和</w:t>
      </w:r>
      <w:r w:rsidR="001E4DE6">
        <w:rPr>
          <w:rFonts w:ascii="宋体" w:eastAsia="宋体" w:hAnsi="宋体" w:hint="eastAsia"/>
          <w:sz w:val="18"/>
          <w:szCs w:val="18"/>
        </w:rPr>
        <w:t>天津</w:t>
      </w:r>
      <w:r w:rsidR="00A70CC7">
        <w:rPr>
          <w:rFonts w:ascii="宋体" w:eastAsia="宋体" w:hAnsi="宋体" w:hint="eastAsia"/>
          <w:sz w:val="18"/>
          <w:szCs w:val="18"/>
        </w:rPr>
        <w:t>、</w:t>
      </w:r>
      <w:r w:rsidR="001E4DE6">
        <w:rPr>
          <w:rFonts w:ascii="宋体" w:eastAsia="宋体" w:hAnsi="宋体" w:hint="eastAsia"/>
          <w:sz w:val="18"/>
          <w:szCs w:val="18"/>
        </w:rPr>
        <w:t>河北的经济差距一直以来</w:t>
      </w:r>
      <w:r w:rsidR="00A70CC7">
        <w:rPr>
          <w:rFonts w:ascii="宋体" w:eastAsia="宋体" w:hAnsi="宋体" w:hint="eastAsia"/>
          <w:sz w:val="18"/>
          <w:szCs w:val="18"/>
        </w:rPr>
        <w:t>都较大。</w:t>
      </w:r>
    </w:p>
    <w:p w14:paraId="33998C3E" w14:textId="11A08176" w:rsidR="00A02E49" w:rsidRDefault="00A02E49" w:rsidP="002B0F47">
      <w:pPr>
        <w:spacing w:before="240"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2</w:t>
      </w:r>
      <w:r w:rsidRPr="00FA6D30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数据准备和分析过程</w:t>
      </w:r>
    </w:p>
    <w:p w14:paraId="55934AA8" w14:textId="40D75CCD" w:rsidR="00A02E49" w:rsidRDefault="00A02E49" w:rsidP="002353E1">
      <w:pPr>
        <w:rPr>
          <w:rFonts w:ascii="黑体" w:eastAsia="黑体" w:hAnsi="黑体"/>
          <w:sz w:val="18"/>
          <w:szCs w:val="18"/>
        </w:rPr>
      </w:pPr>
      <w:r w:rsidRPr="00A02E49">
        <w:rPr>
          <w:rFonts w:ascii="黑体" w:eastAsia="黑体" w:hAnsi="黑体" w:hint="eastAsia"/>
          <w:sz w:val="18"/>
          <w:szCs w:val="18"/>
        </w:rPr>
        <w:t>2</w:t>
      </w:r>
      <w:r w:rsidRPr="00A02E49">
        <w:rPr>
          <w:rFonts w:ascii="黑体" w:eastAsia="黑体" w:hAnsi="黑体"/>
          <w:sz w:val="18"/>
          <w:szCs w:val="18"/>
        </w:rPr>
        <w:t xml:space="preserve">.1 </w:t>
      </w:r>
      <w:r w:rsidRPr="00A02E49">
        <w:rPr>
          <w:rFonts w:ascii="黑体" w:eastAsia="黑体" w:hAnsi="黑体" w:hint="eastAsia"/>
          <w:sz w:val="18"/>
          <w:szCs w:val="18"/>
        </w:rPr>
        <w:t>数据准备</w:t>
      </w:r>
    </w:p>
    <w:p w14:paraId="210FF087" w14:textId="7F6D8306" w:rsidR="00A02E49" w:rsidRDefault="00A02E49" w:rsidP="00195DB0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本文采用的数据均来源于国务院发展研究中心信息网（以下简称“国研网”），它是由国务院发展研究中心主管、北京</w:t>
      </w:r>
      <w:r w:rsidRPr="00A02E49">
        <w:rPr>
          <w:rFonts w:asciiTheme="minorEastAsia" w:hAnsiTheme="minorEastAsia" w:hint="eastAsia"/>
          <w:sz w:val="18"/>
          <w:szCs w:val="18"/>
        </w:rPr>
        <w:t>国研网信息有限公司承办的大型专业化经济信息服务平台。创建于1998年3月，是中国领先的咨询服务机构。</w:t>
      </w:r>
      <w:r>
        <w:rPr>
          <w:rFonts w:asciiTheme="minorEastAsia" w:hAnsiTheme="minorEastAsia" w:hint="eastAsia"/>
          <w:sz w:val="18"/>
          <w:szCs w:val="18"/>
        </w:rPr>
        <w:t>国</w:t>
      </w:r>
      <w:proofErr w:type="gramStart"/>
      <w:r>
        <w:rPr>
          <w:rFonts w:asciiTheme="minorEastAsia" w:hAnsiTheme="minorEastAsia" w:hint="eastAsia"/>
          <w:sz w:val="18"/>
          <w:szCs w:val="18"/>
        </w:rPr>
        <w:t>研</w:t>
      </w:r>
      <w:proofErr w:type="gramEnd"/>
      <w:r>
        <w:rPr>
          <w:rFonts w:asciiTheme="minorEastAsia" w:hAnsiTheme="minorEastAsia" w:hint="eastAsia"/>
          <w:sz w:val="18"/>
          <w:szCs w:val="18"/>
        </w:rPr>
        <w:t>网建成了内容丰富、检索便捷、功能齐全的大型经济信息数据库集群</w:t>
      </w:r>
      <w:r w:rsidR="0004498D">
        <w:rPr>
          <w:rFonts w:asciiTheme="minorEastAsia" w:hAnsiTheme="minorEastAsia" w:hint="eastAsia"/>
          <w:sz w:val="18"/>
          <w:szCs w:val="18"/>
        </w:rPr>
        <w:t>。包含并不限于I</w:t>
      </w:r>
      <w:r w:rsidR="0004498D">
        <w:rPr>
          <w:rFonts w:asciiTheme="minorEastAsia" w:hAnsiTheme="minorEastAsia"/>
          <w:sz w:val="18"/>
          <w:szCs w:val="18"/>
        </w:rPr>
        <w:t>T</w:t>
      </w:r>
      <w:r w:rsidR="0004498D">
        <w:rPr>
          <w:rFonts w:asciiTheme="minorEastAsia" w:hAnsiTheme="minorEastAsia" w:hint="eastAsia"/>
          <w:sz w:val="18"/>
          <w:szCs w:val="18"/>
        </w:rPr>
        <w:t>行业经济数据。本文所用到的2</w:t>
      </w:r>
      <w:r w:rsidR="0004498D">
        <w:rPr>
          <w:rFonts w:asciiTheme="minorEastAsia" w:hAnsiTheme="minorEastAsia"/>
          <w:sz w:val="18"/>
          <w:szCs w:val="18"/>
        </w:rPr>
        <w:t>009</w:t>
      </w:r>
      <w:r w:rsidR="0004498D">
        <w:rPr>
          <w:rFonts w:asciiTheme="minorEastAsia" w:hAnsiTheme="minorEastAsia" w:hint="eastAsia"/>
          <w:sz w:val="18"/>
          <w:szCs w:val="18"/>
        </w:rPr>
        <w:t>年到2</w:t>
      </w:r>
      <w:r w:rsidR="0004498D">
        <w:rPr>
          <w:rFonts w:asciiTheme="minorEastAsia" w:hAnsiTheme="minorEastAsia"/>
          <w:sz w:val="18"/>
          <w:szCs w:val="18"/>
        </w:rPr>
        <w:t>018</w:t>
      </w:r>
      <w:r w:rsidR="0004498D">
        <w:rPr>
          <w:rFonts w:asciiTheme="minorEastAsia" w:hAnsiTheme="minorEastAsia" w:hint="eastAsia"/>
          <w:sz w:val="18"/>
          <w:szCs w:val="18"/>
        </w:rPr>
        <w:t>年I</w:t>
      </w:r>
      <w:r w:rsidR="0004498D">
        <w:rPr>
          <w:rFonts w:asciiTheme="minorEastAsia" w:hAnsiTheme="minorEastAsia"/>
          <w:sz w:val="18"/>
          <w:szCs w:val="18"/>
        </w:rPr>
        <w:t>T</w:t>
      </w:r>
      <w:r w:rsidR="0004498D">
        <w:rPr>
          <w:rFonts w:asciiTheme="minorEastAsia" w:hAnsiTheme="minorEastAsia" w:hint="eastAsia"/>
          <w:sz w:val="18"/>
          <w:szCs w:val="18"/>
        </w:rPr>
        <w:t>行业薪酬在国</w:t>
      </w:r>
      <w:proofErr w:type="gramStart"/>
      <w:r w:rsidR="0004498D">
        <w:rPr>
          <w:rFonts w:asciiTheme="minorEastAsia" w:hAnsiTheme="minorEastAsia" w:hint="eastAsia"/>
          <w:sz w:val="18"/>
          <w:szCs w:val="18"/>
        </w:rPr>
        <w:t>研</w:t>
      </w:r>
      <w:proofErr w:type="gramEnd"/>
      <w:r w:rsidR="0004498D">
        <w:rPr>
          <w:rFonts w:asciiTheme="minorEastAsia" w:hAnsiTheme="minorEastAsia" w:hint="eastAsia"/>
          <w:sz w:val="18"/>
          <w:szCs w:val="18"/>
        </w:rPr>
        <w:t>网有准确的数据。</w:t>
      </w:r>
    </w:p>
    <w:p w14:paraId="35EA8EBE" w14:textId="75253EB7" w:rsidR="0004498D" w:rsidRDefault="0004498D" w:rsidP="002353E1">
      <w:pPr>
        <w:rPr>
          <w:rFonts w:ascii="黑体" w:eastAsia="黑体" w:hAnsi="黑体"/>
          <w:sz w:val="18"/>
          <w:szCs w:val="18"/>
        </w:rPr>
      </w:pPr>
      <w:r w:rsidRPr="0004498D">
        <w:rPr>
          <w:rFonts w:ascii="黑体" w:eastAsia="黑体" w:hAnsi="黑体" w:hint="eastAsia"/>
          <w:sz w:val="18"/>
          <w:szCs w:val="18"/>
        </w:rPr>
        <w:t>2</w:t>
      </w:r>
      <w:r w:rsidRPr="0004498D">
        <w:rPr>
          <w:rFonts w:ascii="黑体" w:eastAsia="黑体" w:hAnsi="黑体"/>
          <w:sz w:val="18"/>
          <w:szCs w:val="18"/>
        </w:rPr>
        <w:t xml:space="preserve">.2 </w:t>
      </w:r>
      <w:r w:rsidRPr="0004498D">
        <w:rPr>
          <w:rFonts w:ascii="黑体" w:eastAsia="黑体" w:hAnsi="黑体" w:hint="eastAsia"/>
          <w:sz w:val="18"/>
          <w:szCs w:val="18"/>
        </w:rPr>
        <w:t>分析过程</w:t>
      </w:r>
    </w:p>
    <w:p w14:paraId="30E3E832" w14:textId="7240EF53" w:rsidR="0004498D" w:rsidRDefault="0004498D" w:rsidP="00195DB0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04498D">
        <w:rPr>
          <w:rFonts w:asciiTheme="minorEastAsia" w:hAnsiTheme="minorEastAsia" w:hint="eastAsia"/>
          <w:sz w:val="18"/>
          <w:szCs w:val="18"/>
        </w:rPr>
        <w:t>本文在</w:t>
      </w:r>
      <w:r>
        <w:rPr>
          <w:rFonts w:asciiTheme="minorEastAsia" w:hAnsiTheme="minorEastAsia" w:hint="eastAsia"/>
          <w:sz w:val="18"/>
          <w:szCs w:val="18"/>
        </w:rPr>
        <w:t>分析京津冀一体化对I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行业薪酬变化的影响时，首先利用国</w:t>
      </w:r>
      <w:proofErr w:type="gramStart"/>
      <w:r>
        <w:rPr>
          <w:rFonts w:asciiTheme="minorEastAsia" w:hAnsiTheme="minorEastAsia" w:hint="eastAsia"/>
          <w:sz w:val="18"/>
          <w:szCs w:val="18"/>
        </w:rPr>
        <w:t>研</w:t>
      </w:r>
      <w:proofErr w:type="gramEnd"/>
      <w:r>
        <w:rPr>
          <w:rFonts w:asciiTheme="minorEastAsia" w:hAnsiTheme="minorEastAsia" w:hint="eastAsia"/>
          <w:sz w:val="18"/>
          <w:szCs w:val="18"/>
        </w:rPr>
        <w:t>网数据分析I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行业薪酬的主要变化趋势，之后再根据国</w:t>
      </w:r>
      <w:proofErr w:type="gramStart"/>
      <w:r>
        <w:rPr>
          <w:rFonts w:asciiTheme="minorEastAsia" w:hAnsiTheme="minorEastAsia" w:hint="eastAsia"/>
          <w:sz w:val="18"/>
          <w:szCs w:val="18"/>
        </w:rPr>
        <w:t>研</w:t>
      </w:r>
      <w:proofErr w:type="gramEnd"/>
      <w:r>
        <w:rPr>
          <w:rFonts w:asciiTheme="minorEastAsia" w:hAnsiTheme="minorEastAsia" w:hint="eastAsia"/>
          <w:sz w:val="18"/>
          <w:szCs w:val="18"/>
        </w:rPr>
        <w:t>网提供的公式计算出薪酬的同比增长量和同比增长率，进而从增长的角度分析京津冀一体化对I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行业劳动者报酬变化的影响。最后着重分析了经济实力较弱的河北地区的I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行业薪酬变化形势。</w:t>
      </w:r>
    </w:p>
    <w:p w14:paraId="402A28FB" w14:textId="55DD90F9" w:rsidR="00782F0C" w:rsidRPr="00782F0C" w:rsidRDefault="00782F0C" w:rsidP="00E5765C">
      <w:pPr>
        <w:spacing w:before="240"/>
        <w:jc w:val="center"/>
        <w:rPr>
          <w:rFonts w:ascii="仿宋" w:eastAsia="仿宋" w:hAnsi="仿宋"/>
          <w:sz w:val="12"/>
          <w:szCs w:val="12"/>
        </w:rPr>
      </w:pPr>
      <w:r w:rsidRPr="003B31F3">
        <w:rPr>
          <w:rFonts w:ascii="仿宋" w:eastAsia="仿宋" w:hAnsi="仿宋" w:hint="eastAsia"/>
          <w:sz w:val="12"/>
          <w:szCs w:val="12"/>
        </w:rPr>
        <w:t>表1</w:t>
      </w:r>
      <w:r w:rsidRPr="003B31F3">
        <w:rPr>
          <w:rFonts w:ascii="仿宋" w:eastAsia="仿宋" w:hAnsi="仿宋"/>
          <w:sz w:val="12"/>
          <w:szCs w:val="12"/>
        </w:rPr>
        <w:t xml:space="preserve"> 2009</w:t>
      </w:r>
      <w:r w:rsidRPr="003B31F3">
        <w:rPr>
          <w:rFonts w:ascii="仿宋" w:eastAsia="仿宋" w:hAnsi="仿宋" w:hint="eastAsia"/>
          <w:sz w:val="12"/>
          <w:szCs w:val="12"/>
        </w:rPr>
        <w:t>年-</w:t>
      </w:r>
      <w:r w:rsidRPr="003B31F3">
        <w:rPr>
          <w:rFonts w:ascii="仿宋" w:eastAsia="仿宋" w:hAnsi="仿宋"/>
          <w:sz w:val="12"/>
          <w:szCs w:val="12"/>
        </w:rPr>
        <w:t>2018</w:t>
      </w:r>
      <w:r w:rsidRPr="003B31F3">
        <w:rPr>
          <w:rFonts w:ascii="仿宋" w:eastAsia="仿宋" w:hAnsi="仿宋" w:hint="eastAsia"/>
          <w:sz w:val="12"/>
          <w:szCs w:val="12"/>
        </w:rPr>
        <w:t>年京津冀I</w:t>
      </w:r>
      <w:r w:rsidRPr="003B31F3">
        <w:rPr>
          <w:rFonts w:ascii="仿宋" w:eastAsia="仿宋" w:hAnsi="仿宋"/>
          <w:sz w:val="12"/>
          <w:szCs w:val="12"/>
        </w:rPr>
        <w:t>T</w:t>
      </w:r>
      <w:r w:rsidRPr="003B31F3">
        <w:rPr>
          <w:rFonts w:ascii="仿宋" w:eastAsia="仿宋" w:hAnsi="仿宋" w:hint="eastAsia"/>
          <w:sz w:val="12"/>
          <w:szCs w:val="12"/>
        </w:rPr>
        <w:t>行业劳动者报酬</w:t>
      </w:r>
      <w:r w:rsidR="00195DB0">
        <w:rPr>
          <w:rFonts w:ascii="仿宋" w:eastAsia="仿宋" w:hAnsi="仿宋" w:hint="eastAsia"/>
          <w:sz w:val="12"/>
          <w:szCs w:val="12"/>
        </w:rPr>
        <w:t>[</w:t>
      </w:r>
      <w:r w:rsidR="00195DB0">
        <w:rPr>
          <w:rFonts w:ascii="仿宋" w:eastAsia="仿宋" w:hAnsi="仿宋"/>
          <w:sz w:val="12"/>
          <w:szCs w:val="12"/>
        </w:rPr>
        <w:t>3]</w:t>
      </w:r>
    </w:p>
    <w:tbl>
      <w:tblPr>
        <w:tblW w:w="4629" w:type="dxa"/>
        <w:tblInd w:w="108" w:type="dxa"/>
        <w:tblLook w:val="04A0" w:firstRow="1" w:lastRow="0" w:firstColumn="1" w:lastColumn="0" w:noHBand="0" w:noVBand="1"/>
      </w:tblPr>
      <w:tblGrid>
        <w:gridCol w:w="721"/>
        <w:gridCol w:w="977"/>
        <w:gridCol w:w="977"/>
        <w:gridCol w:w="977"/>
        <w:gridCol w:w="977"/>
      </w:tblGrid>
      <w:tr w:rsidR="003B31F3" w:rsidRPr="003B31F3" w14:paraId="41B4BBFB" w14:textId="77777777" w:rsidTr="002B0F47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D939E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时间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4F954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总计(万元)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DD8B0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北京(万元)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EDB97" w14:textId="3B17D25F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天津(万元)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AE8E1" w14:textId="24DEB841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河北(万元)</w:t>
            </w:r>
          </w:p>
        </w:tc>
      </w:tr>
      <w:tr w:rsidR="003B31F3" w:rsidRPr="003B31F3" w14:paraId="18240AB1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6785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2009年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4345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14198259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5B67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1948201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2DC6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111312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D6FA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60376</w:t>
            </w:r>
          </w:p>
        </w:tc>
      </w:tr>
      <w:tr w:rsidR="003B31F3" w:rsidRPr="003B31F3" w14:paraId="21C2FEA4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E1EC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2010年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85C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20863262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227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3679526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F1C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170954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C96C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134338</w:t>
            </w:r>
          </w:p>
        </w:tc>
      </w:tr>
      <w:tr w:rsidR="003B31F3" w:rsidRPr="003B31F3" w14:paraId="39080C11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9B37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2011年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B50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28523736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D034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7160336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2358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320840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D99B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174196</w:t>
            </w:r>
          </w:p>
        </w:tc>
      </w:tr>
      <w:tr w:rsidR="003B31F3" w:rsidRPr="003B31F3" w14:paraId="67F1CED7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AC4A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2012年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4AA1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37492846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E1BA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7954045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4AE0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560553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56F4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222977</w:t>
            </w:r>
          </w:p>
        </w:tc>
      </w:tr>
      <w:tr w:rsidR="003B31F3" w:rsidRPr="003B31F3" w14:paraId="60B7BB56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0624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2013年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6C79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47060921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5D1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9338693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50B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610539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12FA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290124</w:t>
            </w:r>
          </w:p>
        </w:tc>
      </w:tr>
      <w:tr w:rsidR="003B31F3" w:rsidRPr="003B31F3" w14:paraId="4D5BF230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CD21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2014年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1A44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57531358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9426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11093203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296E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860396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4092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436365</w:t>
            </w:r>
          </w:p>
        </w:tc>
      </w:tr>
      <w:tr w:rsidR="003B31F3" w:rsidRPr="003B31F3" w14:paraId="5323464D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A69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A938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59396494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27A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12827484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1096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884792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2228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557390</w:t>
            </w:r>
          </w:p>
        </w:tc>
      </w:tr>
      <w:tr w:rsidR="003B31F3" w:rsidRPr="003B31F3" w14:paraId="261ACC9C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D5C9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2016年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4362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69158814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C564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6F68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E011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3B31F3" w:rsidRPr="003B31F3" w14:paraId="07D5FC83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DBE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2017年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6065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84011570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CB9A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17653228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7C4E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894893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A05E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795203</w:t>
            </w:r>
          </w:p>
        </w:tc>
      </w:tr>
      <w:tr w:rsidR="003B31F3" w:rsidRPr="003B31F3" w14:paraId="4615FFCB" w14:textId="77777777" w:rsidTr="002B0F47">
        <w:trPr>
          <w:trHeight w:val="30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D035" w14:textId="77777777" w:rsidR="003B31F3" w:rsidRPr="003B31F3" w:rsidRDefault="003B31F3" w:rsidP="003B31F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2018年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457F2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94779838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EBED2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22144632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B6B50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1287335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09A8D" w14:textId="77777777" w:rsidR="003B31F3" w:rsidRPr="003B31F3" w:rsidRDefault="003B31F3" w:rsidP="003B31F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3"/>
                <w:szCs w:val="13"/>
              </w:rPr>
            </w:pPr>
            <w:r w:rsidRPr="003B31F3">
              <w:rPr>
                <w:rFonts w:ascii="仿宋" w:eastAsia="仿宋" w:hAnsi="仿宋" w:cs="宋体" w:hint="eastAsia"/>
                <w:color w:val="000000"/>
                <w:kern w:val="0"/>
                <w:sz w:val="13"/>
                <w:szCs w:val="13"/>
              </w:rPr>
              <w:t>620562</w:t>
            </w:r>
          </w:p>
        </w:tc>
      </w:tr>
    </w:tbl>
    <w:p w14:paraId="3EED3AA8" w14:textId="525B9F17" w:rsidR="00136495" w:rsidRDefault="007E1C94" w:rsidP="002B0F47">
      <w:pPr>
        <w:ind w:firstLineChars="200" w:firstLine="420"/>
        <w:rPr>
          <w:rFonts w:ascii="仿宋" w:eastAsia="仿宋" w:hAnsi="仿宋"/>
          <w:sz w:val="12"/>
          <w:szCs w:val="12"/>
        </w:rPr>
      </w:pPr>
      <w:r>
        <w:rPr>
          <w:noProof/>
        </w:rPr>
        <w:drawing>
          <wp:inline distT="0" distB="0" distL="0" distR="0" wp14:anchorId="3ED2FA16" wp14:editId="6961D3E0">
            <wp:extent cx="2744470" cy="1959428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C8AEAC8-8D27-4209-8D5D-AA9212001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8C7F98" w14:textId="2414F8FD" w:rsidR="003B31F3" w:rsidRDefault="003B31F3" w:rsidP="00E5765C">
      <w:pPr>
        <w:ind w:firstLine="420"/>
        <w:jc w:val="center"/>
        <w:rPr>
          <w:rFonts w:ascii="仿宋" w:eastAsia="仿宋" w:hAnsi="仿宋"/>
          <w:sz w:val="12"/>
          <w:szCs w:val="12"/>
        </w:rPr>
      </w:pPr>
      <w:r w:rsidRPr="003B31F3">
        <w:rPr>
          <w:rFonts w:ascii="仿宋" w:eastAsia="仿宋" w:hAnsi="仿宋" w:hint="eastAsia"/>
          <w:sz w:val="12"/>
          <w:szCs w:val="12"/>
        </w:rPr>
        <w:t>图</w:t>
      </w:r>
      <w:r>
        <w:rPr>
          <w:rFonts w:ascii="仿宋" w:eastAsia="仿宋" w:hAnsi="仿宋"/>
          <w:sz w:val="12"/>
          <w:szCs w:val="12"/>
        </w:rPr>
        <w:t>1</w:t>
      </w:r>
      <w:r w:rsidRPr="003B31F3">
        <w:rPr>
          <w:rFonts w:ascii="仿宋" w:eastAsia="仿宋" w:hAnsi="仿宋"/>
          <w:sz w:val="12"/>
          <w:szCs w:val="12"/>
        </w:rPr>
        <w:t xml:space="preserve"> 2009</w:t>
      </w:r>
      <w:r w:rsidRPr="003B31F3">
        <w:rPr>
          <w:rFonts w:ascii="仿宋" w:eastAsia="仿宋" w:hAnsi="仿宋" w:hint="eastAsia"/>
          <w:sz w:val="12"/>
          <w:szCs w:val="12"/>
        </w:rPr>
        <w:t>年-</w:t>
      </w:r>
      <w:r w:rsidRPr="003B31F3">
        <w:rPr>
          <w:rFonts w:ascii="仿宋" w:eastAsia="仿宋" w:hAnsi="仿宋"/>
          <w:sz w:val="12"/>
          <w:szCs w:val="12"/>
        </w:rPr>
        <w:t>2018</w:t>
      </w:r>
      <w:r w:rsidRPr="003B31F3">
        <w:rPr>
          <w:rFonts w:ascii="仿宋" w:eastAsia="仿宋" w:hAnsi="仿宋" w:hint="eastAsia"/>
          <w:sz w:val="12"/>
          <w:szCs w:val="12"/>
        </w:rPr>
        <w:t>年京津冀I</w:t>
      </w:r>
      <w:r w:rsidRPr="003B31F3">
        <w:rPr>
          <w:rFonts w:ascii="仿宋" w:eastAsia="仿宋" w:hAnsi="仿宋"/>
          <w:sz w:val="12"/>
          <w:szCs w:val="12"/>
        </w:rPr>
        <w:t>T</w:t>
      </w:r>
      <w:r w:rsidRPr="003B31F3">
        <w:rPr>
          <w:rFonts w:ascii="仿宋" w:eastAsia="仿宋" w:hAnsi="仿宋" w:hint="eastAsia"/>
          <w:sz w:val="12"/>
          <w:szCs w:val="12"/>
        </w:rPr>
        <w:t>行业薪酬</w:t>
      </w:r>
      <w:r>
        <w:rPr>
          <w:rFonts w:ascii="仿宋" w:eastAsia="仿宋" w:hAnsi="仿宋" w:hint="eastAsia"/>
          <w:sz w:val="12"/>
          <w:szCs w:val="12"/>
        </w:rPr>
        <w:t>变化曲线</w:t>
      </w:r>
      <w:r w:rsidR="00195DB0">
        <w:rPr>
          <w:rFonts w:ascii="仿宋" w:eastAsia="仿宋" w:hAnsi="仿宋" w:hint="eastAsia"/>
          <w:sz w:val="12"/>
          <w:szCs w:val="12"/>
        </w:rPr>
        <w:t>[</w:t>
      </w:r>
      <w:r w:rsidR="00195DB0">
        <w:rPr>
          <w:rFonts w:ascii="仿宋" w:eastAsia="仿宋" w:hAnsi="仿宋"/>
          <w:sz w:val="12"/>
          <w:szCs w:val="12"/>
        </w:rPr>
        <w:t>3]</w:t>
      </w:r>
    </w:p>
    <w:p w14:paraId="6565A6EF" w14:textId="030E3032" w:rsidR="00E5765C" w:rsidRDefault="00136495" w:rsidP="002B0F47">
      <w:pPr>
        <w:ind w:firstLineChars="200" w:firstLine="420"/>
        <w:rPr>
          <w:rFonts w:ascii="仿宋" w:eastAsia="仿宋" w:hAnsi="仿宋"/>
          <w:sz w:val="12"/>
          <w:szCs w:val="12"/>
        </w:rPr>
      </w:pPr>
      <w:r>
        <w:rPr>
          <w:noProof/>
        </w:rPr>
        <w:drawing>
          <wp:inline distT="0" distB="0" distL="0" distR="0" wp14:anchorId="030635C2" wp14:editId="117CA023">
            <wp:extent cx="2744470" cy="1646555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B8C7B46-4870-43B7-BDD0-8C27CF6DC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C20C73" w14:textId="0856BD80" w:rsidR="00E5765C" w:rsidRDefault="00E5765C" w:rsidP="00E5765C">
      <w:pPr>
        <w:ind w:firstLine="360"/>
        <w:jc w:val="center"/>
        <w:rPr>
          <w:rFonts w:ascii="仿宋" w:eastAsia="仿宋" w:hAnsi="仿宋"/>
          <w:sz w:val="12"/>
          <w:szCs w:val="12"/>
        </w:rPr>
      </w:pPr>
      <w:r w:rsidRPr="003B31F3">
        <w:rPr>
          <w:rFonts w:ascii="仿宋" w:eastAsia="仿宋" w:hAnsi="仿宋" w:hint="eastAsia"/>
          <w:sz w:val="12"/>
          <w:szCs w:val="12"/>
        </w:rPr>
        <w:t>图</w:t>
      </w:r>
      <w:r>
        <w:rPr>
          <w:rFonts w:ascii="仿宋" w:eastAsia="仿宋" w:hAnsi="仿宋"/>
          <w:sz w:val="12"/>
          <w:szCs w:val="12"/>
        </w:rPr>
        <w:t>2</w:t>
      </w:r>
      <w:r w:rsidRPr="003B31F3">
        <w:rPr>
          <w:rFonts w:ascii="仿宋" w:eastAsia="仿宋" w:hAnsi="仿宋"/>
          <w:sz w:val="12"/>
          <w:szCs w:val="12"/>
        </w:rPr>
        <w:t xml:space="preserve"> 2009</w:t>
      </w:r>
      <w:r w:rsidRPr="003B31F3">
        <w:rPr>
          <w:rFonts w:ascii="仿宋" w:eastAsia="仿宋" w:hAnsi="仿宋" w:hint="eastAsia"/>
          <w:sz w:val="12"/>
          <w:szCs w:val="12"/>
        </w:rPr>
        <w:t>年-</w:t>
      </w:r>
      <w:r w:rsidRPr="003B31F3">
        <w:rPr>
          <w:rFonts w:ascii="仿宋" w:eastAsia="仿宋" w:hAnsi="仿宋"/>
          <w:sz w:val="12"/>
          <w:szCs w:val="12"/>
        </w:rPr>
        <w:t>2018</w:t>
      </w:r>
      <w:r w:rsidRPr="003B31F3">
        <w:rPr>
          <w:rFonts w:ascii="仿宋" w:eastAsia="仿宋" w:hAnsi="仿宋" w:hint="eastAsia"/>
          <w:sz w:val="12"/>
          <w:szCs w:val="12"/>
        </w:rPr>
        <w:t>年京津冀I</w:t>
      </w:r>
      <w:r w:rsidRPr="003B31F3">
        <w:rPr>
          <w:rFonts w:ascii="仿宋" w:eastAsia="仿宋" w:hAnsi="仿宋"/>
          <w:sz w:val="12"/>
          <w:szCs w:val="12"/>
        </w:rPr>
        <w:t>T</w:t>
      </w:r>
      <w:r w:rsidRPr="003B31F3">
        <w:rPr>
          <w:rFonts w:ascii="仿宋" w:eastAsia="仿宋" w:hAnsi="仿宋" w:hint="eastAsia"/>
          <w:sz w:val="12"/>
          <w:szCs w:val="12"/>
        </w:rPr>
        <w:t>行业薪酬同比增长</w:t>
      </w:r>
      <w:r>
        <w:rPr>
          <w:rFonts w:ascii="仿宋" w:eastAsia="仿宋" w:hAnsi="仿宋" w:hint="eastAsia"/>
          <w:sz w:val="12"/>
          <w:szCs w:val="12"/>
        </w:rPr>
        <w:t>量</w:t>
      </w:r>
      <w:r w:rsidR="00195DB0">
        <w:rPr>
          <w:rFonts w:ascii="仿宋" w:eastAsia="仿宋" w:hAnsi="仿宋" w:hint="eastAsia"/>
          <w:sz w:val="12"/>
          <w:szCs w:val="12"/>
        </w:rPr>
        <w:t>[</w:t>
      </w:r>
      <w:r w:rsidR="00195DB0">
        <w:rPr>
          <w:rFonts w:ascii="仿宋" w:eastAsia="仿宋" w:hAnsi="仿宋"/>
          <w:sz w:val="12"/>
          <w:szCs w:val="12"/>
        </w:rPr>
        <w:t>3]</w:t>
      </w:r>
    </w:p>
    <w:p w14:paraId="3A64414A" w14:textId="2187BEC5" w:rsidR="00E5765C" w:rsidRDefault="00136495" w:rsidP="002B0F47">
      <w:pPr>
        <w:ind w:firstLineChars="300" w:firstLine="630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AE622E" wp14:editId="290C4582">
            <wp:extent cx="2569029" cy="1404258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1F6FF56-1D6B-4538-8825-FB0B6CED06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141B3B" w14:textId="37B0F351" w:rsidR="00E5765C" w:rsidRPr="003B31F3" w:rsidRDefault="00E5765C" w:rsidP="00E5765C">
      <w:pPr>
        <w:ind w:firstLine="420"/>
        <w:jc w:val="center"/>
        <w:rPr>
          <w:rFonts w:ascii="仿宋" w:eastAsia="仿宋" w:hAnsi="仿宋"/>
          <w:sz w:val="12"/>
          <w:szCs w:val="12"/>
        </w:rPr>
      </w:pPr>
      <w:r w:rsidRPr="003B31F3">
        <w:rPr>
          <w:rFonts w:ascii="仿宋" w:eastAsia="仿宋" w:hAnsi="仿宋" w:hint="eastAsia"/>
          <w:sz w:val="12"/>
          <w:szCs w:val="12"/>
        </w:rPr>
        <w:t>图</w:t>
      </w:r>
      <w:r>
        <w:rPr>
          <w:rFonts w:ascii="仿宋" w:eastAsia="仿宋" w:hAnsi="仿宋"/>
          <w:sz w:val="12"/>
          <w:szCs w:val="12"/>
        </w:rPr>
        <w:t>3</w:t>
      </w:r>
      <w:r w:rsidRPr="003B31F3">
        <w:rPr>
          <w:rFonts w:ascii="仿宋" w:eastAsia="仿宋" w:hAnsi="仿宋"/>
          <w:sz w:val="12"/>
          <w:szCs w:val="12"/>
        </w:rPr>
        <w:t xml:space="preserve"> 2009</w:t>
      </w:r>
      <w:r w:rsidRPr="003B31F3">
        <w:rPr>
          <w:rFonts w:ascii="仿宋" w:eastAsia="仿宋" w:hAnsi="仿宋" w:hint="eastAsia"/>
          <w:sz w:val="12"/>
          <w:szCs w:val="12"/>
        </w:rPr>
        <w:t>年-</w:t>
      </w:r>
      <w:r w:rsidRPr="003B31F3">
        <w:rPr>
          <w:rFonts w:ascii="仿宋" w:eastAsia="仿宋" w:hAnsi="仿宋"/>
          <w:sz w:val="12"/>
          <w:szCs w:val="12"/>
        </w:rPr>
        <w:t>2018</w:t>
      </w:r>
      <w:r w:rsidRPr="003B31F3">
        <w:rPr>
          <w:rFonts w:ascii="仿宋" w:eastAsia="仿宋" w:hAnsi="仿宋" w:hint="eastAsia"/>
          <w:sz w:val="12"/>
          <w:szCs w:val="12"/>
        </w:rPr>
        <w:t>年京津冀I</w:t>
      </w:r>
      <w:r w:rsidRPr="003B31F3">
        <w:rPr>
          <w:rFonts w:ascii="仿宋" w:eastAsia="仿宋" w:hAnsi="仿宋"/>
          <w:sz w:val="12"/>
          <w:szCs w:val="12"/>
        </w:rPr>
        <w:t>T</w:t>
      </w:r>
      <w:r w:rsidRPr="003B31F3">
        <w:rPr>
          <w:rFonts w:ascii="仿宋" w:eastAsia="仿宋" w:hAnsi="仿宋" w:hint="eastAsia"/>
          <w:sz w:val="12"/>
          <w:szCs w:val="12"/>
        </w:rPr>
        <w:t>行业薪酬同比增长率</w:t>
      </w:r>
      <w:r w:rsidR="00A8350E">
        <w:rPr>
          <w:rFonts w:ascii="仿宋" w:eastAsia="仿宋" w:hAnsi="仿宋" w:hint="eastAsia"/>
          <w:sz w:val="12"/>
          <w:szCs w:val="12"/>
        </w:rPr>
        <w:t>[</w:t>
      </w:r>
      <w:r w:rsidR="00A8350E">
        <w:rPr>
          <w:rFonts w:ascii="仿宋" w:eastAsia="仿宋" w:hAnsi="仿宋"/>
          <w:sz w:val="12"/>
          <w:szCs w:val="12"/>
        </w:rPr>
        <w:t>3]</w:t>
      </w:r>
    </w:p>
    <w:p w14:paraId="5A25DC5B" w14:textId="61B5C7CF" w:rsidR="00FA6D30" w:rsidRDefault="00A02E49" w:rsidP="002B0F47">
      <w:pPr>
        <w:spacing w:before="240"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</w:t>
      </w:r>
      <w:r w:rsidR="00FA6D30" w:rsidRPr="00FA6D30">
        <w:rPr>
          <w:rFonts w:ascii="黑体" w:eastAsia="黑体" w:hAnsi="黑体"/>
          <w:szCs w:val="21"/>
        </w:rPr>
        <w:t xml:space="preserve"> </w:t>
      </w:r>
      <w:r w:rsidR="00FA6D30" w:rsidRPr="00FA6D30">
        <w:rPr>
          <w:rFonts w:ascii="黑体" w:eastAsia="黑体" w:hAnsi="黑体" w:hint="eastAsia"/>
          <w:szCs w:val="21"/>
        </w:rPr>
        <w:t>分析结果</w:t>
      </w:r>
    </w:p>
    <w:p w14:paraId="40036DE1" w14:textId="66C7393C" w:rsidR="00FA6D30" w:rsidRPr="00B620E9" w:rsidRDefault="00A02E49" w:rsidP="002353E1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3</w:t>
      </w:r>
      <w:r w:rsidR="00FA6D30" w:rsidRPr="00B620E9">
        <w:rPr>
          <w:rFonts w:ascii="黑体" w:eastAsia="黑体" w:hAnsi="黑体"/>
          <w:sz w:val="18"/>
          <w:szCs w:val="18"/>
        </w:rPr>
        <w:t xml:space="preserve">.1 </w:t>
      </w:r>
      <w:r w:rsidR="00FA6D30" w:rsidRPr="00B620E9">
        <w:rPr>
          <w:rFonts w:ascii="黑体" w:eastAsia="黑体" w:hAnsi="黑体" w:hint="eastAsia"/>
          <w:sz w:val="18"/>
          <w:szCs w:val="18"/>
        </w:rPr>
        <w:t>京津冀一体化促进了三地I</w:t>
      </w:r>
      <w:r w:rsidR="00FA6D30" w:rsidRPr="00B620E9">
        <w:rPr>
          <w:rFonts w:ascii="黑体" w:eastAsia="黑体" w:hAnsi="黑体"/>
          <w:sz w:val="18"/>
          <w:szCs w:val="18"/>
        </w:rPr>
        <w:t>T</w:t>
      </w:r>
      <w:r w:rsidR="00FA6D30" w:rsidRPr="00B620E9">
        <w:rPr>
          <w:rFonts w:ascii="黑体" w:eastAsia="黑体" w:hAnsi="黑体" w:hint="eastAsia"/>
          <w:sz w:val="18"/>
          <w:szCs w:val="18"/>
        </w:rPr>
        <w:t>行业薪酬的稳步提升</w:t>
      </w:r>
    </w:p>
    <w:p w14:paraId="17B6DB2B" w14:textId="17DC35B3" w:rsidR="00B620E9" w:rsidRDefault="00843CE5" w:rsidP="00195DB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为了对比京津冀一体化政策前后I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</w:t>
      </w:r>
      <w:r w:rsidR="002353E1">
        <w:rPr>
          <w:rFonts w:ascii="宋体" w:eastAsia="宋体" w:hAnsi="宋体" w:hint="eastAsia"/>
          <w:sz w:val="18"/>
          <w:szCs w:val="18"/>
        </w:rPr>
        <w:t>薪酬的变化趋势，时间跨度上，本文取2</w:t>
      </w:r>
      <w:r w:rsidR="002353E1">
        <w:rPr>
          <w:rFonts w:ascii="宋体" w:eastAsia="宋体" w:hAnsi="宋体"/>
          <w:sz w:val="18"/>
          <w:szCs w:val="18"/>
        </w:rPr>
        <w:t>014</w:t>
      </w:r>
      <w:r w:rsidR="002353E1">
        <w:rPr>
          <w:rFonts w:ascii="宋体" w:eastAsia="宋体" w:hAnsi="宋体" w:hint="eastAsia"/>
          <w:sz w:val="18"/>
          <w:szCs w:val="18"/>
        </w:rPr>
        <w:t>年的前后五年，共十年，来分析京津冀一体化是否促进了I</w:t>
      </w:r>
      <w:r w:rsidR="002353E1">
        <w:rPr>
          <w:rFonts w:ascii="宋体" w:eastAsia="宋体" w:hAnsi="宋体"/>
          <w:sz w:val="18"/>
          <w:szCs w:val="18"/>
        </w:rPr>
        <w:t>T</w:t>
      </w:r>
      <w:r w:rsidR="002353E1">
        <w:rPr>
          <w:rFonts w:ascii="宋体" w:eastAsia="宋体" w:hAnsi="宋体" w:hint="eastAsia"/>
          <w:sz w:val="18"/>
          <w:szCs w:val="18"/>
        </w:rPr>
        <w:t>行业的薪酬增长。国</w:t>
      </w:r>
      <w:proofErr w:type="gramStart"/>
      <w:r w:rsidR="002353E1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="002353E1">
        <w:rPr>
          <w:rFonts w:ascii="宋体" w:eastAsia="宋体" w:hAnsi="宋体" w:hint="eastAsia"/>
          <w:sz w:val="18"/>
          <w:szCs w:val="18"/>
        </w:rPr>
        <w:t>网2</w:t>
      </w:r>
      <w:r w:rsidR="002353E1">
        <w:rPr>
          <w:rFonts w:ascii="宋体" w:eastAsia="宋体" w:hAnsi="宋体"/>
          <w:sz w:val="18"/>
          <w:szCs w:val="18"/>
        </w:rPr>
        <w:t>009</w:t>
      </w:r>
      <w:r w:rsidR="002353E1">
        <w:rPr>
          <w:rFonts w:ascii="宋体" w:eastAsia="宋体" w:hAnsi="宋体" w:hint="eastAsia"/>
          <w:sz w:val="18"/>
          <w:szCs w:val="18"/>
        </w:rPr>
        <w:t>年-</w:t>
      </w:r>
      <w:r w:rsidR="002353E1">
        <w:rPr>
          <w:rFonts w:ascii="宋体" w:eastAsia="宋体" w:hAnsi="宋体"/>
          <w:sz w:val="18"/>
          <w:szCs w:val="18"/>
        </w:rPr>
        <w:t>2014</w:t>
      </w:r>
      <w:r w:rsidR="002353E1">
        <w:rPr>
          <w:rFonts w:ascii="宋体" w:eastAsia="宋体" w:hAnsi="宋体" w:hint="eastAsia"/>
          <w:sz w:val="18"/>
          <w:szCs w:val="18"/>
        </w:rPr>
        <w:t>年的数据（见</w:t>
      </w:r>
      <w:r w:rsidR="007A0D11">
        <w:rPr>
          <w:rFonts w:ascii="宋体" w:eastAsia="宋体" w:hAnsi="宋体" w:hint="eastAsia"/>
          <w:sz w:val="18"/>
          <w:szCs w:val="18"/>
        </w:rPr>
        <w:t>图1</w:t>
      </w:r>
      <w:r w:rsidR="002353E1">
        <w:rPr>
          <w:rFonts w:ascii="宋体" w:eastAsia="宋体" w:hAnsi="宋体" w:hint="eastAsia"/>
          <w:sz w:val="18"/>
          <w:szCs w:val="18"/>
        </w:rPr>
        <w:t>）</w:t>
      </w:r>
      <w:r w:rsidR="001A64FB">
        <w:rPr>
          <w:rFonts w:ascii="宋体" w:eastAsia="宋体" w:hAnsi="宋体" w:hint="eastAsia"/>
          <w:sz w:val="18"/>
          <w:szCs w:val="18"/>
        </w:rPr>
        <w:t>显示，2</w:t>
      </w:r>
      <w:r w:rsidR="001A64FB">
        <w:rPr>
          <w:rFonts w:ascii="宋体" w:eastAsia="宋体" w:hAnsi="宋体"/>
          <w:sz w:val="18"/>
          <w:szCs w:val="18"/>
        </w:rPr>
        <w:t>014</w:t>
      </w:r>
      <w:r w:rsidR="001A64FB">
        <w:rPr>
          <w:rFonts w:ascii="宋体" w:eastAsia="宋体" w:hAnsi="宋体" w:hint="eastAsia"/>
          <w:sz w:val="18"/>
          <w:szCs w:val="18"/>
        </w:rPr>
        <w:t>年实施京津冀一体化之后，三个地区的劳动者报酬均呈稳定增长的趋势，并且，从图中可以看出，2</w:t>
      </w:r>
      <w:r w:rsidR="001A64FB">
        <w:rPr>
          <w:rFonts w:ascii="宋体" w:eastAsia="宋体" w:hAnsi="宋体"/>
          <w:sz w:val="18"/>
          <w:szCs w:val="18"/>
        </w:rPr>
        <w:t>014</w:t>
      </w:r>
      <w:r w:rsidR="001A64FB">
        <w:rPr>
          <w:rFonts w:ascii="宋体" w:eastAsia="宋体" w:hAnsi="宋体" w:hint="eastAsia"/>
          <w:sz w:val="18"/>
          <w:szCs w:val="18"/>
        </w:rPr>
        <w:t>年后劳动者报酬的增幅不断增大，尤其是北京和天津。</w:t>
      </w:r>
      <w:r w:rsidR="002D4F83">
        <w:rPr>
          <w:rFonts w:ascii="宋体" w:eastAsia="宋体" w:hAnsi="宋体" w:hint="eastAsia"/>
          <w:sz w:val="18"/>
          <w:szCs w:val="18"/>
        </w:rPr>
        <w:t>原因可能三地一体化过程中相互借鉴、互相学习，交流发展经验，不断摸索到了更适合本地发展的道路。</w:t>
      </w:r>
    </w:p>
    <w:p w14:paraId="44EA32EE" w14:textId="02D788D7" w:rsidR="007A0D11" w:rsidRDefault="00A02E49" w:rsidP="002353E1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3</w:t>
      </w:r>
      <w:r w:rsidR="00B620E9" w:rsidRPr="00B620E9">
        <w:rPr>
          <w:rFonts w:ascii="黑体" w:eastAsia="黑体" w:hAnsi="黑体"/>
          <w:sz w:val="18"/>
          <w:szCs w:val="18"/>
        </w:rPr>
        <w:t xml:space="preserve">.2 </w:t>
      </w:r>
      <w:r w:rsidR="00B620E9">
        <w:rPr>
          <w:rFonts w:ascii="黑体" w:eastAsia="黑体" w:hAnsi="黑体" w:hint="eastAsia"/>
          <w:sz w:val="18"/>
          <w:szCs w:val="18"/>
        </w:rPr>
        <w:t>北京对天津、河北I</w:t>
      </w:r>
      <w:r w:rsidR="00B620E9">
        <w:rPr>
          <w:rFonts w:ascii="黑体" w:eastAsia="黑体" w:hAnsi="黑体"/>
          <w:sz w:val="18"/>
          <w:szCs w:val="18"/>
        </w:rPr>
        <w:t>T</w:t>
      </w:r>
      <w:r w:rsidR="00B620E9">
        <w:rPr>
          <w:rFonts w:ascii="黑体" w:eastAsia="黑体" w:hAnsi="黑体" w:hint="eastAsia"/>
          <w:sz w:val="18"/>
          <w:szCs w:val="18"/>
        </w:rPr>
        <w:t>行业薪酬有带动作用</w:t>
      </w:r>
    </w:p>
    <w:p w14:paraId="32211A50" w14:textId="7604D98F" w:rsidR="002D4F83" w:rsidRDefault="007A0D11" w:rsidP="00195DB0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从</w:t>
      </w:r>
      <w:r w:rsidR="00E50B08">
        <w:rPr>
          <w:rFonts w:asciiTheme="minorEastAsia" w:hAnsiTheme="minorEastAsia" w:hint="eastAsia"/>
          <w:sz w:val="18"/>
          <w:szCs w:val="18"/>
        </w:rPr>
        <w:t>图2</w:t>
      </w:r>
      <w:r>
        <w:rPr>
          <w:rFonts w:asciiTheme="minorEastAsia" w:hAnsiTheme="minorEastAsia" w:hint="eastAsia"/>
          <w:sz w:val="18"/>
          <w:szCs w:val="18"/>
        </w:rPr>
        <w:t>可以看出，2</w:t>
      </w:r>
      <w:r>
        <w:rPr>
          <w:rFonts w:asciiTheme="minorEastAsia" w:hAnsiTheme="minorEastAsia"/>
          <w:sz w:val="18"/>
          <w:szCs w:val="18"/>
        </w:rPr>
        <w:t>014</w:t>
      </w:r>
      <w:r>
        <w:rPr>
          <w:rFonts w:asciiTheme="minorEastAsia" w:hAnsiTheme="minorEastAsia" w:hint="eastAsia"/>
          <w:sz w:val="18"/>
          <w:szCs w:val="18"/>
        </w:rPr>
        <w:t>年提出京津冀一体化之后，天津和河北I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行业薪酬</w:t>
      </w:r>
      <w:r w:rsidR="00F23A75">
        <w:rPr>
          <w:rFonts w:asciiTheme="minorEastAsia" w:hAnsiTheme="minorEastAsia" w:hint="eastAsia"/>
          <w:sz w:val="18"/>
          <w:szCs w:val="18"/>
        </w:rPr>
        <w:t>的同比增长量一直是正值，说明，两地的薪酬在不断的增加，而在相同年份北京的薪资同比增长量始终最高。从图3可以看出，京津冀一体化之后，河北和天津的薪酬同比增长率都比较高，甚至在2</w:t>
      </w:r>
      <w:r w:rsidR="00F23A75">
        <w:rPr>
          <w:rFonts w:asciiTheme="minorEastAsia" w:hAnsiTheme="minorEastAsia"/>
          <w:sz w:val="18"/>
          <w:szCs w:val="18"/>
        </w:rPr>
        <w:t>014</w:t>
      </w:r>
      <w:r w:rsidR="00F23A75">
        <w:rPr>
          <w:rFonts w:asciiTheme="minorEastAsia" w:hAnsiTheme="minorEastAsia" w:hint="eastAsia"/>
          <w:sz w:val="18"/>
          <w:szCs w:val="18"/>
        </w:rPr>
        <w:t>年、2</w:t>
      </w:r>
      <w:r w:rsidR="00F23A75">
        <w:rPr>
          <w:rFonts w:asciiTheme="minorEastAsia" w:hAnsiTheme="minorEastAsia"/>
          <w:sz w:val="18"/>
          <w:szCs w:val="18"/>
        </w:rPr>
        <w:t>015</w:t>
      </w:r>
      <w:r w:rsidR="00F23A75">
        <w:rPr>
          <w:rFonts w:asciiTheme="minorEastAsia" w:hAnsiTheme="minorEastAsia" w:hint="eastAsia"/>
          <w:sz w:val="18"/>
          <w:szCs w:val="18"/>
        </w:rPr>
        <w:t>年、2</w:t>
      </w:r>
      <w:r w:rsidR="00F23A75">
        <w:rPr>
          <w:rFonts w:asciiTheme="minorEastAsia" w:hAnsiTheme="minorEastAsia"/>
          <w:sz w:val="18"/>
          <w:szCs w:val="18"/>
        </w:rPr>
        <w:t>016</w:t>
      </w:r>
      <w:r w:rsidR="00F23A75">
        <w:rPr>
          <w:rFonts w:asciiTheme="minorEastAsia" w:hAnsiTheme="minorEastAsia" w:hint="eastAsia"/>
          <w:sz w:val="18"/>
          <w:szCs w:val="18"/>
        </w:rPr>
        <w:t>年的增长率高于北京。</w:t>
      </w:r>
      <w:r>
        <w:rPr>
          <w:rFonts w:asciiTheme="minorEastAsia" w:hAnsiTheme="minorEastAsia" w:hint="eastAsia"/>
          <w:sz w:val="18"/>
          <w:szCs w:val="18"/>
        </w:rPr>
        <w:t>这说明，首都对周边地区有经济上的带动作用，在一体化的进程中，北京对天津、河北I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行业薪酬有很大的带动作用。</w:t>
      </w:r>
      <w:r w:rsidR="002D4F83">
        <w:rPr>
          <w:rFonts w:asciiTheme="minorEastAsia" w:hAnsiTheme="minorEastAsia" w:hint="eastAsia"/>
          <w:sz w:val="18"/>
          <w:szCs w:val="18"/>
        </w:rPr>
        <w:t>原因可能是</w:t>
      </w:r>
      <w:r w:rsidR="005065B2">
        <w:rPr>
          <w:rFonts w:asciiTheme="minorEastAsia" w:hAnsiTheme="minorEastAsia" w:hint="eastAsia"/>
          <w:sz w:val="18"/>
          <w:szCs w:val="18"/>
        </w:rPr>
        <w:t>北京发挥了首都职能，在一体化的过程中不仅注重相互学习，更注重协调带动相对贫困的其他地区。</w:t>
      </w:r>
    </w:p>
    <w:p w14:paraId="297720A5" w14:textId="51273AAF" w:rsidR="005065B2" w:rsidRPr="005065B2" w:rsidRDefault="005065B2" w:rsidP="005065B2">
      <w:pPr>
        <w:rPr>
          <w:rFonts w:ascii="黑体" w:eastAsia="黑体" w:hAnsi="黑体"/>
          <w:sz w:val="18"/>
          <w:szCs w:val="18"/>
        </w:rPr>
      </w:pPr>
      <w:r w:rsidRPr="005065B2">
        <w:rPr>
          <w:rFonts w:ascii="黑体" w:eastAsia="黑体" w:hAnsi="黑体" w:hint="eastAsia"/>
          <w:sz w:val="18"/>
          <w:szCs w:val="18"/>
        </w:rPr>
        <w:t>3</w:t>
      </w:r>
      <w:r w:rsidRPr="005065B2">
        <w:rPr>
          <w:rFonts w:ascii="黑体" w:eastAsia="黑体" w:hAnsi="黑体"/>
          <w:sz w:val="18"/>
          <w:szCs w:val="18"/>
        </w:rPr>
        <w:t>.3</w:t>
      </w:r>
      <w:r w:rsidRPr="005065B2">
        <w:rPr>
          <w:rFonts w:ascii="黑体" w:eastAsia="黑体" w:hAnsi="黑体" w:hint="eastAsia"/>
          <w:sz w:val="18"/>
          <w:szCs w:val="18"/>
        </w:rPr>
        <w:t>河北I</w:t>
      </w:r>
      <w:r w:rsidRPr="005065B2">
        <w:rPr>
          <w:rFonts w:ascii="黑体" w:eastAsia="黑体" w:hAnsi="黑体"/>
          <w:sz w:val="18"/>
          <w:szCs w:val="18"/>
        </w:rPr>
        <w:t>T</w:t>
      </w:r>
      <w:r w:rsidRPr="005065B2">
        <w:rPr>
          <w:rFonts w:ascii="黑体" w:eastAsia="黑体" w:hAnsi="黑体" w:hint="eastAsia"/>
          <w:sz w:val="18"/>
          <w:szCs w:val="18"/>
        </w:rPr>
        <w:t>行业薪酬水平一直较低</w:t>
      </w:r>
    </w:p>
    <w:p w14:paraId="4F328682" w14:textId="24D23967" w:rsidR="003B31F3" w:rsidRPr="00E5765C" w:rsidRDefault="00751496" w:rsidP="00195DB0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751496">
        <w:rPr>
          <w:rFonts w:asciiTheme="minorEastAsia" w:hAnsiTheme="minorEastAsia" w:hint="eastAsia"/>
          <w:sz w:val="18"/>
          <w:szCs w:val="18"/>
        </w:rPr>
        <w:t>在表1中，对比北京、天津、河北的劳动者报酬，可以发现，</w:t>
      </w:r>
      <w:r w:rsidRPr="00751496">
        <w:rPr>
          <w:rFonts w:asciiTheme="minorEastAsia" w:hAnsiTheme="minorEastAsia" w:hint="eastAsia"/>
          <w:sz w:val="18"/>
          <w:szCs w:val="18"/>
        </w:rPr>
        <w:t>10年来，河北的IT行业薪酬水平一直低于北京和天津，并且，2014年，河北和其他两地的劳动者薪酬差距最大，之后差距逐渐拉低，尤其是2014年实施一体化之后，经济差距不断减小。可以看到，2017年河北劳动者报酬达到最高 ，和当年的天津劳动者报酬相差最小。这说明一体化进程中河北IT行业薪酬在不断提高，但是由于河北长久以来经济实力低于北京和天津，科技和经济发展都相对落后，所以，仅凭五年的时间难以赶超北京和天津这两个发展迅速的地区。因此，河北地区IT行业的薪酬水平在很长一段时间内仍将是京津冀地区的受关注对象。</w:t>
      </w:r>
      <w:r w:rsidR="003B31F3">
        <w:rPr>
          <w:rFonts w:ascii="仿宋" w:eastAsia="仿宋" w:hAnsi="仿宋"/>
          <w:sz w:val="12"/>
          <w:szCs w:val="12"/>
        </w:rPr>
        <w:t xml:space="preserve">                            </w:t>
      </w:r>
    </w:p>
    <w:p w14:paraId="53B9119F" w14:textId="39DAA049" w:rsidR="006B32FB" w:rsidRDefault="0004498D" w:rsidP="002B0F47">
      <w:pPr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结论</w:t>
      </w:r>
    </w:p>
    <w:p w14:paraId="13204D2F" w14:textId="7E332290" w:rsidR="00AF2E97" w:rsidRDefault="0004498D" w:rsidP="00195DB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本文利用国</w:t>
      </w:r>
      <w:proofErr w:type="gramStart"/>
      <w:r>
        <w:rPr>
          <w:rFonts w:ascii="宋体" w:eastAsia="宋体" w:hAnsi="宋体" w:hint="eastAsia"/>
          <w:sz w:val="18"/>
          <w:szCs w:val="18"/>
        </w:rPr>
        <w:t>研</w:t>
      </w:r>
      <w:proofErr w:type="gramEnd"/>
      <w:r>
        <w:rPr>
          <w:rFonts w:ascii="宋体" w:eastAsia="宋体" w:hAnsi="宋体" w:hint="eastAsia"/>
          <w:sz w:val="18"/>
          <w:szCs w:val="18"/>
        </w:rPr>
        <w:t>网的数据，分析京津冀一体化对I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行业薪酬变化的影响。通过薪酬的变化趋势、同比增长量和增长率等数据，分析得出，京津冀一体化对三个地区的I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行业薪酬增长都有促进的作用，另外，通过折线图，还分析出，北京对天津、河北的I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行业薪酬有带动作用。同时，着重分析了经济实力较弱的河北地区，发现，在2</w:t>
      </w:r>
      <w:r>
        <w:rPr>
          <w:rFonts w:ascii="宋体" w:eastAsia="宋体" w:hAnsi="宋体"/>
          <w:sz w:val="18"/>
          <w:szCs w:val="18"/>
        </w:rPr>
        <w:t>014</w:t>
      </w:r>
      <w:r>
        <w:rPr>
          <w:rFonts w:ascii="宋体" w:eastAsia="宋体" w:hAnsi="宋体" w:hint="eastAsia"/>
          <w:sz w:val="18"/>
          <w:szCs w:val="18"/>
        </w:rPr>
        <w:t>年实施一体化之后，河北的I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</w:t>
      </w:r>
      <w:r w:rsidR="00602978">
        <w:rPr>
          <w:rFonts w:ascii="宋体" w:eastAsia="宋体" w:hAnsi="宋体" w:hint="eastAsia"/>
          <w:sz w:val="18"/>
          <w:szCs w:val="18"/>
        </w:rPr>
        <w:t>有了明显的增幅和增量，但是由于长久以来发展相对落后，河北的薪酬水平虽然不断接近天津的薪酬水平，</w:t>
      </w:r>
      <w:proofErr w:type="gramStart"/>
      <w:r w:rsidR="00602978">
        <w:rPr>
          <w:rFonts w:ascii="宋体" w:eastAsia="宋体" w:hAnsi="宋体" w:hint="eastAsia"/>
          <w:sz w:val="18"/>
          <w:szCs w:val="18"/>
        </w:rPr>
        <w:t>当仍然</w:t>
      </w:r>
      <w:proofErr w:type="gramEnd"/>
      <w:r w:rsidR="00602978">
        <w:rPr>
          <w:rFonts w:ascii="宋体" w:eastAsia="宋体" w:hAnsi="宋体" w:hint="eastAsia"/>
          <w:sz w:val="18"/>
          <w:szCs w:val="18"/>
        </w:rPr>
        <w:t>一直处于三个地区的最低水平。通过此次的分析，我们认为，在未来京津冀的发展过程中，北京需要更充分的发挥首都作用，进一步带动北京I</w:t>
      </w:r>
      <w:r w:rsidR="00602978">
        <w:rPr>
          <w:rFonts w:ascii="宋体" w:eastAsia="宋体" w:hAnsi="宋体"/>
          <w:sz w:val="18"/>
          <w:szCs w:val="18"/>
        </w:rPr>
        <w:t>T</w:t>
      </w:r>
      <w:r w:rsidR="00602978">
        <w:rPr>
          <w:rFonts w:ascii="宋体" w:eastAsia="宋体" w:hAnsi="宋体" w:hint="eastAsia"/>
          <w:sz w:val="18"/>
          <w:szCs w:val="18"/>
        </w:rPr>
        <w:t>行业薪酬增长，同时，河北地区的I</w:t>
      </w:r>
      <w:r w:rsidR="00602978">
        <w:rPr>
          <w:rFonts w:ascii="宋体" w:eastAsia="宋体" w:hAnsi="宋体"/>
          <w:sz w:val="18"/>
          <w:szCs w:val="18"/>
        </w:rPr>
        <w:t>T</w:t>
      </w:r>
      <w:r w:rsidR="00602978">
        <w:rPr>
          <w:rFonts w:ascii="宋体" w:eastAsia="宋体" w:hAnsi="宋体" w:hint="eastAsia"/>
          <w:sz w:val="18"/>
          <w:szCs w:val="18"/>
        </w:rPr>
        <w:t>行业薪酬变化应该受到更</w:t>
      </w:r>
      <w:r w:rsidR="00F23A75">
        <w:rPr>
          <w:rFonts w:ascii="宋体" w:eastAsia="宋体" w:hAnsi="宋体" w:hint="eastAsia"/>
          <w:sz w:val="18"/>
          <w:szCs w:val="18"/>
        </w:rPr>
        <w:t>充分</w:t>
      </w:r>
      <w:r w:rsidR="00602978">
        <w:rPr>
          <w:rFonts w:ascii="宋体" w:eastAsia="宋体" w:hAnsi="宋体" w:hint="eastAsia"/>
          <w:sz w:val="18"/>
          <w:szCs w:val="18"/>
        </w:rPr>
        <w:t>的关注</w:t>
      </w:r>
      <w:r w:rsidR="00AF2E97">
        <w:rPr>
          <w:rFonts w:ascii="宋体" w:eastAsia="宋体" w:hAnsi="宋体" w:hint="eastAsia"/>
          <w:sz w:val="18"/>
          <w:szCs w:val="18"/>
        </w:rPr>
        <w:t>。</w:t>
      </w:r>
    </w:p>
    <w:p w14:paraId="6069BFC0" w14:textId="77777777" w:rsidR="003B31F3" w:rsidRDefault="003B31F3" w:rsidP="006B32FB">
      <w:pPr>
        <w:rPr>
          <w:rFonts w:ascii="宋体" w:eastAsia="宋体" w:hAnsi="宋体"/>
          <w:sz w:val="18"/>
          <w:szCs w:val="18"/>
        </w:rPr>
      </w:pPr>
    </w:p>
    <w:p w14:paraId="7E15304B" w14:textId="593DB0CE" w:rsidR="00AF2E97" w:rsidRDefault="00AF2E97" w:rsidP="006B32FB">
      <w:pPr>
        <w:rPr>
          <w:rFonts w:ascii="宋体" w:eastAsia="宋体" w:hAnsi="宋体"/>
          <w:b/>
          <w:bCs/>
          <w:sz w:val="18"/>
          <w:szCs w:val="18"/>
        </w:rPr>
      </w:pPr>
      <w:r w:rsidRPr="00AF2E97"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4213E6EE" w14:textId="57507A05" w:rsidR="005065B2" w:rsidRDefault="00782F0C" w:rsidP="006B32FB">
      <w:pPr>
        <w:rPr>
          <w:rFonts w:ascii="宋体" w:eastAsia="宋体" w:hAnsi="宋体"/>
          <w:sz w:val="18"/>
          <w:szCs w:val="18"/>
        </w:rPr>
      </w:pPr>
      <w:r w:rsidRPr="00782F0C">
        <w:rPr>
          <w:rFonts w:ascii="宋体" w:eastAsia="宋体" w:hAnsi="宋体" w:hint="eastAsia"/>
          <w:sz w:val="18"/>
          <w:szCs w:val="18"/>
        </w:rPr>
        <w:t>[1]孙久文, 李</w:t>
      </w:r>
      <w:proofErr w:type="gramStart"/>
      <w:r w:rsidRPr="00782F0C">
        <w:rPr>
          <w:rFonts w:ascii="宋体" w:eastAsia="宋体" w:hAnsi="宋体" w:hint="eastAsia"/>
          <w:sz w:val="18"/>
          <w:szCs w:val="18"/>
        </w:rPr>
        <w:t>坚</w:t>
      </w:r>
      <w:proofErr w:type="gramEnd"/>
      <w:r w:rsidRPr="00782F0C">
        <w:rPr>
          <w:rFonts w:ascii="宋体" w:eastAsia="宋体" w:hAnsi="宋体" w:hint="eastAsia"/>
          <w:sz w:val="18"/>
          <w:szCs w:val="18"/>
        </w:rPr>
        <w:t>未. 京津冀协同发展的影响因素与未来展望. 河北学刊.</w:t>
      </w:r>
    </w:p>
    <w:p w14:paraId="668ED756" w14:textId="77777777" w:rsidR="005C583D" w:rsidRDefault="00195DB0" w:rsidP="006B32FB">
      <w:pPr>
        <w:rPr>
          <w:rFonts w:ascii="宋体" w:eastAsia="宋体" w:hAnsi="宋体"/>
          <w:sz w:val="18"/>
          <w:szCs w:val="18"/>
        </w:rPr>
      </w:pPr>
      <w:r w:rsidRPr="00195DB0"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</w:t>
      </w:r>
      <w:r w:rsidRPr="00195DB0">
        <w:rPr>
          <w:rFonts w:ascii="宋体" w:eastAsia="宋体" w:hAnsi="宋体" w:hint="eastAsia"/>
          <w:sz w:val="18"/>
          <w:szCs w:val="18"/>
        </w:rPr>
        <w:t>]武义青, 田学斌, 张云. 京津冀协同发展三年回顾与展望[J]. 经济与管理, 2017(2).</w:t>
      </w:r>
    </w:p>
    <w:p w14:paraId="079C2DE0" w14:textId="4F2AA033" w:rsidR="00195DB0" w:rsidRDefault="00195DB0" w:rsidP="006B32FB">
      <w:pPr>
        <w:rPr>
          <w:rFonts w:ascii="宋体" w:eastAsia="宋体" w:hAnsi="宋体"/>
          <w:sz w:val="18"/>
          <w:szCs w:val="18"/>
        </w:rPr>
      </w:pPr>
      <w:r w:rsidRPr="00195DB0">
        <w:rPr>
          <w:rFonts w:ascii="宋体" w:eastAsia="宋体" w:hAnsi="宋体" w:hint="eastAsia"/>
          <w:sz w:val="18"/>
          <w:szCs w:val="18"/>
        </w:rPr>
        <w:t>[3]国</w:t>
      </w:r>
      <w:proofErr w:type="gramStart"/>
      <w:r w:rsidRPr="00195DB0">
        <w:rPr>
          <w:rFonts w:ascii="宋体" w:eastAsia="宋体" w:hAnsi="宋体" w:hint="eastAsia"/>
          <w:sz w:val="18"/>
          <w:szCs w:val="18"/>
        </w:rPr>
        <w:t>研</w:t>
      </w:r>
      <w:proofErr w:type="gramEnd"/>
      <w:r w:rsidRPr="00195DB0">
        <w:rPr>
          <w:rFonts w:ascii="宋体" w:eastAsia="宋体" w:hAnsi="宋体" w:hint="eastAsia"/>
          <w:sz w:val="18"/>
          <w:szCs w:val="18"/>
        </w:rPr>
        <w:t>网</w:t>
      </w:r>
      <w:r>
        <w:rPr>
          <w:rFonts w:ascii="宋体" w:eastAsia="宋体" w:hAnsi="宋体" w:hint="eastAsia"/>
          <w:sz w:val="18"/>
          <w:szCs w:val="18"/>
        </w:rPr>
        <w:t>.</w:t>
      </w:r>
      <w:r w:rsidRPr="00195DB0">
        <w:rPr>
          <w:rFonts w:ascii="宋体" w:eastAsia="宋体" w:hAnsi="宋体" w:hint="eastAsia"/>
          <w:sz w:val="18"/>
          <w:szCs w:val="18"/>
        </w:rPr>
        <w:t>信息产业年度数据统计[DB/OL]</w:t>
      </w:r>
      <w:r>
        <w:rPr>
          <w:rFonts w:ascii="宋体" w:eastAsia="宋体" w:hAnsi="宋体" w:hint="eastAsia"/>
          <w:sz w:val="18"/>
          <w:szCs w:val="18"/>
        </w:rPr>
        <w:t>.</w:t>
      </w:r>
      <w:r w:rsidRPr="00195DB0">
        <w:rPr>
          <w:rFonts w:ascii="宋体" w:eastAsia="宋体" w:hAnsi="宋体" w:hint="eastAsia"/>
          <w:sz w:val="18"/>
          <w:szCs w:val="18"/>
        </w:rPr>
        <w:t>http://data.drcnet.com.cn/dataTable?id=72&amp;structureId=617</w:t>
      </w:r>
      <w:r>
        <w:rPr>
          <w:rFonts w:ascii="宋体" w:eastAsia="宋体" w:hAnsi="宋体"/>
          <w:sz w:val="18"/>
          <w:szCs w:val="18"/>
        </w:rPr>
        <w:t>.</w:t>
      </w:r>
    </w:p>
    <w:p w14:paraId="57EE93A8" w14:textId="56FECA1A" w:rsidR="00195DB0" w:rsidRDefault="00195DB0" w:rsidP="006B32FB">
      <w:pPr>
        <w:rPr>
          <w:rFonts w:ascii="宋体" w:eastAsia="宋体" w:hAnsi="宋体" w:hint="eastAsia"/>
          <w:b/>
          <w:bCs/>
          <w:sz w:val="18"/>
          <w:szCs w:val="18"/>
        </w:rPr>
        <w:sectPr w:rsidR="00195DB0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921F2E9" w14:textId="77777777" w:rsidR="005065B2" w:rsidRDefault="005065B2" w:rsidP="006B32FB">
      <w:pPr>
        <w:rPr>
          <w:rFonts w:ascii="宋体" w:eastAsia="宋体" w:hAnsi="宋体"/>
          <w:sz w:val="18"/>
          <w:szCs w:val="18"/>
        </w:rPr>
        <w:sectPr w:rsidR="005065B2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6B7B620" w14:textId="0DEAA330" w:rsidR="00AF2E97" w:rsidRPr="005065B2" w:rsidRDefault="00AF2E97" w:rsidP="006B32FB">
      <w:pPr>
        <w:rPr>
          <w:rFonts w:ascii="宋体" w:eastAsia="宋体" w:hAnsi="宋体"/>
          <w:b/>
          <w:bCs/>
          <w:sz w:val="18"/>
          <w:szCs w:val="18"/>
        </w:rPr>
        <w:sectPr w:rsidR="00AF2E97" w:rsidRPr="005065B2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EECE64B" w14:textId="2FEFBB88" w:rsidR="003949F0" w:rsidRPr="00195DB0" w:rsidRDefault="003949F0" w:rsidP="002353E1">
      <w:pPr>
        <w:rPr>
          <w:rFonts w:asciiTheme="minorEastAsia" w:hAnsiTheme="minorEastAsia"/>
          <w:sz w:val="18"/>
          <w:szCs w:val="18"/>
        </w:rPr>
        <w:sectPr w:rsidR="003949F0" w:rsidRPr="00195DB0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3936D1F" w14:textId="7C85FA63" w:rsidR="007A0D11" w:rsidRDefault="007A0D11" w:rsidP="002353E1">
      <w:pPr>
        <w:rPr>
          <w:rFonts w:ascii="宋体" w:eastAsia="宋体" w:hAnsi="宋体"/>
          <w:sz w:val="18"/>
          <w:szCs w:val="18"/>
        </w:rPr>
        <w:sectPr w:rsidR="007A0D11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C7D70AB" w14:textId="77777777" w:rsidR="007A0D11" w:rsidRDefault="007A0D11" w:rsidP="007A0D11">
      <w:pPr>
        <w:widowControl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  <w:sectPr w:rsidR="007A0D11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5F9E8C9F" w14:textId="77777777" w:rsidR="00B620E9" w:rsidRDefault="00B620E9" w:rsidP="00B620E9">
      <w:pPr>
        <w:widowControl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  <w:sectPr w:rsidR="00B620E9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62995F4" w14:textId="77777777" w:rsidR="00B620E9" w:rsidRDefault="00B620E9" w:rsidP="003F2958">
      <w:pPr>
        <w:widowControl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  <w:sectPr w:rsidR="00B620E9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5A66A39A" w14:textId="77777777" w:rsidR="003F2958" w:rsidRDefault="003F2958" w:rsidP="003F2958">
      <w:pPr>
        <w:rPr>
          <w:rFonts w:ascii="仿宋" w:eastAsia="仿宋" w:hAnsi="仿宋"/>
          <w:sz w:val="13"/>
          <w:szCs w:val="13"/>
        </w:rPr>
        <w:sectPr w:rsidR="003F2958" w:rsidSect="00A8350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A8EB9B5" w14:textId="238619F5" w:rsidR="00D466FA" w:rsidRPr="00D466FA" w:rsidRDefault="00D466FA" w:rsidP="00D466FA">
      <w:pPr>
        <w:tabs>
          <w:tab w:val="left" w:pos="1483"/>
        </w:tabs>
        <w:rPr>
          <w:rFonts w:ascii="仿宋" w:eastAsia="仿宋" w:hAnsi="仿宋"/>
          <w:sz w:val="12"/>
          <w:szCs w:val="12"/>
        </w:rPr>
      </w:pPr>
    </w:p>
    <w:sectPr w:rsidR="00D466FA" w:rsidRPr="00D466FA" w:rsidSect="00A8350E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B186" w14:textId="77777777" w:rsidR="00413C20" w:rsidRDefault="00413C20" w:rsidP="00AC71A8">
      <w:r>
        <w:separator/>
      </w:r>
    </w:p>
  </w:endnote>
  <w:endnote w:type="continuationSeparator" w:id="0">
    <w:p w14:paraId="75050FE4" w14:textId="77777777" w:rsidR="00413C20" w:rsidRDefault="00413C20" w:rsidP="00AC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CD49D" w14:textId="77777777" w:rsidR="00413C20" w:rsidRDefault="00413C20" w:rsidP="00AC71A8">
      <w:r>
        <w:separator/>
      </w:r>
    </w:p>
  </w:footnote>
  <w:footnote w:type="continuationSeparator" w:id="0">
    <w:p w14:paraId="22A622D1" w14:textId="77777777" w:rsidR="00413C20" w:rsidRDefault="00413C20" w:rsidP="00AC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B19D8" w14:textId="77777777" w:rsidR="006B32FB" w:rsidRDefault="006B32FB" w:rsidP="00345C0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6E8FC" w14:textId="77777777" w:rsidR="006B32FB" w:rsidRDefault="006B32FB" w:rsidP="00345C0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5BE"/>
    <w:rsid w:val="0004498D"/>
    <w:rsid w:val="00057DF0"/>
    <w:rsid w:val="00094720"/>
    <w:rsid w:val="000D6D76"/>
    <w:rsid w:val="00136495"/>
    <w:rsid w:val="00195DB0"/>
    <w:rsid w:val="001A64FB"/>
    <w:rsid w:val="001E4DE6"/>
    <w:rsid w:val="002353E1"/>
    <w:rsid w:val="002523A4"/>
    <w:rsid w:val="002B0F47"/>
    <w:rsid w:val="002B7773"/>
    <w:rsid w:val="002D4F83"/>
    <w:rsid w:val="00345C06"/>
    <w:rsid w:val="00364E98"/>
    <w:rsid w:val="0036727D"/>
    <w:rsid w:val="003949F0"/>
    <w:rsid w:val="003B31F3"/>
    <w:rsid w:val="003F2958"/>
    <w:rsid w:val="00413C20"/>
    <w:rsid w:val="00434F29"/>
    <w:rsid w:val="00471427"/>
    <w:rsid w:val="004C512A"/>
    <w:rsid w:val="005065B2"/>
    <w:rsid w:val="0057597B"/>
    <w:rsid w:val="005C583D"/>
    <w:rsid w:val="00602978"/>
    <w:rsid w:val="0061237E"/>
    <w:rsid w:val="00694DB1"/>
    <w:rsid w:val="006B32FB"/>
    <w:rsid w:val="0072682D"/>
    <w:rsid w:val="00751496"/>
    <w:rsid w:val="00782F0C"/>
    <w:rsid w:val="007A0D11"/>
    <w:rsid w:val="007E1C94"/>
    <w:rsid w:val="00843CE5"/>
    <w:rsid w:val="008A4A2B"/>
    <w:rsid w:val="008C24FA"/>
    <w:rsid w:val="00A005DB"/>
    <w:rsid w:val="00A02E49"/>
    <w:rsid w:val="00A11D23"/>
    <w:rsid w:val="00A13A02"/>
    <w:rsid w:val="00A41C76"/>
    <w:rsid w:val="00A70CC7"/>
    <w:rsid w:val="00A76700"/>
    <w:rsid w:val="00A8350E"/>
    <w:rsid w:val="00A922D6"/>
    <w:rsid w:val="00A929CB"/>
    <w:rsid w:val="00AC71A8"/>
    <w:rsid w:val="00AF2E97"/>
    <w:rsid w:val="00B12FDD"/>
    <w:rsid w:val="00B620E9"/>
    <w:rsid w:val="00BA4E7A"/>
    <w:rsid w:val="00BF005C"/>
    <w:rsid w:val="00C17ED0"/>
    <w:rsid w:val="00C52C5E"/>
    <w:rsid w:val="00C62131"/>
    <w:rsid w:val="00CA35BE"/>
    <w:rsid w:val="00CE7220"/>
    <w:rsid w:val="00D10F18"/>
    <w:rsid w:val="00D223B2"/>
    <w:rsid w:val="00D466FA"/>
    <w:rsid w:val="00D77C38"/>
    <w:rsid w:val="00DB4F62"/>
    <w:rsid w:val="00E117F7"/>
    <w:rsid w:val="00E22B17"/>
    <w:rsid w:val="00E23679"/>
    <w:rsid w:val="00E3313A"/>
    <w:rsid w:val="00E50B08"/>
    <w:rsid w:val="00E5765C"/>
    <w:rsid w:val="00EA35D2"/>
    <w:rsid w:val="00F23A75"/>
    <w:rsid w:val="00F83FDA"/>
    <w:rsid w:val="00F95FCC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58D8"/>
  <w15:chartTrackingRefBased/>
  <w15:docId w15:val="{D2F6E4FF-5283-4A00-B9FB-906AD8A1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1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1A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7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22269;&#30740;&#25968;&#25454;_&#20449;&#24687;&#20135;&#19994;_202146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22269;&#30740;&#25968;&#25454;_&#20449;&#24687;&#20135;&#19994;_202146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22269;&#30740;&#25968;&#25454;_&#20449;&#24687;&#20135;&#19994;_202146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2009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年</a:t>
            </a: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-2018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年京津冀</a:t>
            </a: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IT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行业薪酬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总计(万元)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14198259</c:v>
                </c:pt>
                <c:pt idx="1">
                  <c:v>20863262</c:v>
                </c:pt>
                <c:pt idx="2">
                  <c:v>28523736</c:v>
                </c:pt>
                <c:pt idx="3">
                  <c:v>37492846</c:v>
                </c:pt>
                <c:pt idx="4">
                  <c:v>47060921</c:v>
                </c:pt>
                <c:pt idx="5">
                  <c:v>57531358</c:v>
                </c:pt>
                <c:pt idx="6">
                  <c:v>59396494</c:v>
                </c:pt>
                <c:pt idx="7">
                  <c:v>69158814</c:v>
                </c:pt>
                <c:pt idx="8">
                  <c:v>84011570</c:v>
                </c:pt>
                <c:pt idx="9">
                  <c:v>94779838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7-493F-A9F1-51722A6279B6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北京(万元)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1948201</c:v>
                </c:pt>
                <c:pt idx="1">
                  <c:v>3679526</c:v>
                </c:pt>
                <c:pt idx="2">
                  <c:v>7160336</c:v>
                </c:pt>
                <c:pt idx="3">
                  <c:v>7954045</c:v>
                </c:pt>
                <c:pt idx="4">
                  <c:v>9338693</c:v>
                </c:pt>
                <c:pt idx="5">
                  <c:v>11093203</c:v>
                </c:pt>
                <c:pt idx="6">
                  <c:v>12827484</c:v>
                </c:pt>
                <c:pt idx="7" formatCode="@">
                  <c:v>0</c:v>
                </c:pt>
                <c:pt idx="8">
                  <c:v>17653228</c:v>
                </c:pt>
                <c:pt idx="9">
                  <c:v>22144632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7-493F-A9F1-51722A6279B6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天津(万元)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111312</c:v>
                </c:pt>
                <c:pt idx="1">
                  <c:v>170954</c:v>
                </c:pt>
                <c:pt idx="2">
                  <c:v>320840</c:v>
                </c:pt>
                <c:pt idx="3">
                  <c:v>560553</c:v>
                </c:pt>
                <c:pt idx="4">
                  <c:v>610539</c:v>
                </c:pt>
                <c:pt idx="5">
                  <c:v>860396</c:v>
                </c:pt>
                <c:pt idx="6">
                  <c:v>884792</c:v>
                </c:pt>
                <c:pt idx="7" formatCode="@">
                  <c:v>0</c:v>
                </c:pt>
                <c:pt idx="8">
                  <c:v>894893</c:v>
                </c:pt>
                <c:pt idx="9">
                  <c:v>1287335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57-493F-A9F1-51722A6279B6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河北(万元)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60376</c:v>
                </c:pt>
                <c:pt idx="1">
                  <c:v>134338</c:v>
                </c:pt>
                <c:pt idx="2">
                  <c:v>174196</c:v>
                </c:pt>
                <c:pt idx="3">
                  <c:v>222977</c:v>
                </c:pt>
                <c:pt idx="4">
                  <c:v>290124</c:v>
                </c:pt>
                <c:pt idx="5">
                  <c:v>436365</c:v>
                </c:pt>
                <c:pt idx="6">
                  <c:v>557390</c:v>
                </c:pt>
                <c:pt idx="7" formatCode="@">
                  <c:v>0</c:v>
                </c:pt>
                <c:pt idx="8">
                  <c:v>795203</c:v>
                </c:pt>
                <c:pt idx="9">
                  <c:v>620562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57-493F-A9F1-51722A627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9578952"/>
        <c:axId val="689579280"/>
      </c:lineChart>
      <c:catAx>
        <c:axId val="689578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689579280"/>
        <c:crosses val="autoZero"/>
        <c:auto val="1"/>
        <c:lblAlgn val="ctr"/>
        <c:lblOffset val="100"/>
        <c:noMultiLvlLbl val="0"/>
      </c:catAx>
      <c:valAx>
        <c:axId val="689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68957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仿宋" panose="02010609060101010101" pitchFamily="49" charset="-122"/>
              <a:ea typeface="仿宋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2009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年</a:t>
            </a: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-2018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年京津冀</a:t>
            </a:r>
            <a:r>
              <a:rPr lang="en-US" altLang="zh-CN" sz="600">
                <a:latin typeface="仿宋" panose="02010609060101010101" pitchFamily="49" charset="-122"/>
                <a:ea typeface="仿宋" panose="02010609060101010101" pitchFamily="49" charset="-122"/>
              </a:rPr>
              <a:t>IT</a:t>
            </a:r>
            <a:r>
              <a:rPr lang="zh-CN" altLang="en-US" sz="600">
                <a:latin typeface="仿宋" panose="02010609060101010101" pitchFamily="49" charset="-122"/>
                <a:ea typeface="仿宋" panose="02010609060101010101" pitchFamily="49" charset="-122"/>
              </a:rPr>
              <a:t>行业薪酬同比增长量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仿宋" panose="02010609060101010101" pitchFamily="49" charset="-122"/>
              <a:ea typeface="仿宋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北京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0</c:v>
                </c:pt>
                <c:pt idx="1">
                  <c:v>1731325</c:v>
                </c:pt>
                <c:pt idx="2">
                  <c:v>3480810</c:v>
                </c:pt>
                <c:pt idx="3">
                  <c:v>793709</c:v>
                </c:pt>
                <c:pt idx="4">
                  <c:v>1384648</c:v>
                </c:pt>
                <c:pt idx="5">
                  <c:v>1754510</c:v>
                </c:pt>
                <c:pt idx="6">
                  <c:v>1734281</c:v>
                </c:pt>
                <c:pt idx="7">
                  <c:v>0</c:v>
                </c:pt>
                <c:pt idx="8">
                  <c:v>0</c:v>
                </c:pt>
                <c:pt idx="9">
                  <c:v>4491404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58-4C24-BB49-C99A248F5301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天津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0</c:v>
                </c:pt>
                <c:pt idx="1">
                  <c:v>59642</c:v>
                </c:pt>
                <c:pt idx="2">
                  <c:v>149886</c:v>
                </c:pt>
                <c:pt idx="3">
                  <c:v>239713</c:v>
                </c:pt>
                <c:pt idx="4">
                  <c:v>49986</c:v>
                </c:pt>
                <c:pt idx="5">
                  <c:v>249857</c:v>
                </c:pt>
                <c:pt idx="6">
                  <c:v>24396</c:v>
                </c:pt>
                <c:pt idx="7">
                  <c:v>0</c:v>
                </c:pt>
                <c:pt idx="8">
                  <c:v>0</c:v>
                </c:pt>
                <c:pt idx="9">
                  <c:v>392442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58-4C24-BB49-C99A248F5301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河北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0</c:v>
                </c:pt>
                <c:pt idx="1">
                  <c:v>73962</c:v>
                </c:pt>
                <c:pt idx="2">
                  <c:v>39858</c:v>
                </c:pt>
                <c:pt idx="3">
                  <c:v>48781</c:v>
                </c:pt>
                <c:pt idx="4">
                  <c:v>67147</c:v>
                </c:pt>
                <c:pt idx="5">
                  <c:v>146241</c:v>
                </c:pt>
                <c:pt idx="6">
                  <c:v>121025</c:v>
                </c:pt>
                <c:pt idx="7">
                  <c:v>0</c:v>
                </c:pt>
                <c:pt idx="8">
                  <c:v>0</c:v>
                </c:pt>
                <c:pt idx="9">
                  <c:v>-174641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58-4C24-BB49-C99A248F5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777008"/>
        <c:axId val="798777664"/>
      </c:lineChart>
      <c:catAx>
        <c:axId val="79877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798777664"/>
        <c:crosses val="autoZero"/>
        <c:auto val="1"/>
        <c:lblAlgn val="ctr"/>
        <c:lblOffset val="100"/>
        <c:noMultiLvlLbl val="0"/>
      </c:catAx>
      <c:valAx>
        <c:axId val="79877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79877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仿宋" panose="02010609060101010101" pitchFamily="49" charset="-122"/>
              <a:ea typeface="仿宋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2009</a:t>
            </a:r>
            <a:r>
              <a:rPr lang="zh-CN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年</a:t>
            </a:r>
            <a:r>
              <a:rPr lang="en-US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-2018</a:t>
            </a:r>
            <a:r>
              <a:rPr lang="zh-CN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年京津冀</a:t>
            </a:r>
            <a:r>
              <a:rPr lang="en-US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IT</a:t>
            </a:r>
            <a:r>
              <a:rPr lang="zh-CN" altLang="zh-CN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行业薪酬同比增长</a:t>
            </a:r>
            <a:r>
              <a:rPr lang="zh-CN" altLang="en-US" sz="600" b="0" i="0" baseline="0">
                <a:effectLst/>
                <a:latin typeface="仿宋" panose="02010609060101010101" pitchFamily="49" charset="-122"/>
                <a:ea typeface="仿宋" panose="02010609060101010101" pitchFamily="49" charset="-122"/>
              </a:rPr>
              <a:t>率</a:t>
            </a:r>
            <a:endParaRPr lang="zh-CN" altLang="zh-CN" sz="600">
              <a:effectLst/>
              <a:latin typeface="仿宋" panose="02010609060101010101" pitchFamily="49" charset="-122"/>
              <a:ea typeface="仿宋" panose="02010609060101010101" pitchFamily="49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4907359162242615E-2"/>
          <c:y val="0.21144887964872372"/>
          <c:w val="0.90122655207829161"/>
          <c:h val="0.65428186060075821"/>
        </c:manualLayout>
      </c:layout>
      <c:lineChart>
        <c:grouping val="standar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北京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0</c:v>
                </c:pt>
                <c:pt idx="1">
                  <c:v>88.867999999999995</c:v>
                </c:pt>
                <c:pt idx="2">
                  <c:v>94.599000000000004</c:v>
                </c:pt>
                <c:pt idx="3">
                  <c:v>11.085000000000001</c:v>
                </c:pt>
                <c:pt idx="4">
                  <c:v>17.408000000000001</c:v>
                </c:pt>
                <c:pt idx="5">
                  <c:v>18.788</c:v>
                </c:pt>
                <c:pt idx="6">
                  <c:v>15.634</c:v>
                </c:pt>
                <c:pt idx="7">
                  <c:v>0</c:v>
                </c:pt>
                <c:pt idx="8">
                  <c:v>0</c:v>
                </c:pt>
                <c:pt idx="9">
                  <c:v>25.442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0-452C-843E-5D3920D41720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天津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0</c:v>
                </c:pt>
                <c:pt idx="1">
                  <c:v>53.581000000000003</c:v>
                </c:pt>
                <c:pt idx="2">
                  <c:v>87.676000000000002</c:v>
                </c:pt>
                <c:pt idx="3">
                  <c:v>74.713999999999999</c:v>
                </c:pt>
                <c:pt idx="4">
                  <c:v>8.9169999999999998</c:v>
                </c:pt>
                <c:pt idx="5">
                  <c:v>40.923999999999999</c:v>
                </c:pt>
                <c:pt idx="6">
                  <c:v>2.835</c:v>
                </c:pt>
                <c:pt idx="7">
                  <c:v>0</c:v>
                </c:pt>
                <c:pt idx="8">
                  <c:v>0</c:v>
                </c:pt>
                <c:pt idx="9">
                  <c:v>43.853999999999999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0-452C-843E-5D3920D41720}"/>
            </c:ext>
          </c:extLst>
        </c:ser>
        <c:ser>
          <c:idx val="2"/>
          <c:order val="2"/>
          <c:tx>
            <c:strRef>
              <c:f>Sheet1!$G$3</c:f>
              <c:strCache>
                <c:ptCount val="1"/>
                <c:pt idx="0">
                  <c:v>河北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2009年</c:v>
                </c:pt>
                <c:pt idx="1">
                  <c:v>2010年</c:v>
                </c:pt>
                <c:pt idx="2">
                  <c:v>2011年</c:v>
                </c:pt>
                <c:pt idx="3">
                  <c:v>2012年</c:v>
                </c:pt>
                <c:pt idx="4">
                  <c:v>2013年</c:v>
                </c:pt>
                <c:pt idx="5">
                  <c:v>2014年</c:v>
                </c:pt>
                <c:pt idx="6">
                  <c:v>2015年</c:v>
                </c:pt>
                <c:pt idx="7">
                  <c:v>2016年</c:v>
                </c:pt>
                <c:pt idx="8">
                  <c:v>2017年</c:v>
                </c:pt>
                <c:pt idx="9">
                  <c:v>2018年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0</c:v>
                </c:pt>
                <c:pt idx="1">
                  <c:v>122.502</c:v>
                </c:pt>
                <c:pt idx="2">
                  <c:v>29.67</c:v>
                </c:pt>
                <c:pt idx="3">
                  <c:v>28.004000000000001</c:v>
                </c:pt>
                <c:pt idx="4">
                  <c:v>30.114000000000001</c:v>
                </c:pt>
                <c:pt idx="5">
                  <c:v>50.405999999999999</c:v>
                </c:pt>
                <c:pt idx="6">
                  <c:v>27.734999999999999</c:v>
                </c:pt>
                <c:pt idx="7">
                  <c:v>0</c:v>
                </c:pt>
                <c:pt idx="8">
                  <c:v>0</c:v>
                </c:pt>
                <c:pt idx="9">
                  <c:v>-21.962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30-452C-843E-5D3920D41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337504"/>
        <c:axId val="805345704"/>
      </c:lineChart>
      <c:catAx>
        <c:axId val="80533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805345704"/>
        <c:crosses val="autoZero"/>
        <c:auto val="1"/>
        <c:lblAlgn val="ctr"/>
        <c:lblOffset val="100"/>
        <c:noMultiLvlLbl val="0"/>
      </c:catAx>
      <c:valAx>
        <c:axId val="80534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80533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仿宋" panose="02010609060101010101" pitchFamily="49" charset="-122"/>
              <a:ea typeface="仿宋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B8C2-FDEC-4B22-BED8-73D933ED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越</dc:creator>
  <cp:keywords/>
  <dc:description/>
  <cp:lastModifiedBy>高 越</cp:lastModifiedBy>
  <cp:revision>63</cp:revision>
  <dcterms:created xsi:type="dcterms:W3CDTF">2021-04-06T05:51:00Z</dcterms:created>
  <dcterms:modified xsi:type="dcterms:W3CDTF">2021-04-07T12:55:00Z</dcterms:modified>
</cp:coreProperties>
</file>