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中国2020年IT行业薪酬报告分析</w:t>
      </w:r>
    </w:p>
    <w:p>
      <w:pPr>
        <w:rPr>
          <w:rFonts w:hint="eastAsia"/>
          <w:b/>
          <w:bCs/>
          <w:lang w:val="en-US" w:eastAsia="zh-CN"/>
        </w:rPr>
      </w:pPr>
      <w:r>
        <w:rPr>
          <w:rFonts w:hint="eastAsia"/>
          <w:b/>
          <w:bCs/>
          <w:lang w:val="en-US" w:eastAsia="zh-CN"/>
        </w:rPr>
        <w:t>黄宜昆</w:t>
      </w:r>
    </w:p>
    <w:p>
      <w:pPr>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大连理工大学 辽宁 大连 邮编116000</w:t>
      </w:r>
    </w:p>
    <w:p>
      <w:pPr>
        <w:rPr>
          <w:rFonts w:hint="eastAsia"/>
          <w:lang w:val="en-US" w:eastAsia="zh-CN"/>
        </w:rPr>
      </w:pPr>
    </w:p>
    <w:p>
      <w:pPr>
        <w:rPr>
          <w:rFonts w:hint="eastAsia" w:asciiTheme="minorEastAsia" w:hAnsiTheme="minorEastAsia" w:eastAsiaTheme="minorEastAsia" w:cstheme="minorEastAsia"/>
          <w:sz w:val="18"/>
          <w:szCs w:val="18"/>
          <w:lang w:val="en-US" w:eastAsia="zh-CN"/>
        </w:rPr>
      </w:pPr>
      <w:r>
        <w:rPr>
          <w:rFonts w:hint="eastAsia"/>
          <w:b/>
          <w:bCs/>
          <w:lang w:val="en-US" w:eastAsia="zh-CN"/>
        </w:rPr>
        <w:t xml:space="preserve">摘要 </w:t>
      </w:r>
      <w:r>
        <w:rPr>
          <w:rFonts w:hint="eastAsia" w:asciiTheme="minorEastAsia" w:hAnsiTheme="minorEastAsia" w:eastAsiaTheme="minorEastAsia" w:cstheme="minorEastAsia"/>
          <w:sz w:val="18"/>
          <w:szCs w:val="18"/>
          <w:lang w:val="en-US" w:eastAsia="zh-CN"/>
        </w:rPr>
        <w:t>本文以2019-2020年的IT行业薪酬数据为基础，通过行业内不同公司对比，公司内不同部门对比，以及各项统计数据来分析2020相较2019年的异同。2019年互联网市场就业形势依然严峻，整体而言，虽然下半年较上半年形势有所缓和，但在资本和流量面临双重压力的情况下，互联网进入下半场存量竞争阶段，开始由消费互联网向产业互联网转型。2019年互联网人才流动趋势整体放缓，互联网员工主动离职率相对往年有所下降。行业招聘人才需求整体是呈波动态势，并且整体有人才流出趋势。到2020年，受疫情影响，招聘量出现小幅度回升。整体行业不同岗位竞争出现较大差异，总体而言，互联网行业对求职人员的要求在提高。企业招聘越来越倾向于看重求职者的能力水平。与此同时，大公司的发展如字节跳动呈现与行业相反的态势，这说明行业的资源逐渐向头部公司倾斜，大公司与小公司之间的差距正逐渐加大。</w:t>
      </w:r>
    </w:p>
    <w:p>
      <w:pPr>
        <w:rPr>
          <w:rFonts w:hint="eastAsia"/>
          <w:lang w:val="en-US" w:eastAsia="zh-CN"/>
        </w:rPr>
      </w:pPr>
    </w:p>
    <w:p>
      <w:pPr>
        <w:rPr>
          <w:rFonts w:hint="default"/>
          <w:lang w:val="en-US" w:eastAsia="zh-CN"/>
        </w:rPr>
      </w:pPr>
      <w:r>
        <w:rPr>
          <w:rFonts w:hint="eastAsia"/>
          <w:b/>
          <w:bCs/>
          <w:lang w:val="en-US" w:eastAsia="zh-CN"/>
        </w:rPr>
        <w:t>关键词</w:t>
      </w:r>
      <w:r>
        <w:rPr>
          <w:rFonts w:hint="eastAsia"/>
          <w:lang w:val="en-US" w:eastAsia="zh-CN"/>
        </w:rPr>
        <w:t xml:space="preserve"> </w:t>
      </w:r>
      <w:r>
        <w:rPr>
          <w:rFonts w:hint="eastAsia" w:asciiTheme="majorEastAsia" w:hAnsiTheme="majorEastAsia" w:eastAsiaTheme="majorEastAsia" w:cstheme="majorEastAsia"/>
          <w:sz w:val="18"/>
          <w:szCs w:val="18"/>
          <w:lang w:val="en-US" w:eastAsia="zh-CN"/>
        </w:rPr>
        <w:t>IT 薪酬 分析</w:t>
      </w:r>
    </w:p>
    <w:p>
      <w:pPr>
        <w:rPr>
          <w:rFonts w:hint="eastAsia"/>
          <w:lang w:val="en-US" w:eastAsia="zh-CN"/>
        </w:rPr>
      </w:pPr>
    </w:p>
    <w:p>
      <w:pPr>
        <w:rPr>
          <w:rFonts w:hint="eastAsia"/>
          <w:b/>
          <w:bCs/>
          <w:lang w:val="en-US" w:eastAsia="zh-CN"/>
        </w:rPr>
      </w:pPr>
      <w:r>
        <w:rPr>
          <w:rFonts w:hint="eastAsia"/>
          <w:b/>
          <w:bCs/>
          <w:lang w:val="en-US" w:eastAsia="zh-CN"/>
        </w:rPr>
        <w:t>引言</w:t>
      </w:r>
    </w:p>
    <w:p>
      <w:pPr>
        <w:ind w:firstLine="360" w:firstLineChars="20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2019年上半年互联网市场依然形势严峻，下半年稍有缓和，逐渐趋于平稳，在资本寒冬和流量见顶的压力下，互联网进入下半场存量竞争阶段，由消费互联网向产业互联网转型。与此同时，新技术发展机遇与挑战并存，5G技术的全面发展，人工智能从感知智能向认知智能的演进，芯片技术亟待突破，区块链应用的逐渐普及，大数据提升决策效率逐步普及，网络信息安全需求提升。在经历了潮起潮落，归于理性后的高科技互联网产业将在在2020年机遇和挑战下稳步发展。疫情之后的政策重点将是培育新的经济增长点，作为推动新旧动能转换的数字经济，将会迎来新一轮的发展。</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1.IT 行业趋势</w:t>
      </w:r>
    </w:p>
    <w:p>
      <w:pPr>
        <w:numPr>
          <w:ilvl w:val="0"/>
          <w:numId w:val="0"/>
        </w:numP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1.1 行业人才流动趋势</w:t>
      </w:r>
    </w:p>
    <w:p>
      <w:pPr>
        <w:numPr>
          <w:ilvl w:val="0"/>
          <w:numId w:val="0"/>
        </w:numPr>
        <w:ind w:firstLine="360" w:firstLineChars="200"/>
        <w:rPr>
          <w:rFonts w:hint="eastAsia" w:ascii="宋体" w:hAnsi="宋体" w:eastAsia="宋体" w:cs="宋体"/>
          <w:sz w:val="18"/>
          <w:szCs w:val="18"/>
          <w:lang w:val="en-US" w:eastAsia="zh-CN"/>
        </w:rPr>
        <w:sectPr>
          <w:pgSz w:w="11906" w:h="16838"/>
          <w:pgMar w:top="1440" w:right="1800" w:bottom="1440" w:left="1800" w:header="851" w:footer="992" w:gutter="0"/>
          <w:cols w:space="425" w:num="1"/>
          <w:docGrid w:type="lines" w:linePitch="312" w:charSpace="0"/>
        </w:sectPr>
      </w:pPr>
    </w:p>
    <w:p>
      <w:pPr>
        <w:numPr>
          <w:ilvl w:val="0"/>
          <w:numId w:val="0"/>
        </w:numPr>
        <w:ind w:firstLine="360" w:firstLineChars="2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据图1.1.1</w:t>
      </w:r>
      <w:r>
        <w:rPr>
          <w:rFonts w:hint="eastAsia" w:ascii="宋体" w:hAnsi="宋体" w:eastAsia="宋体" w:cs="宋体"/>
          <w:b/>
          <w:bCs/>
          <w:sz w:val="18"/>
          <w:szCs w:val="18"/>
          <w:vertAlign w:val="superscript"/>
          <w:lang w:val="en-US" w:eastAsia="zh-CN"/>
        </w:rPr>
        <w:t>[1]</w:t>
      </w:r>
      <w:r>
        <w:rPr>
          <w:rFonts w:hint="eastAsia" w:ascii="宋体" w:hAnsi="宋体" w:eastAsia="宋体" w:cs="宋体"/>
          <w:sz w:val="18"/>
          <w:szCs w:val="18"/>
          <w:lang w:val="en-US" w:eastAsia="zh-CN"/>
        </w:rPr>
        <w:t>数据显示，2019年人才流动整体放缓，互联网行业员工主动离职率相比2018年有所下降，为20.3%；高科技各细分行业员工主动离职率均有不同程度的下降，其中软件系统集成行业</w:t>
      </w:r>
    </w:p>
    <w:p>
      <w:pPr>
        <w:numPr>
          <w:ilvl w:val="0"/>
          <w:numId w:val="0"/>
        </w:numPr>
        <w:ind w:firstLine="360" w:firstLineChars="200"/>
        <w:rPr>
          <w:rFonts w:hint="eastAsia" w:ascii="宋体" w:hAnsi="宋体" w:eastAsia="宋体" w:cs="宋体"/>
          <w:sz w:val="18"/>
          <w:szCs w:val="18"/>
          <w:lang w:val="en-US" w:eastAsia="zh-CN"/>
        </w:rPr>
      </w:pPr>
    </w:p>
    <w:p>
      <w:pPr>
        <w:numPr>
          <w:ilvl w:val="0"/>
          <w:numId w:val="0"/>
        </w:num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的员工主动离职率降幅最大，从2018年的29.9%降至2019年的19.1%。</w:t>
      </w:r>
    </w:p>
    <w:p>
      <w:pPr>
        <w:numPr>
          <w:ilvl w:val="0"/>
          <w:numId w:val="0"/>
        </w:numPr>
        <w:rPr>
          <w:rFonts w:hint="eastAsia" w:ascii="宋体" w:hAnsi="宋体" w:eastAsia="宋体" w:cs="宋体"/>
          <w:sz w:val="18"/>
          <w:szCs w:val="18"/>
          <w:lang w:val="en-US" w:eastAsia="zh-CN"/>
        </w:rPr>
      </w:pPr>
    </w:p>
    <w:p>
      <w:pPr>
        <w:numPr>
          <w:ilvl w:val="0"/>
          <w:numId w:val="0"/>
        </w:numPr>
        <w:rPr>
          <w:rFonts w:hint="default"/>
          <w:lang w:val="en-US" w:eastAsia="zh-CN"/>
        </w:rPr>
      </w:pPr>
    </w:p>
    <w:p>
      <w:pPr>
        <w:numPr>
          <w:ilvl w:val="0"/>
          <w:numId w:val="0"/>
        </w:numPr>
        <w:rPr>
          <w:rFonts w:hint="eastAsia"/>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numPr>
          <w:ilvl w:val="0"/>
          <w:numId w:val="0"/>
        </w:numPr>
        <w:rPr>
          <w:rFonts w:hint="eastAsia"/>
          <w:lang w:val="en-US" w:eastAsia="zh-CN"/>
        </w:rPr>
      </w:pPr>
    </w:p>
    <w:p>
      <w:pPr>
        <w:numPr>
          <w:ilvl w:val="0"/>
          <w:numId w:val="0"/>
        </w:numPr>
        <w:rPr>
          <w:rFonts w:hint="eastAsia" w:ascii="黑体" w:hAnsi="黑体" w:eastAsia="黑体" w:cs="黑体"/>
          <w:sz w:val="18"/>
          <w:szCs w:val="18"/>
          <w:lang w:val="en-US" w:eastAsia="zh-CN"/>
        </w:rPr>
      </w:pPr>
      <w:r>
        <w:rPr>
          <w:rFonts w:hint="eastAsia"/>
          <w:lang w:val="en-US" w:eastAsia="zh-CN"/>
        </w:rPr>
        <w:drawing>
          <wp:inline distT="0" distB="0" distL="114300" distR="114300">
            <wp:extent cx="2777490" cy="1849120"/>
            <wp:effectExtent l="0" t="0" r="3810" b="1778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6"/>
                    <a:stretch>
                      <a:fillRect/>
                    </a:stretch>
                  </pic:blipFill>
                  <pic:spPr>
                    <a:xfrm>
                      <a:off x="0" y="0"/>
                      <a:ext cx="2777490" cy="1849120"/>
                    </a:xfrm>
                    <a:prstGeom prst="rect">
                      <a:avLst/>
                    </a:prstGeom>
                  </pic:spPr>
                </pic:pic>
              </a:graphicData>
            </a:graphic>
          </wp:inline>
        </w:drawing>
      </w:r>
    </w:p>
    <w:p>
      <w:pPr>
        <w:numPr>
          <w:ilvl w:val="0"/>
          <w:numId w:val="0"/>
        </w:numPr>
        <w:rPr>
          <w:rFonts w:hint="eastAsia" w:ascii="黑体" w:hAnsi="黑体" w:eastAsia="黑体" w:cs="黑体"/>
          <w:sz w:val="18"/>
          <w:szCs w:val="18"/>
          <w:lang w:val="en-US" w:eastAsia="zh-CN"/>
        </w:rPr>
      </w:pPr>
    </w:p>
    <w:p>
      <w:pPr>
        <w:numPr>
          <w:ilvl w:val="0"/>
          <w:numId w:val="0"/>
        </w:numPr>
        <w:rPr>
          <w:rFonts w:hint="eastAsia" w:ascii="黑体" w:hAnsi="黑体" w:eastAsia="黑体" w:cs="黑体"/>
          <w:sz w:val="18"/>
          <w:szCs w:val="18"/>
          <w:lang w:val="en-US" w:eastAsia="zh-CN"/>
        </w:rPr>
      </w:pPr>
    </w:p>
    <w:p>
      <w:pPr>
        <w:numPr>
          <w:ilvl w:val="0"/>
          <w:numId w:val="0"/>
        </w:numPr>
        <w:rPr>
          <w:rFonts w:hint="eastAsia" w:ascii="黑体" w:hAnsi="黑体" w:eastAsia="黑体" w:cs="黑体"/>
          <w:sz w:val="18"/>
          <w:szCs w:val="18"/>
          <w:lang w:val="en-US" w:eastAsia="zh-CN"/>
        </w:rPr>
      </w:pPr>
    </w:p>
    <w:p>
      <w:pPr>
        <w:numPr>
          <w:ilvl w:val="0"/>
          <w:numId w:val="0"/>
        </w:numPr>
        <w:rPr>
          <w:rFonts w:hint="eastAsia" w:ascii="黑体" w:hAnsi="黑体" w:eastAsia="黑体" w:cs="黑体"/>
          <w:sz w:val="18"/>
          <w:szCs w:val="18"/>
          <w:lang w:val="en-US" w:eastAsia="zh-CN"/>
        </w:rPr>
      </w:pPr>
    </w:p>
    <w:p>
      <w:pPr>
        <w:numPr>
          <w:ilvl w:val="0"/>
          <w:numId w:val="0"/>
        </w:numPr>
        <w:rPr>
          <w:rFonts w:hint="eastAsia" w:ascii="黑体" w:hAnsi="黑体" w:eastAsia="黑体" w:cs="黑体"/>
          <w:sz w:val="18"/>
          <w:szCs w:val="18"/>
          <w:lang w:val="en-US" w:eastAsia="zh-CN"/>
        </w:rPr>
      </w:pPr>
    </w:p>
    <w:p>
      <w:pPr>
        <w:numPr>
          <w:ilvl w:val="0"/>
          <w:numId w:val="0"/>
        </w:numPr>
        <w:rPr>
          <w:rFonts w:hint="eastAsia" w:ascii="黑体" w:hAnsi="黑体" w:eastAsia="黑体" w:cs="黑体"/>
          <w:sz w:val="18"/>
          <w:szCs w:val="18"/>
          <w:lang w:val="en-US" w:eastAsia="zh-CN"/>
        </w:rPr>
      </w:pPr>
    </w:p>
    <w:p>
      <w:pPr>
        <w:numPr>
          <w:ilvl w:val="0"/>
          <w:numId w:val="0"/>
        </w:numPr>
        <w:rPr>
          <w:rFonts w:hint="eastAsia" w:ascii="黑体" w:hAnsi="黑体" w:eastAsia="黑体" w:cs="黑体"/>
          <w:sz w:val="18"/>
          <w:szCs w:val="18"/>
          <w:lang w:val="en-US" w:eastAsia="zh-CN"/>
        </w:rPr>
      </w:pPr>
    </w:p>
    <w:p>
      <w:pPr>
        <w:numPr>
          <w:ilvl w:val="0"/>
          <w:numId w:val="0"/>
        </w:numPr>
        <w:rPr>
          <w:rFonts w:hint="eastAsia" w:ascii="黑体" w:hAnsi="黑体" w:eastAsia="黑体" w:cs="黑体"/>
          <w:sz w:val="18"/>
          <w:szCs w:val="18"/>
          <w:lang w:val="en-US" w:eastAsia="zh-CN"/>
        </w:rPr>
      </w:pPr>
    </w:p>
    <w:p>
      <w:pPr>
        <w:numPr>
          <w:ilvl w:val="0"/>
          <w:numId w:val="0"/>
        </w:numPr>
        <w:rPr>
          <w:rFonts w:hint="eastAsia" w:ascii="黑体" w:hAnsi="黑体" w:eastAsia="黑体" w:cs="黑体"/>
          <w:sz w:val="18"/>
          <w:szCs w:val="18"/>
          <w:lang w:val="en-US" w:eastAsia="zh-CN"/>
        </w:rPr>
      </w:pPr>
    </w:p>
    <w:p>
      <w:pPr>
        <w:numPr>
          <w:ilvl w:val="0"/>
          <w:numId w:val="0"/>
        </w:numPr>
        <w:rPr>
          <w:rFonts w:hint="eastAsia" w:ascii="黑体" w:hAnsi="黑体" w:eastAsia="黑体" w:cs="黑体"/>
          <w:sz w:val="18"/>
          <w:szCs w:val="18"/>
          <w:lang w:val="en-US" w:eastAsia="zh-CN"/>
        </w:rPr>
      </w:pPr>
    </w:p>
    <w:p>
      <w:pPr>
        <w:numPr>
          <w:ilvl w:val="0"/>
          <w:numId w:val="0"/>
        </w:numPr>
        <w:rPr>
          <w:rFonts w:hint="eastAsia" w:ascii="黑体" w:hAnsi="黑体" w:eastAsia="黑体" w:cs="黑体"/>
          <w:sz w:val="18"/>
          <w:szCs w:val="18"/>
          <w:lang w:val="en-US" w:eastAsia="zh-CN"/>
        </w:rPr>
      </w:pPr>
    </w:p>
    <w:p>
      <w:pPr>
        <w:numPr>
          <w:ilvl w:val="0"/>
          <w:numId w:val="0"/>
        </w:numPr>
        <w:rPr>
          <w:rFonts w:hint="eastAsia" w:ascii="黑体" w:hAnsi="黑体" w:eastAsia="黑体" w:cs="黑体"/>
          <w:sz w:val="18"/>
          <w:szCs w:val="18"/>
          <w:lang w:val="en-US" w:eastAsia="zh-CN"/>
        </w:rPr>
      </w:pPr>
    </w:p>
    <w:p>
      <w:pPr>
        <w:numPr>
          <w:ilvl w:val="0"/>
          <w:numId w:val="0"/>
        </w:numPr>
        <w:rPr>
          <w:rFonts w:hint="eastAsia" w:ascii="黑体" w:hAnsi="黑体" w:eastAsia="黑体" w:cs="黑体"/>
          <w:sz w:val="18"/>
          <w:szCs w:val="18"/>
          <w:lang w:val="en-US" w:eastAsia="zh-CN"/>
        </w:rPr>
      </w:pPr>
    </w:p>
    <w:p>
      <w:pPr>
        <w:numPr>
          <w:ilvl w:val="0"/>
          <w:numId w:val="0"/>
        </w:numP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1.2 招聘需求量</w:t>
      </w:r>
    </w:p>
    <w:p>
      <w:pPr>
        <w:numPr>
          <w:ilvl w:val="0"/>
          <w:numId w:val="0"/>
        </w:numPr>
        <w:ind w:firstLine="360" w:firstLineChars="200"/>
        <w:rPr>
          <w:rFonts w:hint="eastAsia" w:ascii="宋体" w:hAnsi="宋体" w:eastAsia="宋体" w:cs="宋体"/>
          <w:sz w:val="18"/>
          <w:szCs w:val="18"/>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numPr>
          <w:ilvl w:val="0"/>
          <w:numId w:val="0"/>
        </w:numPr>
        <w:ind w:firstLine="360" w:firstLineChars="2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根据脉脉发布的《人才迁徙与流动趋势报告2020》，2019年互联网、金融、文化传媒等多个行业出现人才流出现象。据图1.2.1数据显示，互联网行业2019全年整体的人才需求量稳中有升，招聘量低点发生在2020年1月份的春节时期。2月受疫情影响，各行业都受到了不同程度的冲击，人才需求也持续低迷。相比之下，互联网行业的招聘量出现了小幅回升。</w:t>
      </w:r>
    </w:p>
    <w:p>
      <w:pPr>
        <w:numPr>
          <w:ilvl w:val="0"/>
          <w:numId w:val="0"/>
        </w:num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drawing>
          <wp:inline distT="0" distB="0" distL="114300" distR="114300">
            <wp:extent cx="3173095" cy="1632585"/>
            <wp:effectExtent l="0" t="0" r="8255" b="571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7"/>
                    <a:stretch>
                      <a:fillRect/>
                    </a:stretch>
                  </pic:blipFill>
                  <pic:spPr>
                    <a:xfrm>
                      <a:off x="0" y="0"/>
                      <a:ext cx="3173095" cy="1632585"/>
                    </a:xfrm>
                    <a:prstGeom prst="rect">
                      <a:avLst/>
                    </a:prstGeom>
                  </pic:spPr>
                </pic:pic>
              </a:graphicData>
            </a:graphic>
          </wp:inline>
        </w:drawing>
      </w:r>
    </w:p>
    <w:p>
      <w:pPr>
        <w:numPr>
          <w:ilvl w:val="0"/>
          <w:numId w:val="0"/>
        </w:numPr>
        <w:rPr>
          <w:rFonts w:hint="eastAsia" w:ascii="宋体" w:hAnsi="宋体" w:eastAsia="宋体" w:cs="宋体"/>
          <w:sz w:val="18"/>
          <w:szCs w:val="18"/>
          <w:lang w:val="en-US" w:eastAsia="zh-CN"/>
        </w:rPr>
      </w:pPr>
    </w:p>
    <w:p>
      <w:pPr>
        <w:numPr>
          <w:ilvl w:val="0"/>
          <w:numId w:val="0"/>
        </w:numPr>
        <w:rPr>
          <w:rFonts w:hint="eastAsia" w:ascii="宋体" w:hAnsi="宋体" w:eastAsia="宋体" w:cs="宋体"/>
          <w:sz w:val="18"/>
          <w:szCs w:val="18"/>
          <w:lang w:val="en-US" w:eastAsia="zh-CN"/>
        </w:rPr>
      </w:pPr>
    </w:p>
    <w:p>
      <w:pPr>
        <w:numPr>
          <w:ilvl w:val="0"/>
          <w:numId w:val="0"/>
        </w:numPr>
        <w:ind w:firstLine="360" w:firstLineChars="200"/>
        <w:jc w:val="both"/>
        <w:rPr>
          <w:rFonts w:hint="eastAsia" w:ascii="宋体" w:hAnsi="宋体" w:eastAsia="宋体" w:cs="宋体"/>
          <w:sz w:val="18"/>
          <w:szCs w:val="18"/>
          <w:lang w:val="en-US" w:eastAsia="zh-CN"/>
        </w:rPr>
      </w:pPr>
    </w:p>
    <w:p>
      <w:pPr>
        <w:numPr>
          <w:ilvl w:val="0"/>
          <w:numId w:val="0"/>
        </w:numPr>
        <w:rPr>
          <w:rFonts w:hint="default"/>
          <w:lang w:val="en-US" w:eastAsia="zh-CN"/>
        </w:rPr>
      </w:pPr>
    </w:p>
    <w:p>
      <w:pPr>
        <w:numPr>
          <w:ilvl w:val="0"/>
          <w:numId w:val="0"/>
        </w:numPr>
        <w:jc w:val="left"/>
        <w:rPr>
          <w:rFonts w:hint="eastAsia"/>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numPr>
          <w:ilvl w:val="0"/>
          <w:numId w:val="0"/>
        </w:numPr>
        <w:jc w:val="left"/>
        <w:rPr>
          <w:rFonts w:hint="default"/>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1.3 行业离职率</w:t>
      </w:r>
    </w:p>
    <w:p>
      <w:pPr>
        <w:numPr>
          <w:ilvl w:val="0"/>
          <w:numId w:val="0"/>
        </w:numPr>
        <w:ind w:firstLine="360" w:firstLineChars="2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受疫情影响，2020年上半年人才流动放缓，员工主动流动意愿下降。互联网高科技公司业务调整力度加大，相应的组织人员优化力度增大，员工被动离职率预计有所提升。</w:t>
      </w:r>
    </w:p>
    <w:p>
      <w:pPr>
        <w:numPr>
          <w:ilvl w:val="0"/>
          <w:numId w:val="0"/>
        </w:numPr>
        <w:ind w:firstLine="360" w:firstLineChars="2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据图1.3.1数据显示，从互联网行业不同类型人员主动离职率来看，除销售人员外，各类型员工2019年主动离职率相比2018年均略有下降。虽然2019年研发技术人员离职率略有下降，但仍超过30%，热门核心技术岗位依然抢手，离职率高于研发技术人员整体；互联网行业流量见顶，有经验的产品经理和精通数据的数字化运营人才依然抢手；消费互联网转型产业互联网，面向B端</w:t>
      </w:r>
    </w:p>
    <w:p>
      <w:pPr>
        <w:numPr>
          <w:ilvl w:val="0"/>
          <w:numId w:val="0"/>
        </w:numPr>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经验丰富的产品经理和销售、实施顾问需求增加。</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drawing>
          <wp:inline distT="0" distB="0" distL="114300" distR="114300">
            <wp:extent cx="2577465" cy="1533525"/>
            <wp:effectExtent l="0" t="0" r="13335" b="9525"/>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8"/>
                    <a:stretch>
                      <a:fillRect/>
                    </a:stretch>
                  </pic:blipFill>
                  <pic:spPr>
                    <a:xfrm>
                      <a:off x="0" y="0"/>
                      <a:ext cx="2577465" cy="1533525"/>
                    </a:xfrm>
                    <a:prstGeom prst="rect">
                      <a:avLst/>
                    </a:prstGeom>
                  </pic:spPr>
                </pic:pic>
              </a:graphicData>
            </a:graphic>
          </wp:inline>
        </w:drawing>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2.IT 行业发展</w:t>
      </w:r>
    </w:p>
    <w:p>
      <w:pPr>
        <w:numPr>
          <w:ilvl w:val="0"/>
          <w:numId w:val="0"/>
        </w:numP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2.1 设计岗位竞争最激烈，运营岗位离职率最高</w:t>
      </w:r>
    </w:p>
    <w:p>
      <w:pPr>
        <w:numPr>
          <w:ilvl w:val="0"/>
          <w:numId w:val="0"/>
        </w:numPr>
        <w:ind w:firstLine="360" w:firstLineChars="200"/>
        <w:rPr>
          <w:rFonts w:hint="eastAsia" w:ascii="宋体" w:hAnsi="宋体" w:eastAsia="宋体" w:cs="宋体"/>
          <w:i w:val="0"/>
          <w:iCs w:val="0"/>
          <w:caps w:val="0"/>
          <w:color w:val="262626"/>
          <w:spacing w:val="0"/>
          <w:sz w:val="18"/>
          <w:szCs w:val="18"/>
          <w:shd w:val="clear" w:fill="FFFFFF"/>
          <w:vertAlign w:val="baseline"/>
          <w:lang w:val="en-US" w:eastAsia="zh-CN"/>
        </w:rPr>
      </w:pPr>
      <w:r>
        <w:rPr>
          <w:rFonts w:hint="eastAsia" w:ascii="宋体" w:hAnsi="宋体" w:eastAsia="宋体" w:cs="宋体"/>
          <w:i w:val="0"/>
          <w:iCs w:val="0"/>
          <w:caps w:val="0"/>
          <w:color w:val="262626"/>
          <w:spacing w:val="0"/>
          <w:sz w:val="18"/>
          <w:szCs w:val="18"/>
          <w:shd w:val="clear" w:fill="FFFFFF"/>
          <w:vertAlign w:val="baseline"/>
        </w:rPr>
        <w:t>当互联网行业从高速发展的成长期进入成熟期</w:t>
      </w:r>
      <w:r>
        <w:rPr>
          <w:rFonts w:hint="eastAsia" w:ascii="宋体" w:hAnsi="宋体" w:eastAsia="宋体" w:cs="宋体"/>
          <w:i w:val="0"/>
          <w:iCs w:val="0"/>
          <w:caps w:val="0"/>
          <w:color w:val="262626"/>
          <w:spacing w:val="0"/>
          <w:sz w:val="18"/>
          <w:szCs w:val="18"/>
          <w:shd w:val="clear" w:fill="FFFFFF"/>
          <w:vertAlign w:val="baseline"/>
          <w:lang w:eastAsia="zh-CN"/>
        </w:rPr>
        <w:t>，</w:t>
      </w:r>
      <w:r>
        <w:rPr>
          <w:rFonts w:hint="eastAsia" w:ascii="宋体" w:hAnsi="宋体" w:eastAsia="宋体" w:cs="宋体"/>
          <w:i w:val="0"/>
          <w:iCs w:val="0"/>
          <w:caps w:val="0"/>
          <w:color w:val="262626"/>
          <w:spacing w:val="0"/>
          <w:sz w:val="18"/>
          <w:szCs w:val="18"/>
          <w:shd w:val="clear" w:fill="FFFFFF"/>
          <w:vertAlign w:val="baseline"/>
          <w:lang w:val="en-US" w:eastAsia="zh-CN"/>
        </w:rPr>
        <w:t>行业对人才的要求也在逐步提高，慢慢越来越注重人才的能力水平。这意味着，IT行业的技能门槛在提高，并且门槛越高的岗位薪酬越高。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right="0" w:firstLine="360" w:firstLineChars="200"/>
        <w:jc w:val="both"/>
        <w:textAlignment w:val="baseline"/>
        <w:rPr>
          <w:rFonts w:hint="eastAsia" w:ascii="宋体" w:hAnsi="宋体" w:eastAsia="宋体" w:cs="宋体"/>
          <w:i w:val="0"/>
          <w:iCs w:val="0"/>
          <w:caps w:val="0"/>
          <w:color w:val="262626"/>
          <w:spacing w:val="0"/>
          <w:sz w:val="18"/>
          <w:szCs w:val="18"/>
          <w:shd w:val="clear" w:fill="FFFFFF"/>
          <w:vertAlign w:val="baseline"/>
          <w:lang w:val="en-US" w:eastAsia="zh-CN"/>
        </w:rPr>
      </w:pPr>
      <w:r>
        <w:rPr>
          <w:rFonts w:hint="eastAsia" w:ascii="宋体" w:hAnsi="宋体" w:eastAsia="宋体" w:cs="宋体"/>
          <w:i w:val="0"/>
          <w:iCs w:val="0"/>
          <w:caps w:val="0"/>
          <w:color w:val="262626"/>
          <w:spacing w:val="0"/>
          <w:sz w:val="18"/>
          <w:szCs w:val="18"/>
          <w:shd w:val="clear" w:fill="FFFFFF"/>
          <w:vertAlign w:val="baseline"/>
        </w:rPr>
        <w:t>数据显示，2019年互联网行业需求量</w:t>
      </w:r>
      <w:r>
        <w:rPr>
          <w:rFonts w:hint="eastAsia" w:ascii="宋体" w:hAnsi="宋体" w:eastAsia="宋体" w:cs="宋体"/>
          <w:i w:val="0"/>
          <w:iCs w:val="0"/>
          <w:caps w:val="0"/>
          <w:color w:val="262626"/>
          <w:spacing w:val="0"/>
          <w:sz w:val="18"/>
          <w:szCs w:val="18"/>
          <w:shd w:val="clear" w:fill="FFFFFF"/>
          <w:vertAlign w:val="baseline"/>
          <w:lang w:val="en-US" w:eastAsia="zh-CN"/>
        </w:rPr>
        <w:t>排名前10</w:t>
      </w:r>
      <w:r>
        <w:rPr>
          <w:rFonts w:hint="eastAsia" w:ascii="宋体" w:hAnsi="宋体" w:eastAsia="宋体" w:cs="宋体"/>
          <w:i w:val="0"/>
          <w:iCs w:val="0"/>
          <w:caps w:val="0"/>
          <w:color w:val="262626"/>
          <w:spacing w:val="0"/>
          <w:sz w:val="18"/>
          <w:szCs w:val="18"/>
          <w:shd w:val="clear" w:fill="FFFFFF"/>
          <w:vertAlign w:val="baseline"/>
        </w:rPr>
        <w:t>的岗位都是技术相关岗位。而竞争度</w:t>
      </w:r>
      <w:r>
        <w:rPr>
          <w:rFonts w:hint="eastAsia" w:ascii="宋体" w:hAnsi="宋体" w:eastAsia="宋体" w:cs="宋体"/>
          <w:i w:val="0"/>
          <w:iCs w:val="0"/>
          <w:caps w:val="0"/>
          <w:color w:val="262626"/>
          <w:spacing w:val="0"/>
          <w:sz w:val="18"/>
          <w:szCs w:val="18"/>
          <w:shd w:val="clear" w:fill="FFFFFF"/>
          <w:vertAlign w:val="baseline"/>
          <w:lang w:val="en-US" w:eastAsia="zh-CN"/>
        </w:rPr>
        <w:t>排名前10的岗位</w:t>
      </w:r>
      <w:r>
        <w:rPr>
          <w:rFonts w:hint="eastAsia" w:ascii="宋体" w:hAnsi="宋体" w:eastAsia="宋体" w:cs="宋体"/>
          <w:i w:val="0"/>
          <w:iCs w:val="0"/>
          <w:caps w:val="0"/>
          <w:color w:val="262626"/>
          <w:spacing w:val="0"/>
          <w:sz w:val="18"/>
          <w:szCs w:val="18"/>
          <w:shd w:val="clear" w:fill="FFFFFF"/>
          <w:vertAlign w:val="baseline"/>
        </w:rPr>
        <w:t>，则是入行门槛较低的设计师类和运营类岗位。</w:t>
      </w:r>
      <w:r>
        <w:rPr>
          <w:rFonts w:hint="eastAsia" w:ascii="宋体" w:hAnsi="宋体" w:eastAsia="宋体" w:cs="宋体"/>
          <w:i w:val="0"/>
          <w:iCs w:val="0"/>
          <w:caps w:val="0"/>
          <w:color w:val="262626"/>
          <w:spacing w:val="0"/>
          <w:sz w:val="18"/>
          <w:szCs w:val="18"/>
          <w:shd w:val="clear" w:fill="FFFFFF"/>
          <w:vertAlign w:val="baseline"/>
          <w:lang w:val="en-US" w:eastAsia="zh-CN"/>
        </w:rPr>
        <w:t>设计岗相对于开发岗而言整体较为容易入手，结合当下职场人对于自身技能和未来预期的焦虑，很多人都把设计当作一项副业来学习。不过从数据来看，当下设计岗位的情况已经是供过于求。继续选择设计类岗位当做求职门路的难度正在上升并且在近期仍会保持这种态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jc w:val="both"/>
        <w:textAlignment w:val="baseline"/>
        <w:rPr>
          <w:rFonts w:hint="default"/>
          <w:lang w:val="en-US" w:eastAsia="zh-CN"/>
        </w:rPr>
      </w:pPr>
      <w:r>
        <w:rPr>
          <w:rFonts w:hint="default"/>
          <w:lang w:val="en-US" w:eastAsia="zh-CN"/>
        </w:rPr>
        <w:drawing>
          <wp:inline distT="0" distB="0" distL="114300" distR="114300">
            <wp:extent cx="2775585" cy="2463800"/>
            <wp:effectExtent l="0" t="0" r="5715" b="12700"/>
            <wp:docPr id="5" name="图片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
                    <pic:cNvPicPr>
                      <a:picLocks noChangeAspect="1"/>
                    </pic:cNvPicPr>
                  </pic:nvPicPr>
                  <pic:blipFill>
                    <a:blip r:embed="rId9"/>
                    <a:stretch>
                      <a:fillRect/>
                    </a:stretch>
                  </pic:blipFill>
                  <pic:spPr>
                    <a:xfrm>
                      <a:off x="0" y="0"/>
                      <a:ext cx="2775585" cy="2463800"/>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jc w:val="both"/>
        <w:textAlignment w:val="baseline"/>
        <w:rPr>
          <w:rFonts w:hint="default"/>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right="0" w:firstLine="360" w:firstLineChars="200"/>
        <w:jc w:val="both"/>
        <w:textAlignment w:val="baseline"/>
        <w:rPr>
          <w:rFonts w:hint="eastAsia" w:ascii="宋体" w:hAnsi="宋体" w:eastAsia="宋体" w:cs="宋体"/>
          <w:i w:val="0"/>
          <w:iCs w:val="0"/>
          <w:caps w:val="0"/>
          <w:color w:val="262626"/>
          <w:spacing w:val="0"/>
          <w:sz w:val="18"/>
          <w:szCs w:val="18"/>
          <w:shd w:val="clear" w:fill="FFFFFF"/>
          <w:vertAlign w:val="baseline"/>
          <w:lang w:val="en-US" w:eastAsia="zh-CN"/>
        </w:rPr>
      </w:pPr>
      <w:r>
        <w:rPr>
          <w:rFonts w:hint="eastAsia" w:ascii="宋体" w:hAnsi="宋体" w:eastAsia="宋体" w:cs="宋体"/>
          <w:i w:val="0"/>
          <w:iCs w:val="0"/>
          <w:caps w:val="0"/>
          <w:color w:val="262626"/>
          <w:spacing w:val="0"/>
          <w:sz w:val="18"/>
          <w:szCs w:val="18"/>
          <w:shd w:val="clear" w:fill="FFFFFF"/>
          <w:vertAlign w:val="baseline"/>
          <w:lang w:val="en-US" w:eastAsia="zh-CN"/>
        </w:rPr>
        <w:t>相比设计类岗位，运营岗不仅就业竞争度高，同时该岗位离职率也相当高。据图2.1.2数据显示，2019年互联网离职率最高的岗位中排行第3。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jc w:val="both"/>
        <w:textAlignment w:val="baseline"/>
        <w:rPr>
          <w:rFonts w:hint="default"/>
          <w:lang w:val="en-US" w:eastAsia="zh-CN"/>
        </w:rPr>
      </w:pPr>
      <w:r>
        <w:rPr>
          <w:rFonts w:hint="default"/>
          <w:lang w:val="en-US" w:eastAsia="zh-CN"/>
        </w:rPr>
        <w:drawing>
          <wp:inline distT="0" distB="0" distL="114300" distR="114300">
            <wp:extent cx="2556510" cy="1828165"/>
            <wp:effectExtent l="0" t="0" r="15240" b="635"/>
            <wp:docPr id="6" name="图片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
                    <pic:cNvPicPr>
                      <a:picLocks noChangeAspect="1"/>
                    </pic:cNvPicPr>
                  </pic:nvPicPr>
                  <pic:blipFill>
                    <a:blip r:embed="rId10"/>
                    <a:stretch>
                      <a:fillRect/>
                    </a:stretch>
                  </pic:blipFill>
                  <pic:spPr>
                    <a:xfrm>
                      <a:off x="0" y="0"/>
                      <a:ext cx="2556510" cy="1828165"/>
                    </a:xfrm>
                    <a:prstGeom prst="rect">
                      <a:avLst/>
                    </a:prstGeom>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jc w:val="both"/>
        <w:textAlignment w:val="baseline"/>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2.2 行业调薪趋势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360" w:firstLineChars="200"/>
        <w:jc w:val="both"/>
        <w:textAlignment w:val="baseline"/>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据图2.2.1数据显示，互联网行业调薪率近三年来呈下滑态势，2020年调薪率预计为8.3%。高科技细分行业软件/系统集成、硬件、通信、集成电路2020年预计调薪率均低于2019年。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360" w:firstLineChars="200"/>
        <w:jc w:val="both"/>
        <w:textAlignment w:val="baseline"/>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drawing>
          <wp:inline distT="0" distB="0" distL="114300" distR="114300">
            <wp:extent cx="2453640" cy="1764665"/>
            <wp:effectExtent l="0" t="0" r="3810" b="6985"/>
            <wp:docPr id="7" name="图片 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
                    <pic:cNvPicPr>
                      <a:picLocks noChangeAspect="1"/>
                    </pic:cNvPicPr>
                  </pic:nvPicPr>
                  <pic:blipFill>
                    <a:blip r:embed="rId11"/>
                    <a:stretch>
                      <a:fillRect/>
                    </a:stretch>
                  </pic:blipFill>
                  <pic:spPr>
                    <a:xfrm>
                      <a:off x="0" y="0"/>
                      <a:ext cx="2453640" cy="1764665"/>
                    </a:xfrm>
                    <a:prstGeom prst="rect">
                      <a:avLst/>
                    </a:prstGeom>
                  </pic:spPr>
                </pic:pic>
              </a:graphicData>
            </a:graphic>
          </wp:inline>
        </w:drawing>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ind w:firstLine="360" w:firstLineChars="200"/>
        <w:rPr>
          <w:rFonts w:hint="default"/>
          <w:lang w:val="en-US" w:eastAsia="zh-CN"/>
        </w:rPr>
      </w:pPr>
      <w:r>
        <w:rPr>
          <w:rFonts w:hint="eastAsia" w:ascii="宋体" w:hAnsi="宋体" w:eastAsia="宋体" w:cs="宋体"/>
          <w:sz w:val="18"/>
          <w:szCs w:val="18"/>
          <w:lang w:val="en-US" w:eastAsia="zh-CN"/>
        </w:rPr>
        <w:t>据图2.2.2数据，从互联网行业不同类型人员调薪率来看，2020年相比2019年均有所下滑，研发技术人员2020年调薪率为11.0%，在各类型人员中调薪率仍为最高。互联网行业的调薪放缓一方面是因为互联网行业本身薪酬水平较高，另一个原因就是互联网行业经过多年的发展，市场发展正逐渐成熟，市场规模的增长在放缓，反映到每个IT从业人员身上的就是薪水涨幅放缓。</w:t>
      </w:r>
    </w:p>
    <w:p>
      <w:pPr>
        <w:numPr>
          <w:ilvl w:val="0"/>
          <w:numId w:val="0"/>
        </w:numPr>
        <w:rPr>
          <w:rFonts w:hint="eastAsia"/>
          <w:lang w:val="en-US" w:eastAsia="zh-CN"/>
        </w:rPr>
      </w:pPr>
    </w:p>
    <w:p>
      <w:pPr>
        <w:numPr>
          <w:ilvl w:val="0"/>
          <w:numId w:val="0"/>
        </w:numPr>
        <w:rPr>
          <w:rFonts w:hint="default"/>
          <w:lang w:val="en-US" w:eastAsia="zh-CN"/>
        </w:rPr>
      </w:pPr>
      <w:r>
        <w:rPr>
          <w:rFonts w:hint="default"/>
          <w:lang w:val="en-US" w:eastAsia="zh-CN"/>
        </w:rPr>
        <w:drawing>
          <wp:inline distT="0" distB="0" distL="114300" distR="114300">
            <wp:extent cx="2501265" cy="2920365"/>
            <wp:effectExtent l="0" t="0" r="13335" b="13335"/>
            <wp:docPr id="8" name="图片 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
                    <pic:cNvPicPr>
                      <a:picLocks noChangeAspect="1"/>
                    </pic:cNvPicPr>
                  </pic:nvPicPr>
                  <pic:blipFill>
                    <a:blip r:embed="rId12"/>
                    <a:stretch>
                      <a:fillRect/>
                    </a:stretch>
                  </pic:blipFill>
                  <pic:spPr>
                    <a:xfrm>
                      <a:off x="0" y="0"/>
                      <a:ext cx="2501265" cy="2920365"/>
                    </a:xfrm>
                    <a:prstGeom prst="rect">
                      <a:avLst/>
                    </a:prstGeom>
                  </pic:spPr>
                </pic:pic>
              </a:graphicData>
            </a:graphic>
          </wp:inline>
        </w:drawing>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2.3 IT行业大公司的情况分析</w:t>
      </w:r>
    </w:p>
    <w:p>
      <w:pPr>
        <w:numPr>
          <w:ilvl w:val="0"/>
          <w:numId w:val="0"/>
        </w:numPr>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2.3.1 IT行业内部人员流动</w:t>
      </w:r>
    </w:p>
    <w:p>
      <w:pPr>
        <w:numPr>
          <w:ilvl w:val="0"/>
          <w:numId w:val="0"/>
        </w:numPr>
        <w:ind w:firstLine="360" w:firstLineChars="2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互联网行业人才的”圈内流动”特点十分明显，主要企业的人才往来依然在互联网这个圈子里。脉脉数据研究院连续三年推出了《人才迁徙》系列报告，百度的“黄埔军校”称号名副其实，数据显示，其连续三年一直在给其他互联网企业输送人才。今年2月，百度发布财报显示，截至2019年12月31日，第四季度，百度实现营收289亿元人民币，归属百度的净利润达到92亿元人民币，同比增长95%。与连续三季度超预期的财报表现一样，脉脉人才流动数据显示，2019年百度的人才规模也呈现正向增长，而去年这一数字还是负值。无论是2019年的财报表现，还是人才流动数据上的表现，京东都与百度类似。京东发布的2019年财报显示，其净收入同比增长24.9%。人才数据方面，尽管京东在2019年加入了百度的队伍，与其一起成为互联网人才输出大户。但另一方面，京东的人才净流入也从2018年的负数变成了2019年的正数。</w:t>
      </w:r>
    </w:p>
    <w:p>
      <w:pPr>
        <w:numPr>
          <w:ilvl w:val="0"/>
          <w:numId w:val="0"/>
        </w:numPr>
        <w:rPr>
          <w:rFonts w:hint="default"/>
          <w:lang w:val="en-US" w:eastAsia="zh-CN"/>
        </w:rPr>
      </w:pPr>
    </w:p>
    <w:p>
      <w:pPr>
        <w:numPr>
          <w:ilvl w:val="0"/>
          <w:numId w:val="0"/>
        </w:numPr>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2.3.2 字节跳动扩招，技术岗需求量大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360" w:firstLineChars="200"/>
        <w:jc w:val="both"/>
        <w:textAlignment w:val="baseline"/>
        <w:rPr>
          <w:rFonts w:hint="eastAsia" w:ascii="宋体" w:hAnsi="宋体" w:eastAsia="宋体" w:cs="宋体"/>
          <w:i w:val="0"/>
          <w:iCs w:val="0"/>
          <w:caps w:val="0"/>
          <w:color w:val="262626"/>
          <w:spacing w:val="0"/>
          <w:sz w:val="18"/>
          <w:szCs w:val="18"/>
          <w:shd w:val="clear" w:fill="FFFFFF"/>
          <w:vertAlign w:val="baseline"/>
        </w:rPr>
      </w:pPr>
      <w:r>
        <w:rPr>
          <w:rFonts w:hint="eastAsia" w:ascii="宋体" w:hAnsi="宋体" w:eastAsia="宋体" w:cs="宋体"/>
          <w:i w:val="0"/>
          <w:iCs w:val="0"/>
          <w:caps w:val="0"/>
          <w:color w:val="262626"/>
          <w:spacing w:val="0"/>
          <w:sz w:val="18"/>
          <w:szCs w:val="18"/>
          <w:shd w:val="clear" w:fill="FFFFFF"/>
          <w:vertAlign w:val="baseline"/>
        </w:rPr>
        <w:t>2019年，对求职者而言是很艰难的一年，但即便如此也没有影响互联网大公司对人才的争夺。以字节跳动为例，公开信息显示，其员工数量已经超过6万人，2019年大幅扩张，尤其对于互联网。数据显示，2019年技术人才对于字节跳动的热爱需求量在所有公司中处于绝对的优势。与还处于成长期的字节跳动不同，当前BAT（B表示百度，A表示阿里巴巴，T表示腾讯）三家大公司已经步入成熟期。但在人才需求量上，阿里巴巴和腾讯依旧未减。此外，美团点评和滴滴出行两家公司的人才需求量也较为稳定。值得注意的是，2019年一直低调的快手加快了发展脚步，这也反应到了其第四季度猛增的人才需求量上。事实上，尽管如今互联网行业整体的招人势头在降温，但各公司对技术人才的吸纳从未停歇。</w:t>
      </w:r>
    </w:p>
    <w:p>
      <w:pPr>
        <w:numPr>
          <w:ilvl w:val="0"/>
          <w:numId w:val="0"/>
        </w:numPr>
        <w:rPr>
          <w:rFonts w:hint="default"/>
          <w:lang w:val="en-US" w:eastAsia="zh-CN"/>
        </w:rPr>
      </w:pPr>
      <w:r>
        <w:rPr>
          <w:rFonts w:hint="default"/>
          <w:lang w:val="en-US" w:eastAsia="zh-CN"/>
        </w:rPr>
        <w:drawing>
          <wp:inline distT="0" distB="0" distL="114300" distR="114300">
            <wp:extent cx="2623185" cy="2037080"/>
            <wp:effectExtent l="0" t="0" r="5715" b="1270"/>
            <wp:docPr id="11" name="图片 11"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9"/>
                    <pic:cNvPicPr>
                      <a:picLocks noChangeAspect="1"/>
                    </pic:cNvPicPr>
                  </pic:nvPicPr>
                  <pic:blipFill>
                    <a:blip r:embed="rId13"/>
                    <a:stretch>
                      <a:fillRect/>
                    </a:stretch>
                  </pic:blipFill>
                  <pic:spPr>
                    <a:xfrm>
                      <a:off x="0" y="0"/>
                      <a:ext cx="2623185" cy="2037080"/>
                    </a:xfrm>
                    <a:prstGeom prst="rect">
                      <a:avLst/>
                    </a:prstGeom>
                  </pic:spPr>
                </pic:pic>
              </a:graphicData>
            </a:graphic>
          </wp:inline>
        </w:drawing>
      </w:r>
    </w:p>
    <w:p>
      <w:pPr>
        <w:numPr>
          <w:ilvl w:val="0"/>
          <w:numId w:val="0"/>
        </w:numPr>
        <w:rPr>
          <w:rFonts w:hint="default"/>
          <w:lang w:val="en-US" w:eastAsia="zh-CN"/>
        </w:rPr>
      </w:pPr>
    </w:p>
    <w:p>
      <w:pPr>
        <w:numPr>
          <w:ilvl w:val="0"/>
          <w:numId w:val="0"/>
        </w:numPr>
        <w:rPr>
          <w:rFonts w:hint="default"/>
          <w:lang w:val="en-US" w:eastAsia="zh-CN"/>
        </w:rPr>
      </w:pPr>
    </w:p>
    <w:p>
      <w:pPr>
        <w:numPr>
          <w:ilvl w:val="0"/>
          <w:numId w:val="1"/>
        </w:num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行业薪酬水平</w:t>
      </w:r>
    </w:p>
    <w:p>
      <w:pPr>
        <w:numPr>
          <w:ilvl w:val="1"/>
          <w:numId w:val="1"/>
        </w:numP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不同行业薪酬水平比较</w:t>
      </w:r>
    </w:p>
    <w:p>
      <w:pPr>
        <w:numPr>
          <w:ilvl w:val="0"/>
          <w:numId w:val="0"/>
        </w:numPr>
        <w:ind w:leftChars="0" w:firstLine="360" w:firstLineChars="2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据表3.1.1</w:t>
      </w:r>
      <w:r>
        <w:rPr>
          <w:rFonts w:hint="eastAsia" w:ascii="宋体" w:hAnsi="宋体" w:eastAsia="宋体" w:cs="宋体"/>
          <w:b/>
          <w:bCs/>
          <w:sz w:val="18"/>
          <w:szCs w:val="18"/>
          <w:vertAlign w:val="superscript"/>
          <w:lang w:val="en-US" w:eastAsia="zh-CN"/>
        </w:rPr>
        <w:t>[2]</w:t>
      </w:r>
      <w:r>
        <w:rPr>
          <w:rFonts w:hint="eastAsia" w:ascii="宋体" w:hAnsi="宋体" w:eastAsia="宋体" w:cs="宋体"/>
          <w:sz w:val="18"/>
          <w:szCs w:val="18"/>
          <w:lang w:val="en-US" w:eastAsia="zh-CN"/>
        </w:rPr>
        <w:t>数据显示，在城镇非私营单位中，年平均工资最高的行业是信息传输、软件和信息技术服务业，达161352元。在城镇私营单位中，年均工资最高的行业也是信息传输、软件和信息技术服务业，为85301元。</w:t>
      </w:r>
    </w:p>
    <w:p>
      <w:pPr>
        <w:numPr>
          <w:ilvl w:val="0"/>
          <w:numId w:val="0"/>
        </w:numPr>
        <w:ind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drawing>
          <wp:inline distT="0" distB="0" distL="114300" distR="114300">
            <wp:extent cx="3089910" cy="3848100"/>
            <wp:effectExtent l="0" t="0" r="15240" b="0"/>
            <wp:docPr id="13" name="图片 1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0"/>
                    <pic:cNvPicPr>
                      <a:picLocks noChangeAspect="1"/>
                    </pic:cNvPicPr>
                  </pic:nvPicPr>
                  <pic:blipFill>
                    <a:blip r:embed="rId14"/>
                    <a:stretch>
                      <a:fillRect/>
                    </a:stretch>
                  </pic:blipFill>
                  <pic:spPr>
                    <a:xfrm>
                      <a:off x="0" y="0"/>
                      <a:ext cx="3089910" cy="3848100"/>
                    </a:xfrm>
                    <a:prstGeom prst="rect">
                      <a:avLst/>
                    </a:prstGeom>
                  </pic:spPr>
                </pic:pic>
              </a:graphicData>
            </a:graphic>
          </wp:inline>
        </w:drawing>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3.2 IT行业内不同岗位薪酬对比</w:t>
      </w:r>
    </w:p>
    <w:p>
      <w:pPr>
        <w:numPr>
          <w:ilvl w:val="0"/>
          <w:numId w:val="0"/>
        </w:numPr>
        <w:ind w:firstLine="360" w:firstLineChars="2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从表3.2.1数据来看，IT行业热门职位工资水平普遍较高，各个岗位的高级工程师最低年工资也在30万元以上。AI工程师，大数据工程师，云计算开发工程师和架构师更是高达40万元以上，总体而言IT行业软件工程师薪酬要高于硬件工程师。</w:t>
      </w:r>
    </w:p>
    <w:p>
      <w:pPr>
        <w:numPr>
          <w:ilvl w:val="0"/>
          <w:numId w:val="0"/>
        </w:numPr>
        <w:rPr>
          <w:rFonts w:hint="eastAsia" w:ascii="宋体" w:hAnsi="宋体" w:eastAsia="宋体" w:cs="宋体"/>
          <w:sz w:val="18"/>
          <w:szCs w:val="18"/>
          <w:lang w:val="en-US" w:eastAsia="zh-CN"/>
        </w:rPr>
      </w:pPr>
    </w:p>
    <w:p>
      <w:pPr>
        <w:numPr>
          <w:ilvl w:val="0"/>
          <w:numId w:val="0"/>
        </w:numPr>
        <w:rPr>
          <w:rFonts w:hint="eastAsia" w:ascii="宋体" w:hAnsi="宋体" w:eastAsia="宋体" w:cs="宋体"/>
          <w:sz w:val="18"/>
          <w:szCs w:val="18"/>
          <w:lang w:val="en-US" w:eastAsia="zh-CN"/>
        </w:rPr>
      </w:pPr>
    </w:p>
    <w:p>
      <w:pPr>
        <w:numPr>
          <w:ilvl w:val="0"/>
          <w:numId w:val="0"/>
        </w:numPr>
        <w:rPr>
          <w:rFonts w:hint="default"/>
          <w:lang w:val="en-US" w:eastAsia="zh-CN"/>
        </w:rPr>
      </w:pPr>
      <w:r>
        <w:rPr>
          <w:rFonts w:hint="default"/>
          <w:lang w:val="en-US" w:eastAsia="zh-CN"/>
        </w:rPr>
        <w:drawing>
          <wp:inline distT="0" distB="0" distL="114300" distR="114300">
            <wp:extent cx="2670810" cy="2459990"/>
            <wp:effectExtent l="0" t="0" r="15240" b="16510"/>
            <wp:docPr id="14" name="图片 14"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1"/>
                    <pic:cNvPicPr>
                      <a:picLocks noChangeAspect="1"/>
                    </pic:cNvPicPr>
                  </pic:nvPicPr>
                  <pic:blipFill>
                    <a:blip r:embed="rId15"/>
                    <a:stretch>
                      <a:fillRect/>
                    </a:stretch>
                  </pic:blipFill>
                  <pic:spPr>
                    <a:xfrm>
                      <a:off x="0" y="0"/>
                      <a:ext cx="2670810" cy="2459990"/>
                    </a:xfrm>
                    <a:prstGeom prst="rect">
                      <a:avLst/>
                    </a:prstGeom>
                  </pic:spPr>
                </pic:pic>
              </a:graphicData>
            </a:graphic>
          </wp:inline>
        </w:drawing>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ascii="黑体" w:hAnsi="黑体" w:eastAsia="黑体" w:cs="黑体"/>
          <w:lang w:val="en-US" w:eastAsia="zh-CN"/>
        </w:rPr>
      </w:pP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结论</w:t>
      </w:r>
    </w:p>
    <w:p>
      <w:pPr>
        <w:numPr>
          <w:ilvl w:val="0"/>
          <w:numId w:val="0"/>
        </w:numPr>
        <w:ind w:firstLine="360" w:firstLineChars="20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通过上面论述，我们可以知道，虽然2020年IT行业整体而言人才需求有下降趋势，但是各个大公司对人才的需求仍保持稳定或继续增长。与此同时，IT行业薪酬增幅放缓，招聘人才越来越注重人才的能力水平。</w:t>
      </w:r>
    </w:p>
    <w:p>
      <w:pPr>
        <w:numPr>
          <w:ilvl w:val="0"/>
          <w:numId w:val="0"/>
        </w:numPr>
        <w:ind w:firstLine="360" w:firstLineChars="200"/>
        <w:rPr>
          <w:rFonts w:hint="eastAsia" w:ascii="宋体" w:hAnsi="宋体" w:eastAsia="宋体" w:cs="宋体"/>
          <w:sz w:val="18"/>
          <w:szCs w:val="18"/>
          <w:lang w:val="en-US" w:eastAsia="zh-CN"/>
        </w:rPr>
      </w:pPr>
    </w:p>
    <w:p>
      <w:pPr>
        <w:numPr>
          <w:ilvl w:val="0"/>
          <w:numId w:val="0"/>
        </w:numP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参考文献</w:t>
      </w:r>
    </w:p>
    <w:p>
      <w:pPr>
        <w:numPr>
          <w:ilvl w:val="0"/>
          <w:numId w:val="0"/>
        </w:numPr>
        <w:rPr>
          <w:rFonts w:hint="default" w:ascii="黑体" w:hAnsi="黑体" w:eastAsia="黑体" w:cs="黑体"/>
          <w:sz w:val="21"/>
          <w:szCs w:val="21"/>
          <w:lang w:val="en-US" w:eastAsia="zh-CN"/>
        </w:rPr>
      </w:pPr>
      <w:r>
        <w:rPr>
          <w:rFonts w:hint="eastAsia" w:ascii="宋体" w:hAnsi="宋体" w:eastAsia="宋体" w:cs="宋体"/>
          <w:sz w:val="18"/>
          <w:szCs w:val="18"/>
          <w:lang w:val="en-US" w:eastAsia="zh-CN"/>
        </w:rPr>
        <w:t>[1]中智咨询人力资本数据中心.2020年重点行业薪酬趋势指南[EB/OL].</w:t>
      </w:r>
    </w:p>
    <w:p>
      <w:pPr>
        <w:pStyle w:val="3"/>
        <w:snapToGrid w:val="0"/>
        <w:rPr>
          <w:rFonts w:hint="default" w:ascii="宋体" w:hAnsi="宋体" w:eastAsia="宋体" w:cs="宋体"/>
          <w:sz w:val="18"/>
          <w:szCs w:val="18"/>
          <w:lang w:val="en-US" w:eastAsia="zh-CN"/>
        </w:rPr>
      </w:pPr>
      <w:r>
        <w:rPr>
          <w:rFonts w:hint="eastAsia"/>
          <w:lang w:val="en-US" w:eastAsia="zh-CN"/>
        </w:rPr>
        <w:t>[</w:t>
      </w:r>
      <w:r>
        <w:rPr>
          <w:rFonts w:hint="eastAsia" w:ascii="宋体" w:hAnsi="宋体" w:eastAsia="宋体" w:cs="宋体"/>
          <w:sz w:val="18"/>
          <w:szCs w:val="18"/>
          <w:lang w:val="en-US" w:eastAsia="zh-CN"/>
        </w:rPr>
        <w:t>2]中国统计局.2020中国统计年鉴[R].北京: 中国统计出版社, 2020.</w:t>
      </w:r>
      <w:bookmarkStart w:id="0" w:name="_GoBack"/>
      <w:bookmarkEnd w:id="0"/>
    </w:p>
    <w:sectPr>
      <w:type w:val="continuous"/>
      <w:pgSz w:w="11906" w:h="16838"/>
      <w:pgMar w:top="1440" w:right="1800" w:bottom="1440" w:left="1800" w:header="851" w:footer="992" w:gutter="0"/>
      <w:cols w:equalWidth="0" w:num="2">
        <w:col w:w="3940" w:space="425"/>
        <w:col w:w="3940"/>
      </w:cols>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281003"/>
    <w:multiLevelType w:val="multilevel"/>
    <w:tmpl w:val="82281003"/>
    <w:lvl w:ilvl="0" w:tentative="0">
      <w:start w:val="3"/>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AB4BD0"/>
    <w:rsid w:val="04B13A79"/>
    <w:rsid w:val="073518EC"/>
    <w:rsid w:val="0A9B1827"/>
    <w:rsid w:val="0B0D00D0"/>
    <w:rsid w:val="0D914FEB"/>
    <w:rsid w:val="11922962"/>
    <w:rsid w:val="13394998"/>
    <w:rsid w:val="1512765B"/>
    <w:rsid w:val="179F1862"/>
    <w:rsid w:val="1E376E68"/>
    <w:rsid w:val="1E6151EF"/>
    <w:rsid w:val="1F802F38"/>
    <w:rsid w:val="25CD269F"/>
    <w:rsid w:val="280A7A86"/>
    <w:rsid w:val="2AFD4C83"/>
    <w:rsid w:val="2D1C7C34"/>
    <w:rsid w:val="2E617564"/>
    <w:rsid w:val="2EB710A9"/>
    <w:rsid w:val="32BC13DA"/>
    <w:rsid w:val="33F24AC1"/>
    <w:rsid w:val="365762DD"/>
    <w:rsid w:val="38B2268A"/>
    <w:rsid w:val="3A0E3289"/>
    <w:rsid w:val="405F0DF2"/>
    <w:rsid w:val="43255DF1"/>
    <w:rsid w:val="4BB8077D"/>
    <w:rsid w:val="4C6E51B3"/>
    <w:rsid w:val="4D0A2029"/>
    <w:rsid w:val="4EC2657C"/>
    <w:rsid w:val="4F22334E"/>
    <w:rsid w:val="506C1FE8"/>
    <w:rsid w:val="55693A30"/>
    <w:rsid w:val="572D3910"/>
    <w:rsid w:val="58CA402D"/>
    <w:rsid w:val="61507ADC"/>
    <w:rsid w:val="61877E33"/>
    <w:rsid w:val="62401258"/>
    <w:rsid w:val="64CF5925"/>
    <w:rsid w:val="67212325"/>
    <w:rsid w:val="67C35BEF"/>
    <w:rsid w:val="6D1E7442"/>
    <w:rsid w:val="700F23EA"/>
    <w:rsid w:val="724A74D8"/>
    <w:rsid w:val="72AB4BD0"/>
    <w:rsid w:val="7768745C"/>
    <w:rsid w:val="7CA255D5"/>
    <w:rsid w:val="7CEF5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endnote text"/>
    <w:basedOn w:val="1"/>
    <w:qFormat/>
    <w:uiPriority w:val="0"/>
    <w:pPr>
      <w:snapToGrid w:val="0"/>
      <w:jc w:val="left"/>
    </w:pPr>
  </w:style>
  <w:style w:type="paragraph" w:styleId="4">
    <w:name w:val="footnote text"/>
    <w:basedOn w:val="1"/>
    <w:uiPriority w:val="0"/>
    <w:pPr>
      <w:snapToGrid w:val="0"/>
      <w:jc w:val="left"/>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endnote reference"/>
    <w:basedOn w:val="7"/>
    <w:uiPriority w:val="0"/>
    <w:rPr>
      <w:vertAlign w:val="superscript"/>
    </w:rPr>
  </w:style>
  <w:style w:type="character" w:styleId="9">
    <w:name w:val="Hyperlink"/>
    <w:basedOn w:val="7"/>
    <w:uiPriority w:val="0"/>
    <w:rPr>
      <w:color w:val="0000FF"/>
      <w:u w:val="single"/>
    </w:rPr>
  </w:style>
  <w:style w:type="character" w:styleId="10">
    <w:name w:val="footnote reference"/>
    <w:basedOn w:val="7"/>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2021-04-07T13:24:00Z</dcterms:created>
  <dc:creator>jachin30</dc:creator>
  <cp:lastModifiedBy>jachin30</cp:lastModifiedBy>
  <dcterms:modified xsi:type="dcterms:W3CDTF">2021-04-09T02:06:00Z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0022A4F038D14E99AB05E038CC251DE7</vt:lpwstr>
  </property>
</Properties>
</file>