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Приложение "Погода"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ФТ001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Система должна запускать функцию определения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геолокации пользователя при каждом запуске приложения для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отображения погоды по местоположению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ФТ002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Система должна предоставлять возможность пользователю определять периодичность автоматического обновления данных погоды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ФТ003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Система должна предоставлять возможность выбирать и менять фон из заранее подготовленного списка, согласно Приложения 3, и выбранного пользователем из памяти устройства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ПТ001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Пользователь должен иметь возможность ввести населенный пункт для определения погоды в нем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ПТ002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Пользователь должен иметь возможность добавлять населенные пункты, определенные автоматически или введенные вручную, в закладку "Избранное"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ПТ003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Пользователь должен иметь возможность выбирать период (конкретная дата, неделя, месяц) за который будет показана погода в разрезе дней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БП001 (бизнес-правила)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Реализация обмена данными должна соответствовать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правилам интеграционного взаимодействия, описанным в Приложении 1.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СТ001 (системные требования)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Приложение должно работать на ОС Android и IOS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ВСИ001 (внешние системы и интерфейсы)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Система должна показывать погоду с помощью анимированных картинок согласно требованиям, описанным в Приложении 2.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