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00B4C8"/>
          <w:sz w:val="64"/>
          <w:szCs w:val="64"/>
        </w:rPr>
        <w:t xml:space="preserve">FX-OB RESEARCH LAB</w:t>
      </w:r>
    </w:p>
    <w:p>
      <w:pPr>
        <w:spacing w:after="200"/>
        <w:jc w:val="center"/>
      </w:pPr>
      <w:r>
        <w:rPr>
          <w:rFonts w:ascii="Arial" w:cs="Arial" w:eastAsia="Arial" w:hAnsi="Arial"/>
          <w:b/>
          <w:bCs/>
          <w:color w:val="0F1929"/>
          <w:sz w:val="40"/>
          <w:szCs w:val="40"/>
        </w:rPr>
        <w:t xml:space="preserve">ENTRIES LAB — PRODUCT &amp; UX AUDIT</w:t>
      </w:r>
    </w:p>
    <w:p>
      <w:pPr>
        <w:spacing w:after="1200"/>
        <w:jc w:val="center"/>
      </w:pPr>
      <w:r>
        <w:rPr>
          <w:rFonts w:ascii="Arial" w:cs="Arial" w:eastAsia="Arial" w:hAnsi="Arial"/>
          <w:i/>
          <w:iCs/>
          <w:color w:val="8899AA"/>
          <w:sz w:val="26"/>
          <w:szCs w:val="26"/>
        </w:rPr>
        <w:t xml:space="preserve">Institutional-Grade Entry Research Platform</w:t>
      </w:r>
    </w:p>
    <w:p>
      <w:pPr>
        <w:spacing w:after="80"/>
        <w:jc w:val="center"/>
      </w:pPr>
      <w:r>
        <w:rPr>
          <w:rFonts w:ascii="Arial" w:cs="Arial" w:eastAsia="Arial" w:hAnsi="Arial"/>
          <w:color w:val="8899AA"/>
          <w:sz w:val="22"/>
          <w:szCs w:val="22"/>
        </w:rPr>
        <w:t xml:space="preserve">May 2026</w:t>
      </w:r>
    </w:p>
    <w:p>
      <w:pPr>
        <w:spacing w:after="2880"/>
        <w:jc w:val="center"/>
      </w:pPr>
      <w:r>
        <w:rPr>
          <w:rFonts w:ascii="Arial" w:cs="Arial" w:eastAsia="Arial" w:hAnsi="Arial"/>
          <w:b/>
          <w:bCs/>
          <w:color w:val="F0A800"/>
          <w:sz w:val="20"/>
          <w:szCs w:val="20"/>
        </w:rPr>
        <w:t xml:space="preserve">ADDITIVE AUDIT — NO FUNCTIONALITY REMOVED</w:t>
      </w:r>
    </w:p>
    <w:p>
      <w:pPr>
        <w:pageBreakBefore/>
      </w:pPr>
      <w:r>
        <w:t xml:space="preserve"/>
      </w:r>
    </w:p>
    <w:p>
      <w:pPr>
        <w:pStyle w:val="Heading1"/>
        <w:spacing w:after="240" w:before="480"/>
      </w:pPr>
      <w:r>
        <w:rPr>
          <w:rFonts w:ascii="Arial" w:cs="Arial" w:eastAsia="Arial" w:hAnsi="Arial"/>
          <w:b/>
          <w:bCs/>
          <w:color w:val="0F1929"/>
          <w:sz w:val="40"/>
          <w:szCs w:val="40"/>
        </w:rPr>
        <w:t xml:space="preserve">1. Files Reviewed</w:t>
      </w:r>
    </w:p>
    <w:p>
      <w:pPr>
        <w:spacing w:after="140"/>
      </w:pPr>
      <w:r>
        <w:rPr>
          <w:rFonts w:ascii="Arial" w:cs="Arial" w:eastAsia="Arial" w:hAnsi="Arial"/>
          <w:color w:val="1A2638"/>
          <w:sz w:val="22"/>
          <w:szCs w:val="22"/>
        </w:rPr>
        <w:t xml:space="preserve">The following source files were read in full and form the complete audit scope.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File</w:t>
            </w:r>
          </w:p>
        </w:tc>
        <w:tc>
          <w:tcPr>
            <w:tcW w:type="dxa" w:w="516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Role</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frontend/src/pages/EntriesLab.jsx</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Main page — all layout, data logic, analytics builders, and export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frontend/src/components/lab/ActiveRunContext.jsx</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Page header context strip — run/project metadata display</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frontend/src/components/lab/NeonPanel.jsx</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Panel primitive — glass panel with collapsible v2</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frontend/src/components/lab/MetricChip.jsx</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KPI chip with sparkline support (sparkline unused here)</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frontend/src/components/lab/DataTable.jsx</w:t>
            </w:r>
          </w:p>
        </w:tc>
        <w:tc>
          <w:tcPr>
            <w:tcW w:type="dxa" w:w="51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Table primitive — sort + heatmap mode (heatmap unused here)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frontend/src/data/store.js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Global reactive data store — run/project/variant state</w:t>
            </w:r>
          </w:p>
        </w:tc>
      </w:tr>
    </w:tbl>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2. Current Strengths</w:t>
      </w:r>
    </w:p>
    <w:p>
      <w:pPr>
        <w:pBdr>
          <w:left w:val="thick" w:color="0A6040" w:sz="12" w:space="8"/>
        </w:pBdr>
        <w:shd w:fill="E8FAF0" w:val="clear"/>
        <w:spacing w:after="180" w:before="100"/>
        <w:ind w:left="240"/>
      </w:pPr>
      <w:r>
        <w:rPr>
          <w:rFonts w:ascii="Arial" w:cs="Arial" w:eastAsia="Arial" w:hAnsi="Arial"/>
          <w:b w:val="false"/>
          <w:bCs w:val="false"/>
          <w:color w:val="0A6040"/>
          <w:sz w:val="20"/>
          <w:szCs w:val="20"/>
        </w:rPr>
        <w:t xml:space="preserve">This is already a serious research page. The strengths below are genuine — the audit adds capability, not replacements.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Architecture</w:t>
      </w:r>
    </w:p>
    <w:p>
      <w:pPr>
        <w:pStyle w:val="ListParagraph"/>
        <w:numPr>
          <w:ilvl w:val="0"/>
          <w:numId w:val="2"/>
        </w:numPr>
        <w:spacing w:after="80"/>
      </w:pPr>
      <w:r>
        <w:rPr>
          <w:rFonts w:ascii="Arial" w:cs="Arial" w:eastAsia="Arial" w:hAnsi="Arial"/>
          <w:color w:val="1A2638"/>
          <w:sz w:val="22"/>
          <w:szCs w:val="22"/>
        </w:rPr>
        <w:t xml:space="preserve">PLANNED_ENTRY_MODES registry — all entry models declared in one constant array with mode key, label, family, and threshold. This is the right extensibility pattern.</w:t>
      </w:r>
    </w:p>
    <w:p>
      <w:pPr>
        <w:pStyle w:val="ListParagraph"/>
        <w:numPr>
          <w:ilvl w:val="0"/>
          <w:numId w:val="2"/>
        </w:numPr>
        <w:spacing w:after="80"/>
      </w:pPr>
      <w:r>
        <w:rPr>
          <w:rFonts w:ascii="Arial" w:cs="Arial" w:eastAsia="Arial" w:hAnsi="Arial"/>
          <w:color w:val="1A2638"/>
          <w:sz w:val="22"/>
          <w:szCs w:val="22"/>
        </w:rPr>
        <w:t xml:space="preserve">normalizeMode() normalization layer means Python output field naming variants (entry_mode, entry_model, etc.) all resolve cleanly. Resilient to exporter changes.</w:t>
      </w:r>
    </w:p>
    <w:p>
      <w:pPr>
        <w:pStyle w:val="ListParagraph"/>
        <w:numPr>
          <w:ilvl w:val="0"/>
          <w:numId w:val="2"/>
        </w:numPr>
        <w:spacing w:after="80"/>
      </w:pPr>
      <w:r>
        <w:rPr>
          <w:rFonts w:ascii="Arial" w:cs="Arial" w:eastAsia="Arial" w:hAnsi="Arial"/>
          <w:color w:val="1A2638"/>
          <w:sz w:val="22"/>
          <w:szCs w:val="22"/>
        </w:rPr>
        <w:t xml:space="preserve">flattenEntrySummary() handles variant-keyed summary objects (single_position, allow_multi_position, one_per_direction) transparently. Correct architecture for multi-variant runs.</w:t>
      </w:r>
    </w:p>
    <w:p>
      <w:pPr>
        <w:pStyle w:val="ListParagraph"/>
        <w:numPr>
          <w:ilvl w:val="0"/>
          <w:numId w:val="2"/>
        </w:numPr>
        <w:spacing w:after="80"/>
      </w:pPr>
      <w:r>
        <w:rPr>
          <w:rFonts w:ascii="Arial" w:cs="Arial" w:eastAsia="Arial" w:hAnsi="Arial"/>
          <w:color w:val="1A2638"/>
          <w:sz w:val="22"/>
          <w:szCs w:val="22"/>
        </w:rPr>
        <w:t xml:space="preserve">firstNumber() cascaded key lookup handles schema drift from Python outputs. Defensive and practical.</w:t>
      </w:r>
    </w:p>
    <w:p>
      <w:pPr>
        <w:pStyle w:val="ListParagraph"/>
        <w:numPr>
          <w:ilvl w:val="0"/>
          <w:numId w:val="2"/>
        </w:numPr>
        <w:spacing w:after="80"/>
      </w:pPr>
      <w:r>
        <w:rPr>
          <w:rFonts w:ascii="Arial" w:cs="Arial" w:eastAsia="Arial" w:hAnsi="Arial"/>
          <w:color w:val="1A2638"/>
          <w:sz w:val="22"/>
          <w:szCs w:val="22"/>
        </w:rPr>
        <w:t xml:space="preserve">entryResults.tradesByMode already plumbed — per-mode trade-level arrays are supported in the data layer even before the UI uses them fully.</w:t>
      </w:r>
    </w:p>
    <w:p>
      <w:pPr>
        <w:pStyle w:val="ListParagraph"/>
        <w:numPr>
          <w:ilvl w:val="0"/>
          <w:numId w:val="2"/>
        </w:numPr>
        <w:spacing w:after="80"/>
      </w:pPr>
      <w:r>
        <w:rPr>
          <w:rFonts w:ascii="Arial" w:cs="Arial" w:eastAsia="Arial" w:hAnsi="Arial"/>
          <w:color w:val="1A2638"/>
          <w:sz w:val="22"/>
          <w:szCs w:val="22"/>
        </w:rPr>
        <w:t xml:space="preserve">ENTRY_BACKLOG and FUTURE_ENTRY_MODELS as constants — research roadmap is version-controlled and visible inside the product.</w:t>
      </w:r>
    </w:p>
    <w:p>
      <w:pPr>
        <w:pStyle w:val="ListParagraph"/>
        <w:numPr>
          <w:ilvl w:val="0"/>
          <w:numId w:val="2"/>
        </w:numPr>
        <w:spacing w:after="80"/>
      </w:pPr>
      <w:r>
        <w:rPr>
          <w:rFonts w:ascii="Arial" w:cs="Arial" w:eastAsia="Arial" w:hAnsi="Arial"/>
          <w:color w:val="1A2638"/>
          <w:sz w:val="22"/>
          <w:szCs w:val="22"/>
        </w:rPr>
        <w:t xml:space="preserve">family field on PLANNED_ENTRY_MODES allows future family-level grouping.</w:t>
      </w:r>
    </w:p>
    <w:p>
      <w:pPr>
        <w:pStyle w:val="ListParagraph"/>
        <w:numPr>
          <w:ilvl w:val="0"/>
          <w:numId w:val="2"/>
        </w:numPr>
        <w:spacing w:after="80"/>
      </w:pPr>
      <w:r>
        <w:rPr>
          <w:rFonts w:ascii="Arial" w:cs="Arial" w:eastAsia="Arial" w:hAnsi="Arial"/>
          <w:color w:val="1A2638"/>
          <w:sz w:val="22"/>
          <w:szCs w:val="22"/>
        </w:rPr>
        <w:t xml:space="preserve">Low-sample warning (LOW_SAMPLE_N = 10) baked into BucketLabel.</w:t>
      </w:r>
    </w:p>
    <w:p>
      <w:pPr>
        <w:pStyle w:val="ListParagraph"/>
        <w:numPr>
          <w:ilvl w:val="0"/>
          <w:numId w:val="2"/>
        </w:numPr>
        <w:spacing w:after="80"/>
      </w:pPr>
      <w:r>
        <w:rPr>
          <w:rFonts w:ascii="Arial" w:cs="Arial" w:eastAsia="Arial" w:hAnsi="Arial"/>
          <w:color w:val="1A2638"/>
          <w:sz w:val="22"/>
          <w:szCs w:val="22"/>
        </w:rPr>
        <w:t xml:space="preserve">Four highlight tags (isBestNetR, isBestExpectancy, isLowestDD, isBestFillPct) computed cleanly and applied to rows.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UI Primitives</w:t>
      </w:r>
    </w:p>
    <w:p>
      <w:pPr>
        <w:pStyle w:val="ListParagraph"/>
        <w:numPr>
          <w:ilvl w:val="0"/>
          <w:numId w:val="2"/>
        </w:numPr>
        <w:spacing w:after="80"/>
      </w:pPr>
      <w:r>
        <w:rPr>
          <w:rFonts w:ascii="Arial" w:cs="Arial" w:eastAsia="Arial" w:hAnsi="Arial"/>
          <w:color w:val="1A2638"/>
          <w:sz w:val="22"/>
          <w:szCs w:val="22"/>
        </w:rPr>
        <w:t xml:space="preserve">NeonPanel has collapsible v2 already implemented — panels can be collapsed without code changes.</w:t>
      </w:r>
    </w:p>
    <w:p>
      <w:pPr>
        <w:pStyle w:val="ListParagraph"/>
        <w:numPr>
          <w:ilvl w:val="0"/>
          <w:numId w:val="2"/>
        </w:numPr>
        <w:spacing w:after="80"/>
      </w:pPr>
      <w:r>
        <w:rPr>
          <w:rFonts w:ascii="Arial" w:cs="Arial" w:eastAsia="Arial" w:hAnsi="Arial"/>
          <w:color w:val="1A2638"/>
          <w:sz w:val="22"/>
          <w:szCs w:val="22"/>
        </w:rPr>
        <w:t xml:space="preserve">DataTable has column sort and per-column heatmap shading built in, though neither is activated on the ExactResultsTable.</w:t>
      </w:r>
    </w:p>
    <w:p>
      <w:pPr>
        <w:pStyle w:val="ListParagraph"/>
        <w:numPr>
          <w:ilvl w:val="0"/>
          <w:numId w:val="2"/>
        </w:numPr>
        <w:spacing w:after="80"/>
      </w:pPr>
      <w:r>
        <w:rPr>
          <w:rFonts w:ascii="Arial" w:cs="Arial" w:eastAsia="Arial" w:hAnsi="Arial"/>
          <w:color w:val="1A2638"/>
          <w:sz w:val="22"/>
          <w:szCs w:val="22"/>
        </w:rPr>
        <w:t xml:space="preserve">MetricChip accepts a sparkline prop (array of numbers) — equity delta curves could be wired in without new components.</w:t>
      </w:r>
    </w:p>
    <w:p>
      <w:pPr>
        <w:pStyle w:val="ListParagraph"/>
        <w:numPr>
          <w:ilvl w:val="0"/>
          <w:numId w:val="2"/>
        </w:numPr>
        <w:spacing w:after="80"/>
      </w:pPr>
      <w:r>
        <w:rPr>
          <w:rFonts w:ascii="Arial" w:cs="Arial" w:eastAsia="Arial" w:hAnsi="Arial"/>
          <w:color w:val="1A2638"/>
          <w:sz w:val="22"/>
          <w:szCs w:val="22"/>
        </w:rPr>
        <w:t xml:space="preserve">Pill component has seven tones (muted, primary, secondary, info, success, danger, warning) — semantic colouring is consistent.</w:t>
      </w:r>
    </w:p>
    <w:p>
      <w:pPr>
        <w:pStyle w:val="ListParagraph"/>
        <w:numPr>
          <w:ilvl w:val="0"/>
          <w:numId w:val="2"/>
        </w:numPr>
        <w:spacing w:after="80"/>
      </w:pPr>
      <w:r>
        <w:rPr>
          <w:rFonts w:ascii="Arial" w:cs="Arial" w:eastAsia="Arial" w:hAnsi="Arial"/>
          <w:color w:val="1A2638"/>
          <w:sz w:val="22"/>
          <w:szCs w:val="22"/>
        </w:rPr>
        <w:t xml:space="preserve">buildHourGrid() produces a clean day×hour cell map with netR and count — solid foundation for more heatmap variants.</w:t>
      </w:r>
    </w:p>
    <w:p>
      <w:pPr>
        <w:pStyle w:val="ListParagraph"/>
        <w:numPr>
          <w:ilvl w:val="0"/>
          <w:numId w:val="2"/>
        </w:numPr>
        <w:spacing w:after="80"/>
      </w:pPr>
      <w:r>
        <w:rPr>
          <w:rFonts w:ascii="Arial" w:cs="Arial" w:eastAsia="Arial" w:hAnsi="Arial"/>
          <w:color w:val="1A2638"/>
          <w:sz w:val="22"/>
          <w:szCs w:val="22"/>
        </w:rPr>
        <w:t xml:space="preserve">sessionOf() correctly bins by UTC hour ranges for five FX session windows.</w:t>
      </w:r>
    </w:p>
    <w:p>
      <w:pPr>
        <w:pStyle w:val="ListParagraph"/>
        <w:numPr>
          <w:ilvl w:val="0"/>
          <w:numId w:val="2"/>
        </w:numPr>
        <w:spacing w:after="80"/>
      </w:pPr>
      <w:r>
        <w:rPr>
          <w:rFonts w:ascii="Arial" w:cs="Arial" w:eastAsia="Arial" w:hAnsi="Arial"/>
          <w:color w:val="1A2638"/>
          <w:sz w:val="22"/>
          <w:szCs w:val="22"/>
        </w:rPr>
        <w:t xml:space="preserve">maxDrawdown() is present and correctly computed on the trade list.</w:t>
      </w:r>
    </w:p>
    <w:p>
      <w:pPr>
        <w:pStyle w:val="ListParagraph"/>
        <w:numPr>
          <w:ilvl w:val="0"/>
          <w:numId w:val="2"/>
        </w:numPr>
        <w:spacing w:after="80"/>
      </w:pPr>
      <w:r>
        <w:rPr>
          <w:rFonts w:ascii="Arial" w:cs="Arial" w:eastAsia="Arial" w:hAnsi="Arial"/>
          <w:color w:val="1A2638"/>
          <w:sz w:val="22"/>
          <w:szCs w:val="22"/>
        </w:rPr>
        <w:t xml:space="preserve">exportEntryResults CSV export is present with a reasonable field set.</w:t>
      </w:r>
    </w:p>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3. Bugs &amp; Data Integrity Issues</w:t>
      </w:r>
    </w:p>
    <w:p>
      <w:pPr>
        <w:pBdr>
          <w:left w:val="thick" w:color="8A1A1A" w:sz="12" w:space="8"/>
        </w:pBdr>
        <w:shd w:fill="FDE8E8" w:val="clear"/>
        <w:spacing w:after="180" w:before="100"/>
        <w:ind w:left="240"/>
      </w:pPr>
      <w:r>
        <w:rPr>
          <w:rFonts w:ascii="Arial" w:cs="Arial" w:eastAsia="Arial" w:hAnsi="Arial"/>
          <w:b w:val="false"/>
          <w:bCs w:val="false"/>
          <w:color w:val="8A1A1A"/>
          <w:sz w:val="20"/>
          <w:szCs w:val="20"/>
        </w:rPr>
        <w:t xml:space="preserve">These are issues found in the current implementation that would distort research conclusions if left unfixed. Address before expanding features.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Critical: Duplicate Heatmap Data</w:t>
      </w:r>
    </w:p>
    <w:p>
      <w:pPr>
        <w:spacing w:after="140"/>
      </w:pPr>
      <w:r>
        <w:rPr>
          <w:rFonts w:ascii="Arial" w:cs="Arial" w:eastAsia="Arial" w:hAnsi="Arial"/>
          <w:color w:val="1A2638"/>
          <w:sz w:val="22"/>
          <w:szCs w:val="22"/>
        </w:rPr>
        <w:t xml:space="preserve">buildEntryAnalytics() calls buildHourGrid(list) twice — once for hourGrid (Entry Timing Heatmap) and once for toxicityGrid (Day/Hour Entry Toxicity). Both receive the identical trade list with no filtering, so both heatmaps display exactly the same data. The toxicity grid should be built from losing trades only (or from trades where fill occurred but outcome was a loss), not all trades.</w:t>
      </w:r>
    </w:p>
    <w:p>
      <w:pPr>
        <w:pBdr>
          <w:left w:val="thick" w:color="8A5C00" w:sz="12" w:space="8"/>
        </w:pBdr>
        <w:shd w:fill="FFF8E6" w:val="clear"/>
        <w:spacing w:after="180" w:before="100"/>
        <w:ind w:left="240"/>
      </w:pPr>
      <w:r>
        <w:rPr>
          <w:rFonts w:ascii="Arial" w:cs="Arial" w:eastAsia="Arial" w:hAnsi="Arial"/>
          <w:b w:val="false"/>
          <w:bCs w:val="false"/>
          <w:color w:val="8A5C00"/>
          <w:sz w:val="20"/>
          <w:szCs w:val="20"/>
        </w:rPr>
        <w:t xml:space="preserve">Fix: pass list.filter(t =&gt; rOf(t) &lt; 0) to the toxicity grid call.</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Critical: Session Fill Rate Hardcoded to 100%</w:t>
      </w:r>
    </w:p>
    <w:p>
      <w:pPr>
        <w:spacing w:after="140"/>
      </w:pPr>
      <w:r>
        <w:rPr>
          <w:rFonts w:ascii="Arial" w:cs="Arial" w:eastAsia="Arial" w:hAnsi="Arial"/>
          <w:color w:val="1A2638"/>
          <w:sz w:val="22"/>
          <w:szCs w:val="22"/>
        </w:rPr>
        <w:t xml:space="preserve">The bucket() helper — used for session rows — always sets fillPct to rows.length ? 100 : 0. This is only correct for the baseline where every trade is by definition "filled". For entry-filtered models where sessions should show their actual fill rates, this is wrong and misleads the researcher.</w:t>
      </w:r>
    </w:p>
    <w:p>
      <w:pPr>
        <w:pBdr>
          <w:left w:val="thick" w:color="8A5C00" w:sz="12" w:space="8"/>
        </w:pBdr>
        <w:shd w:fill="FFF8E6" w:val="clear"/>
        <w:spacing w:after="180" w:before="100"/>
        <w:ind w:left="240"/>
      </w:pPr>
      <w:r>
        <w:rPr>
          <w:rFonts w:ascii="Arial" w:cs="Arial" w:eastAsia="Arial" w:hAnsi="Arial"/>
          <w:b w:val="false"/>
          <w:bCs w:val="false"/>
          <w:color w:val="8A5C00"/>
          <w:sz w:val="20"/>
          <w:szCs w:val="20"/>
        </w:rPr>
        <w:t xml:space="preserve">Fix: bucket() needs an optional fills argument or the session rows need a separate builder that accepts fills alongside trades.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avgMAE / avgMFE / avgTimeToTP / avgTimeToSL Stored but Never Displayed</w:t>
      </w:r>
    </w:p>
    <w:p>
      <w:pPr>
        <w:spacing w:after="140"/>
      </w:pPr>
      <w:r>
        <w:rPr>
          <w:rFonts w:ascii="Arial" w:cs="Arial" w:eastAsia="Arial" w:hAnsi="Arial"/>
          <w:color w:val="1A2638"/>
          <w:sz w:val="22"/>
          <w:szCs w:val="22"/>
        </w:rPr>
        <w:t xml:space="preserve">entryRowFromSummary() correctly parses and stores avgMAE, avgMFE, avgTimeToTP, and avgTimeToSL from Python output. None of these four fields appear in ExactResultsTable, BucketPanel, or any other rendered view. This data is imported, parsed, and silently discarded. These are among the highest-signal metrics for understanding fill quality.</w:t>
      </w:r>
    </w:p>
    <w:p>
      <w:pPr>
        <w:pBdr>
          <w:left w:val="thick" w:color="8A5C00" w:sz="12" w:space="8"/>
        </w:pBdr>
        <w:shd w:fill="FFF8E6" w:val="clear"/>
        <w:spacing w:after="180" w:before="100"/>
        <w:ind w:left="240"/>
      </w:pPr>
      <w:r>
        <w:rPr>
          <w:rFonts w:ascii="Arial" w:cs="Arial" w:eastAsia="Arial" w:hAnsi="Arial"/>
          <w:b w:val="false"/>
          <w:bCs w:val="false"/>
          <w:color w:val="8A5C00"/>
          <w:sz w:val="20"/>
          <w:szCs w:val="20"/>
        </w:rPr>
        <w:t xml:space="preserve">Fix: Add a toggleable extended-columns mode to ExactResultsTable showing these four fields.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ExactResultsTable Not Using DataTable</w:t>
      </w:r>
    </w:p>
    <w:p>
      <w:pPr>
        <w:spacing w:after="140"/>
      </w:pPr>
      <w:r>
        <w:rPr>
          <w:rFonts w:ascii="Arial" w:cs="Arial" w:eastAsia="Arial" w:hAnsi="Arial"/>
          <w:color w:val="1A2638"/>
          <w:sz w:val="22"/>
          <w:szCs w:val="22"/>
        </w:rPr>
        <w:t xml:space="preserve">ExactResultsTable is a hand-rolled table that duplicates the sorting, hover, and layout logic already in DataTable. DataTable already has column sorting and heatmap shading built in and tested. The hand-rolled version offers none of this — no sort, no heatmap, no future extensibility. As more columns are added this divergence compounds.</w:t>
      </w:r>
    </w:p>
    <w:p>
      <w:pPr>
        <w:pBdr>
          <w:left w:val="thick" w:color="8A5C00" w:sz="12" w:space="8"/>
        </w:pBdr>
        <w:shd w:fill="FFF8E6" w:val="clear"/>
        <w:spacing w:after="180" w:before="100"/>
        <w:ind w:left="240"/>
      </w:pPr>
      <w:r>
        <w:rPr>
          <w:rFonts w:ascii="Arial" w:cs="Arial" w:eastAsia="Arial" w:hAnsi="Arial"/>
          <w:b w:val="false"/>
          <w:bCs w:val="false"/>
          <w:color w:val="8A5C00"/>
          <w:sz w:val="20"/>
          <w:szCs w:val="20"/>
        </w:rPr>
        <w:t xml:space="preserve">Medium fix: migrate ExactResultsTable to use DataTable with heatmap=true and defaultSortKey="netR".</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EntryOutcomeMatrix "BASELINE VIEW" Pill Is Hardcoded</w:t>
      </w:r>
    </w:p>
    <w:p>
      <w:pPr>
        <w:spacing w:after="140"/>
      </w:pPr>
      <w:r>
        <w:rPr>
          <w:rFonts w:ascii="Arial" w:cs="Arial" w:eastAsia="Arial" w:hAnsi="Arial"/>
          <w:color w:val="1A2638"/>
          <w:sz w:val="22"/>
          <w:szCs w:val="22"/>
        </w:rPr>
        <w:t xml:space="preserve">The Pill on EntryOutcomeMatrix reads "BASELINE VIEW" unconditionally regardless of whether exact model data is loaded. Should reflect actual data state: show "EXACT + PENDING" when both baseline and model data are present.</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bestBy() Applied to "lowest" DD Incorrectly</w:t>
      </w:r>
    </w:p>
    <w:p>
      <w:pPr>
        <w:spacing w:after="140"/>
      </w:pPr>
      <w:r>
        <w:rPr>
          <w:rFonts w:ascii="Arial" w:cs="Arial" w:eastAsia="Arial" w:hAnsi="Arial"/>
          <w:color w:val="1A2638"/>
          <w:sz w:val="22"/>
          <w:szCs w:val="22"/>
        </w:rPr>
        <w:t xml:space="preserve">bestBy() picks the row with the highest numeric value of maxDD. But maxDrawdown() returns a negative number (0 to -N), so "best" max DD is the value closest to zero. The current bestBy(candidates, "maxDD") correctly finds the least negative value — this happens to work since -1 &gt; -10 numerically — but it is semantically fragile and unclear. A future sort by "maxDD" in descending order would surface the worst drawdown as "best". Should be explicit: bestByLowest(candidates, "maxDD") with its own comparator.</w:t>
      </w:r>
    </w:p>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4. Missing High-Value Functionality</w:t>
      </w:r>
    </w:p>
    <w:p>
      <w:pPr>
        <w:pBdr>
          <w:left w:val="thick" w:color="1A6FA0" w:sz="12" w:space="8"/>
        </w:pBdr>
        <w:shd w:fill="E8F4FD" w:val="clear"/>
        <w:spacing w:after="180" w:before="100"/>
        <w:ind w:left="240"/>
      </w:pPr>
      <w:r>
        <w:rPr>
          <w:rFonts w:ascii="Arial" w:cs="Arial" w:eastAsia="Arial" w:hAnsi="Arial"/>
          <w:b w:val="false"/>
          <w:bCs w:val="false"/>
          <w:color w:val="1A6FA0"/>
          <w:sz w:val="20"/>
          <w:szCs w:val="20"/>
        </w:rPr>
        <w:t xml:space="preserve">These are genuine research capabilities that cannot be answered with the current page. Ordered by research impact.</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4.1 Equity Curve Comparison per Entry Model</w:t>
      </w:r>
    </w:p>
    <w:p>
      <w:pPr>
        <w:spacing w:after="140"/>
      </w:pPr>
      <w:r>
        <w:rPr>
          <w:rFonts w:ascii="Arial" w:cs="Arial" w:eastAsia="Arial" w:hAnsi="Arial"/>
          <w:color w:val="1A2638"/>
          <w:sz w:val="22"/>
          <w:szCs w:val="22"/>
        </w:rPr>
        <w:t xml:space="preserve">This is the single largest analytical gap. The page shows summary statistics but there is no equity curve view overlaid per model. A researcher cannot see whether Model A has better terminal performance but worse drawdown trajectory than Model B, or whether the gains come entirely from a single regime. An equity curve overlay — baseline vs. each tested model as a line chart — would answer this immediately.</w:t>
      </w:r>
    </w:p>
    <w:p>
      <w:pPr>
        <w:pStyle w:val="ListParagraph"/>
        <w:numPr>
          <w:ilvl w:val="0"/>
          <w:numId w:val="2"/>
        </w:numPr>
        <w:spacing w:after="80"/>
      </w:pPr>
      <w:r>
        <w:rPr>
          <w:rFonts w:ascii="Arial" w:cs="Arial" w:eastAsia="Arial" w:hAnsi="Arial"/>
          <w:color w:val="1A2638"/>
          <w:sz w:val="22"/>
          <w:szCs w:val="22"/>
        </w:rPr>
        <w:t xml:space="preserve">Use computeEquityCurve() from store.js (already exists) on each model's tradesByMode trade list.</w:t>
      </w:r>
    </w:p>
    <w:p>
      <w:pPr>
        <w:pStyle w:val="ListParagraph"/>
        <w:numPr>
          <w:ilvl w:val="0"/>
          <w:numId w:val="2"/>
        </w:numPr>
        <w:spacing w:after="80"/>
      </w:pPr>
      <w:r>
        <w:rPr>
          <w:rFonts w:ascii="Arial" w:cs="Arial" w:eastAsia="Arial" w:hAnsi="Arial"/>
          <w:color w:val="1A2638"/>
          <w:sz w:val="22"/>
          <w:szCs w:val="22"/>
        </w:rPr>
        <w:t xml:space="preserve">Render as a lightweight SVG line chart inside a NeonPanel, overlaying baseline in teal and tested models in other colours.</w:t>
      </w:r>
    </w:p>
    <w:p>
      <w:pPr>
        <w:pStyle w:val="ListParagraph"/>
        <w:numPr>
          <w:ilvl w:val="0"/>
          <w:numId w:val="2"/>
        </w:numPr>
        <w:spacing w:after="80"/>
      </w:pPr>
      <w:r>
        <w:rPr>
          <w:rFonts w:ascii="Arial" w:cs="Arial" w:eastAsia="Arial" w:hAnsi="Arial"/>
          <w:color w:val="1A2638"/>
          <w:sz w:val="22"/>
          <w:szCs w:val="22"/>
        </w:rPr>
        <w:t xml:space="preserve">Add cumulative R labels at the end of each line.</w:t>
      </w:r>
    </w:p>
    <w:p>
      <w:pPr>
        <w:pStyle w:val="ListParagraph"/>
        <w:numPr>
          <w:ilvl w:val="0"/>
          <w:numId w:val="2"/>
        </w:numPr>
        <w:spacing w:after="80"/>
      </w:pPr>
      <w:r>
        <w:rPr>
          <w:rFonts w:ascii="Arial" w:cs="Arial" w:eastAsia="Arial" w:hAnsi="Arial"/>
          <w:color w:val="1A2638"/>
          <w:sz w:val="22"/>
          <w:szCs w:val="22"/>
        </w:rPr>
        <w:t xml:space="preserve">Add a drawdown ribbon below the curve (shaded band showing underwater depth per model).</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4.2 Per-Trade Entry Inspector (Drilldown)</w:t>
      </w:r>
    </w:p>
    <w:p>
      <w:pPr>
        <w:spacing w:after="140"/>
      </w:pPr>
      <w:r>
        <w:rPr>
          <w:rFonts w:ascii="Arial" w:cs="Arial" w:eastAsia="Arial" w:hAnsi="Arial"/>
          <w:color w:val="1A2638"/>
          <w:sz w:val="22"/>
          <w:szCs w:val="22"/>
        </w:rPr>
        <w:t xml:space="preserve">entryResults.tradesByMode is already plumbed but the UI offers no way to browse individual trades for a given model. A researcher cannot answer: "Which specific trades did this model miss?" or "Show me the five worst fills for penetration 50%." A trade-by-trade drilldown panel — triggered by clicking a row in ExactResultsTable — would unlock forensic capability.</w:t>
      </w:r>
    </w:p>
    <w:p>
      <w:pPr>
        <w:pStyle w:val="ListParagraph"/>
        <w:numPr>
          <w:ilvl w:val="0"/>
          <w:numId w:val="2"/>
        </w:numPr>
        <w:spacing w:after="80"/>
      </w:pPr>
      <w:r>
        <w:rPr>
          <w:rFonts w:ascii="Arial" w:cs="Arial" w:eastAsia="Arial" w:hAnsi="Arial"/>
          <w:color w:val="1A2638"/>
          <w:sz w:val="22"/>
          <w:szCs w:val="22"/>
        </w:rPr>
        <w:t xml:space="preserve">Clicking an ExactResultsTable row opens a slide-out panel (or expands below) listing all trades for that mode.</w:t>
      </w:r>
    </w:p>
    <w:p>
      <w:pPr>
        <w:pStyle w:val="ListParagraph"/>
        <w:numPr>
          <w:ilvl w:val="0"/>
          <w:numId w:val="2"/>
        </w:numPr>
        <w:spacing w:after="80"/>
      </w:pPr>
      <w:r>
        <w:rPr>
          <w:rFonts w:ascii="Arial" w:cs="Arial" w:eastAsia="Arial" w:hAnsi="Arial"/>
          <w:color w:val="1A2638"/>
          <w:sz w:val="22"/>
          <w:szCs w:val="22"/>
        </w:rPr>
        <w:t xml:space="preserve">Columns: Trade ID, Entry datetime, Session, Direction, OB ID, Entry price, R outcome, Fill quality, Entry lag (candles).</w:t>
      </w:r>
    </w:p>
    <w:p>
      <w:pPr>
        <w:pStyle w:val="ListParagraph"/>
        <w:numPr>
          <w:ilvl w:val="0"/>
          <w:numId w:val="2"/>
        </w:numPr>
        <w:spacing w:after="80"/>
      </w:pPr>
      <w:r>
        <w:rPr>
          <w:rFonts w:ascii="Arial" w:cs="Arial" w:eastAsia="Arial" w:hAnsi="Arial"/>
          <w:color w:val="1A2638"/>
          <w:sz w:val="22"/>
          <w:szCs w:val="22"/>
        </w:rPr>
        <w:t xml:space="preserve">Highlight missed fills, partial fills, and edge cases.</w:t>
      </w:r>
    </w:p>
    <w:p>
      <w:pPr>
        <w:pStyle w:val="ListParagraph"/>
        <w:numPr>
          <w:ilvl w:val="0"/>
          <w:numId w:val="2"/>
        </w:numPr>
        <w:spacing w:after="80"/>
      </w:pPr>
      <w:r>
        <w:rPr>
          <w:rFonts w:ascii="Arial" w:cs="Arial" w:eastAsia="Arial" w:hAnsi="Arial"/>
          <w:color w:val="1A2638"/>
          <w:sz w:val="22"/>
          <w:szCs w:val="22"/>
        </w:rPr>
        <w:t xml:space="preserve">Allow sorting by R outcome to immediately see best/worst performers.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4.3 Direction Asymmetry Analysis</w:t>
      </w:r>
    </w:p>
    <w:p>
      <w:pPr>
        <w:spacing w:after="140"/>
      </w:pPr>
      <w:r>
        <w:rPr>
          <w:rFonts w:ascii="Arial" w:cs="Arial" w:eastAsia="Arial" w:hAnsi="Arial"/>
          <w:color w:val="1A2638"/>
          <w:sz w:val="22"/>
          <w:szCs w:val="22"/>
        </w:rPr>
        <w:t xml:space="preserve">No section breaks performance by trade direction. Entry models frequently behave asymmetrically — a penetration entry might add edge on longs (bullish OBs) but harm expectancy on shorts. This is a structural research gap. At minimum, every BucketPanel and the ExactResultsTable should be filterable by direction, with a direction-split summary in a dedicated panel.</w:t>
      </w:r>
    </w:p>
    <w:p>
      <w:pPr>
        <w:pStyle w:val="ListParagraph"/>
        <w:numPr>
          <w:ilvl w:val="0"/>
          <w:numId w:val="2"/>
        </w:numPr>
        <w:spacing w:after="80"/>
      </w:pPr>
      <w:r>
        <w:rPr>
          <w:rFonts w:ascii="Arial" w:cs="Arial" w:eastAsia="Arial" w:hAnsi="Arial"/>
          <w:color w:val="1A2638"/>
          <w:sz w:val="22"/>
          <w:szCs w:val="22"/>
        </w:rPr>
        <w:t xml:space="preserve">Add a "Long / Short Split" panel showing wins, losses, WR, net R, and expectancy split by direction for each entry model.</w:t>
      </w:r>
    </w:p>
    <w:p>
      <w:pPr>
        <w:pStyle w:val="ListParagraph"/>
        <w:numPr>
          <w:ilvl w:val="0"/>
          <w:numId w:val="2"/>
        </w:numPr>
        <w:spacing w:after="80"/>
      </w:pPr>
      <w:r>
        <w:rPr>
          <w:rFonts w:ascii="Arial" w:cs="Arial" w:eastAsia="Arial" w:hAnsi="Arial"/>
          <w:color w:val="1A2638"/>
          <w:sz w:val="22"/>
          <w:szCs w:val="22"/>
        </w:rPr>
        <w:t xml:space="preserve">Add long/short delta columns (Δ Base Long, Δ Base Short) to ExactResultsTable extended view.</w:t>
      </w:r>
    </w:p>
    <w:p>
      <w:pPr>
        <w:pStyle w:val="ListParagraph"/>
        <w:numPr>
          <w:ilvl w:val="0"/>
          <w:numId w:val="2"/>
        </w:numPr>
        <w:spacing w:after="80"/>
      </w:pPr>
      <w:r>
        <w:rPr>
          <w:rFonts w:ascii="Arial" w:cs="Arial" w:eastAsia="Arial" w:hAnsi="Arial"/>
          <w:color w:val="1A2638"/>
          <w:sz w:val="22"/>
          <w:szCs w:val="22"/>
        </w:rPr>
        <w:t xml:space="preserve">Flag models with strong direction asymmetry (e.g., &gt; 15% WR difference between long and short) with a dedicated pill tag.</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4.4 OB-Specific Entry Performance</w:t>
      </w:r>
    </w:p>
    <w:p>
      <w:pPr>
        <w:spacing w:after="140"/>
      </w:pPr>
      <w:r>
        <w:rPr>
          <w:rFonts w:ascii="Arial" w:cs="Arial" w:eastAsia="Arial" w:hAnsi="Arial"/>
          <w:color w:val="1A2638"/>
          <w:sz w:val="22"/>
          <w:szCs w:val="22"/>
        </w:rPr>
        <w:t xml:space="preserve">The current analytics treat all order blocks as equivalent. But entry model performance almost certainly varies by OB quality, OB structure type, OB age, and OB size. A researcher cannot currently answer: "Does penetration 25% add edge specifically on fresh, high-quality OBs or does it help equally across all?" This is critical for understanding model generality vs. over-fit to a narrow OB subset.</w:t>
      </w:r>
    </w:p>
    <w:p>
      <w:pPr>
        <w:pStyle w:val="ListParagraph"/>
        <w:numPr>
          <w:ilvl w:val="0"/>
          <w:numId w:val="2"/>
        </w:numPr>
        <w:spacing w:after="80"/>
      </w:pPr>
      <w:r>
        <w:rPr>
          <w:rFonts w:ascii="Arial" w:cs="Arial" w:eastAsia="Arial" w:hAnsi="Arial"/>
          <w:color w:val="1A2638"/>
          <w:sz w:val="22"/>
          <w:szCs w:val="22"/>
        </w:rPr>
        <w:t xml:space="preserve">Add an "OB Quality × Entry Model" matrix: rows = entry models, columns = OB quality tiers (if quality scoring is available).</w:t>
      </w:r>
    </w:p>
    <w:p>
      <w:pPr>
        <w:pStyle w:val="ListParagraph"/>
        <w:numPr>
          <w:ilvl w:val="0"/>
          <w:numId w:val="2"/>
        </w:numPr>
        <w:spacing w:after="80"/>
      </w:pPr>
      <w:r>
        <w:rPr>
          <w:rFonts w:ascii="Arial" w:cs="Arial" w:eastAsia="Arial" w:hAnsi="Arial"/>
          <w:color w:val="1A2638"/>
          <w:sz w:val="22"/>
          <w:szCs w:val="22"/>
        </w:rPr>
        <w:t xml:space="preserve">Add "OB Age × Entry Model" analysis: bucket trades by how many bars the OB has been alive at time of entry attempt.</w:t>
      </w:r>
    </w:p>
    <w:p>
      <w:pPr>
        <w:pStyle w:val="ListParagraph"/>
        <w:numPr>
          <w:ilvl w:val="0"/>
          <w:numId w:val="2"/>
        </w:numPr>
        <w:spacing w:after="80"/>
      </w:pPr>
      <w:r>
        <w:rPr>
          <w:rFonts w:ascii="Arial" w:cs="Arial" w:eastAsia="Arial" w:hAnsi="Arial"/>
          <w:color w:val="1A2638"/>
          <w:sz w:val="22"/>
          <w:szCs w:val="22"/>
        </w:rPr>
        <w:t xml:space="preserve">Add "OB Structure Type × Entry Model": bullish vs bearish, engulfing vs displacement, tested vs fresh.</w:t>
      </w:r>
    </w:p>
    <w:p>
      <w:pPr>
        <w:pStyle w:val="ListParagraph"/>
        <w:numPr>
          <w:ilvl w:val="0"/>
          <w:numId w:val="2"/>
        </w:numPr>
        <w:spacing w:after="80"/>
      </w:pPr>
      <w:r>
        <w:rPr>
          <w:rFonts w:ascii="Arial" w:cs="Arial" w:eastAsia="Arial" w:hAnsi="Arial"/>
          <w:color w:val="1A2638"/>
          <w:sz w:val="22"/>
          <w:szCs w:val="22"/>
        </w:rPr>
        <w:t xml:space="preserve">This requires enriched trade data with OB metadata — flag as a data pipeline requirement if OB fields are not currently exported.</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4.5 Robustness &amp; Overfit Detection</w:t>
      </w:r>
    </w:p>
    <w:p>
      <w:pPr>
        <w:spacing w:after="140"/>
      </w:pPr>
      <w:r>
        <w:rPr>
          <w:rFonts w:ascii="Arial" w:cs="Arial" w:eastAsia="Arial" w:hAnsi="Arial"/>
          <w:color w:val="1A2638"/>
          <w:sz w:val="22"/>
          <w:szCs w:val="22"/>
        </w:rPr>
        <w:t xml:space="preserve">A model that shows +8R delta vs baseline on 18 trades may be pure noise. The page has no mechanism to signal when a positive result is likely spurious. This is the most important research protection tool on the entire page — without it, any positive result will look equally compelling regardless of sample size.</w:t>
      </w:r>
    </w:p>
    <w:p>
      <w:pPr>
        <w:pStyle w:val="ListParagraph"/>
        <w:numPr>
          <w:ilvl w:val="0"/>
          <w:numId w:val="2"/>
        </w:numPr>
        <w:spacing w:after="80"/>
      </w:pPr>
      <w:r>
        <w:rPr>
          <w:rFonts w:ascii="Arial" w:cs="Arial" w:eastAsia="Arial" w:hAnsi="Arial"/>
          <w:color w:val="1A2638"/>
          <w:sz w:val="22"/>
          <w:szCs w:val="22"/>
        </w:rPr>
        <w:t xml:space="preserve">Sample adequacy rating per model: for n &lt; 20 show "INSUFFICIENT SAMPLE", 20–50 show "LOW CONFIDENCE", 50–150 show "MODERATE", 150+ show "ROBUST".</w:t>
      </w:r>
    </w:p>
    <w:p>
      <w:pPr>
        <w:pStyle w:val="ListParagraph"/>
        <w:numPr>
          <w:ilvl w:val="0"/>
          <w:numId w:val="2"/>
        </w:numPr>
        <w:spacing w:after="80"/>
      </w:pPr>
      <w:r>
        <w:rPr>
          <w:rFonts w:ascii="Arial" w:cs="Arial" w:eastAsia="Arial" w:hAnsi="Arial"/>
          <w:color w:val="1A2638"/>
          <w:sz w:val="22"/>
          <w:szCs w:val="22"/>
        </w:rPr>
        <w:t xml:space="preserve">Performance band visualisation: show ±1 standard error on net R and win rate for each model (computable from trade-level data).</w:t>
      </w:r>
    </w:p>
    <w:p>
      <w:pPr>
        <w:pStyle w:val="ListParagraph"/>
        <w:numPr>
          <w:ilvl w:val="0"/>
          <w:numId w:val="2"/>
        </w:numPr>
        <w:spacing w:after="80"/>
      </w:pPr>
      <w:r>
        <w:rPr>
          <w:rFonts w:ascii="Arial" w:cs="Arial" w:eastAsia="Arial" w:hAnsi="Arial"/>
          <w:color w:val="1A2638"/>
          <w:sz w:val="22"/>
          <w:szCs w:val="22"/>
        </w:rPr>
        <w:t xml:space="preserve">Cross-validation stub: flag models that perform well only on a specific date range (first/last 50% of trades comparison).</w:t>
      </w:r>
    </w:p>
    <w:p>
      <w:pPr>
        <w:pStyle w:val="ListParagraph"/>
        <w:numPr>
          <w:ilvl w:val="0"/>
          <w:numId w:val="2"/>
        </w:numPr>
        <w:spacing w:after="80"/>
      </w:pPr>
      <w:r>
        <w:rPr>
          <w:rFonts w:ascii="Arial" w:cs="Arial" w:eastAsia="Arial" w:hAnsi="Arial"/>
          <w:color w:val="1A2638"/>
          <w:sz w:val="22"/>
          <w:szCs w:val="22"/>
        </w:rPr>
        <w:t xml:space="preserve">Variance stability indicator: show rolling expectancy stability over the trade sequence.</w:t>
      </w:r>
    </w:p>
    <w:p>
      <w:pPr>
        <w:pStyle w:val="ListParagraph"/>
        <w:numPr>
          <w:ilvl w:val="0"/>
          <w:numId w:val="2"/>
        </w:numPr>
        <w:spacing w:after="80"/>
      </w:pPr>
      <w:r>
        <w:rPr>
          <w:rFonts w:ascii="Arial" w:cs="Arial" w:eastAsia="Arial" w:hAnsi="Arial"/>
          <w:color w:val="1A2638"/>
          <w:sz w:val="22"/>
          <w:szCs w:val="22"/>
        </w:rPr>
        <w:t xml:space="preserve">Add a "Robustness Score" composite that penalises small samples, high variance, and low fill rates simultaneously.</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4.6 Entry Sensitivity Curves (Penetration Family)</w:t>
      </w:r>
    </w:p>
    <w:p>
      <w:pPr>
        <w:spacing w:after="140"/>
      </w:pPr>
      <w:r>
        <w:rPr>
          <w:rFonts w:ascii="Arial" w:cs="Arial" w:eastAsia="Arial" w:hAnsi="Arial"/>
          <w:color w:val="1A2638"/>
          <w:sz w:val="22"/>
          <w:szCs w:val="22"/>
        </w:rPr>
        <w:t xml:space="preserve">The penetration family currently shows four discrete rows (10%, 25%, 50%, 75%). This invites the researcher to pick the best one from four data points — a classic overfit trap. What is needed is a sensitivity curve: a chart showing how net R, fill rate, and expectancy change continuously across penetration thresholds, making the curve shape visible rather than just the sampled points.</w:t>
      </w:r>
    </w:p>
    <w:p>
      <w:pPr>
        <w:pStyle w:val="ListParagraph"/>
        <w:numPr>
          <w:ilvl w:val="0"/>
          <w:numId w:val="2"/>
        </w:numPr>
        <w:spacing w:after="80"/>
      </w:pPr>
      <w:r>
        <w:rPr>
          <w:rFonts w:ascii="Arial" w:cs="Arial" w:eastAsia="Arial" w:hAnsi="Arial"/>
          <w:color w:val="1A2638"/>
          <w:sz w:val="22"/>
          <w:szCs w:val="22"/>
        </w:rPr>
        <w:t xml:space="preserve">Line chart: X axis = penetration %, Y axis = net R delta vs baseline (with fill rate on a secondary axis).</w:t>
      </w:r>
    </w:p>
    <w:p>
      <w:pPr>
        <w:pStyle w:val="ListParagraph"/>
        <w:numPr>
          <w:ilvl w:val="0"/>
          <w:numId w:val="2"/>
        </w:numPr>
        <w:spacing w:after="80"/>
      </w:pPr>
      <w:r>
        <w:rPr>
          <w:rFonts w:ascii="Arial" w:cs="Arial" w:eastAsia="Arial" w:hAnsi="Arial"/>
          <w:color w:val="1A2638"/>
          <w:sz w:val="22"/>
          <w:szCs w:val="22"/>
        </w:rPr>
        <w:t xml:space="preserve">Highlight the "optimal" threshold range vs. where the curve flattens or reverses.</w:t>
      </w:r>
    </w:p>
    <w:p>
      <w:pPr>
        <w:pStyle w:val="ListParagraph"/>
        <w:numPr>
          <w:ilvl w:val="0"/>
          <w:numId w:val="2"/>
        </w:numPr>
        <w:spacing w:after="80"/>
      </w:pPr>
      <w:r>
        <w:rPr>
          <w:rFonts w:ascii="Arial" w:cs="Arial" w:eastAsia="Arial" w:hAnsi="Arial"/>
          <w:color w:val="1A2638"/>
          <w:sz w:val="22"/>
          <w:szCs w:val="22"/>
        </w:rPr>
        <w:t xml:space="preserve">Show the curve with confidence bands — if 10 and 25% have overlapping error bands, there is no real distinction.</w:t>
      </w:r>
    </w:p>
    <w:p>
      <w:pPr>
        <w:pStyle w:val="ListParagraph"/>
        <w:numPr>
          <w:ilvl w:val="0"/>
          <w:numId w:val="2"/>
        </w:numPr>
        <w:spacing w:after="80"/>
      </w:pPr>
      <w:r>
        <w:rPr>
          <w:rFonts w:ascii="Arial" w:cs="Arial" w:eastAsia="Arial" w:hAnsi="Arial"/>
          <w:color w:val="1A2638"/>
          <w:sz w:val="22"/>
          <w:szCs w:val="22"/>
        </w:rPr>
        <w:t xml:space="preserve">Compare curves across sessions or directions to detect regime dependency.</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4.7 Fill Quality Scoring</w:t>
      </w:r>
    </w:p>
    <w:p>
      <w:pPr>
        <w:spacing w:after="140"/>
      </w:pPr>
      <w:r>
        <w:rPr>
          <w:rFonts w:ascii="Arial" w:cs="Arial" w:eastAsia="Arial" w:hAnsi="Arial"/>
          <w:color w:val="1A2638"/>
          <w:sz w:val="22"/>
          <w:szCs w:val="22"/>
        </w:rPr>
        <w:t xml:space="preserve">All fills are currently treated as binary — either filled or not. But fill quality varies significantly: a fill on the very edge tick is different from a fill at 90% penetration that barely avoids the stop. avgMAE (already parsed but hidden) is a proxy for this. A fill quality score would rank models not just by whether they fill, but by where in the OB range the fill occurs and what adverse excursion followed.</w:t>
      </w:r>
    </w:p>
    <w:p>
      <w:pPr>
        <w:pStyle w:val="ListParagraph"/>
        <w:numPr>
          <w:ilvl w:val="0"/>
          <w:numId w:val="2"/>
        </w:numPr>
        <w:spacing w:after="80"/>
      </w:pPr>
      <w:r>
        <w:rPr>
          <w:rFonts w:ascii="Arial" w:cs="Arial" w:eastAsia="Arial" w:hAnsi="Arial"/>
          <w:color w:val="1A2638"/>
          <w:sz w:val="22"/>
          <w:szCs w:val="22"/>
        </w:rPr>
        <w:t xml:space="preserve">Compute Fill Quality Score per model: (fill_depth_pct × MAE_penalised_score) composite.</w:t>
      </w:r>
    </w:p>
    <w:p>
      <w:pPr>
        <w:pStyle w:val="ListParagraph"/>
        <w:numPr>
          <w:ilvl w:val="0"/>
          <w:numId w:val="2"/>
        </w:numPr>
        <w:spacing w:after="80"/>
      </w:pPr>
      <w:r>
        <w:rPr>
          <w:rFonts w:ascii="Arial" w:cs="Arial" w:eastAsia="Arial" w:hAnsi="Arial"/>
          <w:color w:val="1A2638"/>
          <w:sz w:val="22"/>
          <w:szCs w:val="22"/>
        </w:rPr>
        <w:t xml:space="preserve">Add "Avg Fill Depth %" column to ExactResultsTable (how deep into the OB was the average fill).</w:t>
      </w:r>
    </w:p>
    <w:p>
      <w:pPr>
        <w:pStyle w:val="ListParagraph"/>
        <w:numPr>
          <w:ilvl w:val="0"/>
          <w:numId w:val="2"/>
        </w:numPr>
        <w:spacing w:after="80"/>
      </w:pPr>
      <w:r>
        <w:rPr>
          <w:rFonts w:ascii="Arial" w:cs="Arial" w:eastAsia="Arial" w:hAnsi="Arial"/>
          <w:color w:val="1A2638"/>
          <w:sz w:val="22"/>
          <w:szCs w:val="22"/>
        </w:rPr>
        <w:t xml:space="preserve">Show MAE distribution per model — a model with a tighter MAE distribution fills near the ideal entry, not deep into the zone.</w:t>
      </w:r>
    </w:p>
    <w:p>
      <w:pPr>
        <w:pStyle w:val="ListParagraph"/>
        <w:numPr>
          <w:ilvl w:val="0"/>
          <w:numId w:val="2"/>
        </w:numPr>
        <w:spacing w:after="80"/>
      </w:pPr>
      <w:r>
        <w:rPr>
          <w:rFonts w:ascii="Arial" w:cs="Arial" w:eastAsia="Arial" w:hAnsi="Arial"/>
          <w:color w:val="1A2638"/>
          <w:sz w:val="22"/>
          <w:szCs w:val="22"/>
        </w:rPr>
        <w:t xml:space="preserve">Add a "False Fill" rate: trades that filled but hit stop within X candles.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4.8 Missed Winner &amp; Avoided Loser Forensics (Currently Placeholders)</w:t>
      </w:r>
    </w:p>
    <w:p>
      <w:pPr>
        <w:spacing w:after="140"/>
      </w:pPr>
      <w:r>
        <w:rPr>
          <w:rFonts w:ascii="Arial" w:cs="Arial" w:eastAsia="Arial" w:hAnsi="Arial"/>
          <w:color w:val="1A2638"/>
          <w:sz w:val="22"/>
          <w:szCs w:val="22"/>
        </w:rPr>
        <w:t xml:space="preserve">The Missed Winner Analysis and Avoided Loser Analysis panels currently show all placeholder rows with "LIMITED" status. These are among the most analytically important panels on the page. A model that avoids 80% of losers while missing only 20% of winners is genuinely valuable. A model that avoids 80% of losers but also misses 80% of winners is not. The ratio is everything and it is currently invisible.</w:t>
      </w:r>
    </w:p>
    <w:p>
      <w:pPr>
        <w:pStyle w:val="ListParagraph"/>
        <w:numPr>
          <w:ilvl w:val="0"/>
          <w:numId w:val="2"/>
        </w:numPr>
        <w:spacing w:after="80"/>
      </w:pPr>
      <w:r>
        <w:rPr>
          <w:rFonts w:ascii="Arial" w:cs="Arial" w:eastAsia="Arial" w:hAnsi="Arial"/>
          <w:color w:val="1A2638"/>
          <w:sz w:val="22"/>
          <w:szCs w:val="22"/>
        </w:rPr>
        <w:t xml:space="preserve">Missed Winner count and % of baseline winners missed per model.</w:t>
      </w:r>
    </w:p>
    <w:p>
      <w:pPr>
        <w:pStyle w:val="ListParagraph"/>
        <w:numPr>
          <w:ilvl w:val="0"/>
          <w:numId w:val="2"/>
        </w:numPr>
        <w:spacing w:after="80"/>
      </w:pPr>
      <w:r>
        <w:rPr>
          <w:rFonts w:ascii="Arial" w:cs="Arial" w:eastAsia="Arial" w:hAnsi="Arial"/>
          <w:color w:val="1A2638"/>
          <w:sz w:val="22"/>
          <w:szCs w:val="22"/>
        </w:rPr>
        <w:t xml:space="preserve">Avoided Loser count and % of baseline losers avoided per model.</w:t>
      </w:r>
    </w:p>
    <w:p>
      <w:pPr>
        <w:pStyle w:val="ListParagraph"/>
        <w:numPr>
          <w:ilvl w:val="0"/>
          <w:numId w:val="2"/>
        </w:numPr>
        <w:spacing w:after="80"/>
      </w:pPr>
      <w:r>
        <w:rPr>
          <w:rFonts w:ascii="Arial" w:cs="Arial" w:eastAsia="Arial" w:hAnsi="Arial"/>
          <w:color w:val="1A2638"/>
          <w:sz w:val="22"/>
          <w:szCs w:val="22"/>
        </w:rPr>
        <w:t xml:space="preserve">Missed Winner / Avoided Loser ratio — the key comparative metric.</w:t>
      </w:r>
    </w:p>
    <w:p>
      <w:pPr>
        <w:pStyle w:val="ListParagraph"/>
        <w:numPr>
          <w:ilvl w:val="0"/>
          <w:numId w:val="2"/>
        </w:numPr>
        <w:spacing w:after="80"/>
      </w:pPr>
      <w:r>
        <w:rPr>
          <w:rFonts w:ascii="Arial" w:cs="Arial" w:eastAsia="Arial" w:hAnsi="Arial"/>
          <w:color w:val="1A2638"/>
          <w:sz w:val="22"/>
          <w:szCs w:val="22"/>
        </w:rPr>
        <w:t xml:space="preserve">Net R impact of missed winners (how much return was left on the table).</w:t>
      </w:r>
    </w:p>
    <w:p>
      <w:pPr>
        <w:pStyle w:val="ListParagraph"/>
        <w:numPr>
          <w:ilvl w:val="0"/>
          <w:numId w:val="2"/>
        </w:numPr>
        <w:spacing w:after="80"/>
      </w:pPr>
      <w:r>
        <w:rPr>
          <w:rFonts w:ascii="Arial" w:cs="Arial" w:eastAsia="Arial" w:hAnsi="Arial"/>
          <w:color w:val="1A2638"/>
          <w:sz w:val="22"/>
          <w:szCs w:val="22"/>
        </w:rPr>
        <w:t xml:space="preserve">Net R saved from avoided losers (how much loss was prevented).</w:t>
      </w:r>
    </w:p>
    <w:p>
      <w:pPr>
        <w:pStyle w:val="ListParagraph"/>
        <w:numPr>
          <w:ilvl w:val="0"/>
          <w:numId w:val="2"/>
        </w:numPr>
        <w:spacing w:after="80"/>
      </w:pPr>
      <w:r>
        <w:rPr>
          <w:rFonts w:ascii="Arial" w:cs="Arial" w:eastAsia="Arial" w:hAnsi="Arial"/>
          <w:color w:val="1A2638"/>
          <w:sz w:val="22"/>
          <w:szCs w:val="22"/>
        </w:rPr>
        <w:t xml:space="preserve">These require the per-mode trade lists (already stored in tradesByMode) compared against the baseline trade list.</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4.9 Time-to-Fill Distribution (Currently Placeholder)</w:t>
      </w:r>
    </w:p>
    <w:p>
      <w:pPr>
        <w:spacing w:after="140"/>
      </w:pPr>
      <w:r>
        <w:rPr>
          <w:rFonts w:ascii="Arial" w:cs="Arial" w:eastAsia="Arial" w:hAnsi="Arial"/>
          <w:color w:val="1A2638"/>
          <w:sz w:val="22"/>
          <w:szCs w:val="22"/>
        </w:rPr>
        <w:t xml:space="preserve">Time-to-fill is a proxy for how "reactive" a model is. A model that always fills on the same candle as the OB interaction is very different from one that fills after 4 hours — the latter implies different risk exposure, different session contamination, and different OB-age dynamics. Currently all five time buckets are placeholders.</w:t>
      </w:r>
    </w:p>
    <w:p>
      <w:pPr>
        <w:pStyle w:val="ListParagraph"/>
        <w:numPr>
          <w:ilvl w:val="0"/>
          <w:numId w:val="2"/>
        </w:numPr>
        <w:spacing w:after="80"/>
      </w:pPr>
      <w:r>
        <w:rPr>
          <w:rFonts w:ascii="Arial" w:cs="Arial" w:eastAsia="Arial" w:hAnsi="Arial"/>
          <w:color w:val="1A2638"/>
          <w:sz w:val="22"/>
          <w:szCs w:val="22"/>
        </w:rPr>
        <w:t xml:space="preserve">Requires avgTimeToTP / avgTimeToSL from Python output (already parsed on rows, hidden).</w:t>
      </w:r>
    </w:p>
    <w:p>
      <w:pPr>
        <w:pStyle w:val="ListParagraph"/>
        <w:numPr>
          <w:ilvl w:val="0"/>
          <w:numId w:val="2"/>
        </w:numPr>
        <w:spacing w:after="80"/>
      </w:pPr>
      <w:r>
        <w:rPr>
          <w:rFonts w:ascii="Arial" w:cs="Arial" w:eastAsia="Arial" w:hAnsi="Arial"/>
          <w:color w:val="1A2638"/>
          <w:sz w:val="22"/>
          <w:szCs w:val="22"/>
        </w:rPr>
        <w:t xml:space="preserve">Add a histogram-style bar chart showing time-to-fill distribution per model.</w:t>
      </w:r>
    </w:p>
    <w:p>
      <w:pPr>
        <w:pStyle w:val="ListParagraph"/>
        <w:numPr>
          <w:ilvl w:val="0"/>
          <w:numId w:val="2"/>
        </w:numPr>
        <w:spacing w:after="80"/>
      </w:pPr>
      <w:r>
        <w:rPr>
          <w:rFonts w:ascii="Arial" w:cs="Arial" w:eastAsia="Arial" w:hAnsi="Arial"/>
          <w:color w:val="1A2638"/>
          <w:sz w:val="22"/>
          <w:szCs w:val="22"/>
        </w:rPr>
        <w:t xml:space="preserve">Add "Same-candle fill rate" — high same-candle fill rates indicate potential lookahead issues worth validating.</w:t>
      </w:r>
    </w:p>
    <w:p>
      <w:pPr>
        <w:pStyle w:val="ListParagraph"/>
        <w:numPr>
          <w:ilvl w:val="0"/>
          <w:numId w:val="2"/>
        </w:numPr>
        <w:spacing w:after="80"/>
      </w:pPr>
      <w:r>
        <w:rPr>
          <w:rFonts w:ascii="Arial" w:cs="Arial" w:eastAsia="Arial" w:hAnsi="Arial"/>
          <w:color w:val="1A2638"/>
          <w:sz w:val="22"/>
          <w:szCs w:val="22"/>
        </w:rPr>
        <w:t xml:space="preserve">Show time-to-fill broken out by session (a London fill in 2 minutes is different from a New York fill in 3 hours).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4.10 Regime-Aware Entry Performance</w:t>
      </w:r>
    </w:p>
    <w:p>
      <w:pPr>
        <w:spacing w:after="140"/>
      </w:pPr>
      <w:r>
        <w:rPr>
          <w:rFonts w:ascii="Arial" w:cs="Arial" w:eastAsia="Arial" w:hAnsi="Arial"/>
          <w:color w:val="1A2638"/>
          <w:sz w:val="22"/>
          <w:szCs w:val="22"/>
        </w:rPr>
        <w:t xml:space="preserve">No section segments performance by market regime. Entry models that work well in trending conditions may perform poorly in ranges — and vice versa. This is one of the most common causes of strategy fragility. The backlog notes this under "Regime-Aware Entries" but it should eventually graduate into an analytics panel.</w:t>
      </w:r>
    </w:p>
    <w:p>
      <w:pPr>
        <w:pStyle w:val="ListParagraph"/>
        <w:numPr>
          <w:ilvl w:val="0"/>
          <w:numId w:val="2"/>
        </w:numPr>
        <w:spacing w:after="80"/>
      </w:pPr>
      <w:r>
        <w:rPr>
          <w:rFonts w:ascii="Arial" w:cs="Arial" w:eastAsia="Arial" w:hAnsi="Arial"/>
          <w:color w:val="1A2638"/>
          <w:sz w:val="22"/>
          <w:szCs w:val="22"/>
        </w:rPr>
        <w:t xml:space="preserve">Regime categorisation (trending / ranging / expansion) requires either external tagging or ATR-based computation on candle data.</w:t>
      </w:r>
    </w:p>
    <w:p>
      <w:pPr>
        <w:pStyle w:val="ListParagraph"/>
        <w:numPr>
          <w:ilvl w:val="0"/>
          <w:numId w:val="2"/>
        </w:numPr>
        <w:spacing w:after="80"/>
      </w:pPr>
      <w:r>
        <w:rPr>
          <w:rFonts w:ascii="Arial" w:cs="Arial" w:eastAsia="Arial" w:hAnsi="Arial"/>
          <w:color w:val="1A2638"/>
          <w:sz w:val="22"/>
          <w:szCs w:val="22"/>
        </w:rPr>
        <w:t xml:space="preserve">Entry model × regime matrix: which models add edge specifically in trending markets?</w:t>
      </w:r>
    </w:p>
    <w:p>
      <w:pPr>
        <w:pStyle w:val="ListParagraph"/>
        <w:numPr>
          <w:ilvl w:val="0"/>
          <w:numId w:val="2"/>
        </w:numPr>
        <w:spacing w:after="80"/>
      </w:pPr>
      <w:r>
        <w:rPr>
          <w:rFonts w:ascii="Arial" w:cs="Arial" w:eastAsia="Arial" w:hAnsi="Arial"/>
          <w:color w:val="1A2638"/>
          <w:sz w:val="22"/>
          <w:szCs w:val="22"/>
        </w:rPr>
        <w:t xml:space="preserve">Seasonal / month-by-month breakdown of model deltas — does Model A work in Q1 but not Q3?</w:t>
      </w:r>
    </w:p>
    <w:p>
      <w:pPr>
        <w:pStyle w:val="ListParagraph"/>
        <w:numPr>
          <w:ilvl w:val="0"/>
          <w:numId w:val="2"/>
        </w:numPr>
        <w:spacing w:after="80"/>
      </w:pPr>
      <w:r>
        <w:rPr>
          <w:rFonts w:ascii="Arial" w:cs="Arial" w:eastAsia="Arial" w:hAnsi="Arial"/>
          <w:color w:val="1A2638"/>
          <w:sz w:val="22"/>
          <w:szCs w:val="22"/>
        </w:rPr>
        <w:t xml:space="preserve">When regime tags are unavailable, a rolling volatility proxy (ATR percentile) can serve as a regime surrogate.</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4.11 Multi-Run / Model Snapshot Comparison</w:t>
      </w:r>
    </w:p>
    <w:p>
      <w:pPr>
        <w:spacing w:after="140"/>
      </w:pPr>
      <w:r>
        <w:rPr>
          <w:rFonts w:ascii="Arial" w:cs="Arial" w:eastAsia="Arial" w:hAnsi="Arial"/>
          <w:color w:val="1A2638"/>
          <w:sz w:val="22"/>
          <w:szCs w:val="22"/>
        </w:rPr>
        <w:t xml:space="preserve">The store supports multiple imported runs but the Entries Lab only displays one run at a time. A researcher running two Python jobs with different entry configurations cannot compare their results side by side. This is a core workflow bottleneck.</w:t>
      </w:r>
    </w:p>
    <w:p>
      <w:pPr>
        <w:pStyle w:val="ListParagraph"/>
        <w:numPr>
          <w:ilvl w:val="0"/>
          <w:numId w:val="2"/>
        </w:numPr>
        <w:spacing w:after="80"/>
      </w:pPr>
      <w:r>
        <w:rPr>
          <w:rFonts w:ascii="Arial" w:cs="Arial" w:eastAsia="Arial" w:hAnsi="Arial"/>
          <w:color w:val="1A2638"/>
          <w:sz w:val="22"/>
          <w:szCs w:val="22"/>
        </w:rPr>
        <w:t xml:space="preserve">Run A / Run B comparison mode: select two runs from a dropdown and overlay their entry results tables.</w:t>
      </w:r>
    </w:p>
    <w:p>
      <w:pPr>
        <w:pStyle w:val="ListParagraph"/>
        <w:numPr>
          <w:ilvl w:val="0"/>
          <w:numId w:val="2"/>
        </w:numPr>
        <w:spacing w:after="80"/>
      </w:pPr>
      <w:r>
        <w:rPr>
          <w:rFonts w:ascii="Arial" w:cs="Arial" w:eastAsia="Arial" w:hAnsi="Arial"/>
          <w:color w:val="1A2638"/>
          <w:sz w:val="22"/>
          <w:szCs w:val="22"/>
        </w:rPr>
        <w:t xml:space="preserve">Delta table: Run B minus Run A for all metrics, showing whether the second configuration genuinely improved.</w:t>
      </w:r>
    </w:p>
    <w:p>
      <w:pPr>
        <w:pStyle w:val="ListParagraph"/>
        <w:numPr>
          <w:ilvl w:val="0"/>
          <w:numId w:val="2"/>
        </w:numPr>
        <w:spacing w:after="80"/>
      </w:pPr>
      <w:r>
        <w:rPr>
          <w:rFonts w:ascii="Arial" w:cs="Arial" w:eastAsia="Arial" w:hAnsi="Arial"/>
          <w:color w:val="1A2638"/>
          <w:sz w:val="22"/>
          <w:szCs w:val="22"/>
        </w:rPr>
        <w:t xml:space="preserve">Session-split comparison: which run performs better per session?</w:t>
      </w:r>
    </w:p>
    <w:p>
      <w:pPr>
        <w:pStyle w:val="ListParagraph"/>
        <w:numPr>
          <w:ilvl w:val="0"/>
          <w:numId w:val="2"/>
        </w:numPr>
        <w:spacing w:after="80"/>
      </w:pPr>
      <w:r>
        <w:rPr>
          <w:rFonts w:ascii="Arial" w:cs="Arial" w:eastAsia="Arial" w:hAnsi="Arial"/>
          <w:color w:val="1A2638"/>
          <w:sz w:val="22"/>
          <w:szCs w:val="22"/>
        </w:rPr>
        <w:t xml:space="preserve">Model snapshot versioning: save the current entry results state as a named snapshot for future reference.</w:t>
      </w:r>
    </w:p>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5. UX / Information Architecture</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5.1 Section Ordering &amp; Hierarchy</w:t>
      </w:r>
    </w:p>
    <w:p>
      <w:pPr>
        <w:spacing w:after="140"/>
      </w:pPr>
      <w:r>
        <w:rPr>
          <w:rFonts w:ascii="Arial" w:cs="Arial" w:eastAsia="Arial" w:hAnsi="Arial"/>
          <w:color w:val="1A2638"/>
          <w:sz w:val="22"/>
          <w:szCs w:val="22"/>
        </w:rPr>
        <w:t xml:space="preserve">The current panel order is:</w:t>
      </w:r>
    </w:p>
    <w:p>
      <w:pPr>
        <w:pStyle w:val="ListParagraph"/>
        <w:numPr>
          <w:ilvl w:val="0"/>
          <w:numId w:val="2"/>
        </w:numPr>
        <w:spacing w:after="80"/>
      </w:pPr>
      <w:r>
        <w:rPr>
          <w:rFonts w:ascii="Arial" w:cs="Arial" w:eastAsia="Arial" w:hAnsi="Arial"/>
          <w:color w:val="1A2638"/>
          <w:sz w:val="22"/>
          <w:szCs w:val="22"/>
        </w:rPr>
        <w:t xml:space="preserve">KPI strip → Exact Results → Fill Rate → Penetration Comparison → Future Models → Missed Winners → Avoided Losers → Time-to-Fill → Session → Heatmaps × 2 → Outcome Matrix → Lifecycle → Research Backlog</w:t>
      </w:r>
    </w:p>
    <w:p>
      <w:pPr>
        <w:spacing w:after="140"/>
      </w:pPr>
      <w:r>
        <w:rPr>
          <w:rFonts w:ascii="Arial" w:cs="Arial" w:eastAsia="Arial" w:hAnsi="Arial"/>
          <w:color w:val="1A2638"/>
          <w:sz w:val="22"/>
          <w:szCs w:val="22"/>
        </w:rPr>
        <w:t xml:space="preserve">This mixes "what happened" analytics with "what is coming" roadmap cards. The research workflow is not linear — it starts with summary, then dives into the most important finding, then inspects detail. Recommended restructuring: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Layer</w:t>
            </w:r>
          </w:p>
        </w:tc>
        <w:tc>
          <w:tcPr>
            <w:tcW w:type="dxa" w:w="40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Panels</w:t>
            </w:r>
          </w:p>
        </w:tc>
        <w:tc>
          <w:tcPr>
            <w:tcW w:type="dxa" w:w="396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Rationale</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 Summary</w:t>
            </w:r>
          </w:p>
        </w:tc>
        <w:tc>
          <w:tcPr>
            <w:tcW w:type="dxa" w:w="40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KPI strip + Exact Results</w:t>
            </w:r>
          </w:p>
        </w:tc>
        <w:tc>
          <w:tcPr>
            <w:tcW w:type="dxa" w:w="3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First scan: which model won and by how much?</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2 · Execution Quality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Fill Rate, Penetration Curve, Time-to-Fill, Fill Quality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Why did fills happen where they did?</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3 · Outcome Analysis</w:t>
            </w:r>
          </w:p>
        </w:tc>
        <w:tc>
          <w:tcPr>
            <w:tcW w:type="dxa" w:w="40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Missed Winners, Avoided Losers, Direction Split, Session, Outcome Matrix</w:t>
            </w:r>
          </w:p>
        </w:tc>
        <w:tc>
          <w:tcPr>
            <w:tcW w:type="dxa" w:w="3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What did the model gain and sacrifice?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4 · Timing &amp; Regime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Timing Heatmap, Toxicity Map, Session Performance, Regime Matrix</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When and where does the model work?</w:t>
            </w:r>
          </w:p>
        </w:tc>
      </w:tr>
      <w:tr>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5 · Equity &amp; Risk</w:t>
            </w:r>
          </w:p>
        </w:tc>
        <w:tc>
          <w:tcPr>
            <w:tcW w:type="dxa" w:w="40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Equity Curve Comparison, Drawdown, Robustness Scores</w:t>
            </w:r>
          </w:p>
        </w:tc>
        <w:tc>
          <w:tcPr>
            <w:tcW w:type="dxa" w:w="3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Is the improvement real and stable?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6 · Architecture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Lifecycle, Future Models, Research Backlog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What is next?</w:t>
            </w:r>
          </w:p>
        </w:tc>
      </w:tr>
    </w:tbl>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5.2 Scalability as Entry Model Count Grows</w:t>
      </w:r>
    </w:p>
    <w:p>
      <w:pPr>
        <w:spacing w:after="140"/>
      </w:pPr>
      <w:r>
        <w:rPr>
          <w:rFonts w:ascii="Arial" w:cs="Arial" w:eastAsia="Arial" w:hAnsi="Arial"/>
          <w:color w:val="1A2638"/>
          <w:sz w:val="22"/>
          <w:szCs w:val="22"/>
        </w:rPr>
        <w:t xml:space="preserve">With 9 planned models and growing, the current layout will become unwieldy. Each new model adds a row to ExactResultsTable and entries to multiple BucketPanels. By 20+ models, the page will be unusable without structural changes.</w:t>
      </w:r>
    </w:p>
    <w:p>
      <w:pPr>
        <w:pStyle w:val="ListParagraph"/>
        <w:numPr>
          <w:ilvl w:val="0"/>
          <w:numId w:val="2"/>
        </w:numPr>
        <w:spacing w:after="80"/>
      </w:pPr>
      <w:r>
        <w:rPr>
          <w:rFonts w:ascii="Arial" w:cs="Arial" w:eastAsia="Arial" w:hAnsi="Arial"/>
          <w:color w:val="1A2638"/>
          <w:sz w:val="22"/>
          <w:szCs w:val="22"/>
        </w:rPr>
        <w:t xml:space="preserve">Family tab filter above ExactResultsTable: "All | Penetration | Confirmation | Lifecycle | Custom". Filters rows without hiding the table.</w:t>
      </w:r>
    </w:p>
    <w:p>
      <w:pPr>
        <w:pStyle w:val="ListParagraph"/>
        <w:numPr>
          <w:ilvl w:val="0"/>
          <w:numId w:val="2"/>
        </w:numPr>
        <w:spacing w:after="80"/>
      </w:pPr>
      <w:r>
        <w:rPr>
          <w:rFonts w:ascii="Arial" w:cs="Arial" w:eastAsia="Arial" w:hAnsi="Arial"/>
          <w:color w:val="1A2638"/>
          <w:sz w:val="22"/>
          <w:szCs w:val="22"/>
        </w:rPr>
        <w:t xml:space="preserve">Collapse-by-family grouping in ExactResultsTable: grouped header rows with the family label, collapsible.</w:t>
      </w:r>
    </w:p>
    <w:p>
      <w:pPr>
        <w:pStyle w:val="ListParagraph"/>
        <w:numPr>
          <w:ilvl w:val="0"/>
          <w:numId w:val="2"/>
        </w:numPr>
        <w:spacing w:after="80"/>
      </w:pPr>
      <w:r>
        <w:rPr>
          <w:rFonts w:ascii="Arial" w:cs="Arial" w:eastAsia="Arial" w:hAnsi="Arial"/>
          <w:color w:val="1A2638"/>
          <w:sz w:val="22"/>
          <w:szCs w:val="22"/>
        </w:rPr>
        <w:t xml:space="preserve">BucketPanels should auto-filter to show only the relevant family for that panel (e.g., Penetration Comparison only shows Penetration family rows).</w:t>
      </w:r>
    </w:p>
    <w:p>
      <w:pPr>
        <w:pStyle w:val="ListParagraph"/>
        <w:numPr>
          <w:ilvl w:val="0"/>
          <w:numId w:val="2"/>
        </w:numPr>
        <w:spacing w:after="80"/>
      </w:pPr>
      <w:r>
        <w:rPr>
          <w:rFonts w:ascii="Arial" w:cs="Arial" w:eastAsia="Arial" w:hAnsi="Arial"/>
          <w:color w:val="1A2638"/>
          <w:sz w:val="22"/>
          <w:szCs w:val="22"/>
        </w:rPr>
        <w:t xml:space="preserve">KPI strip should become model-family aware: show best model per family, not just globally.</w:t>
      </w:r>
    </w:p>
    <w:p>
      <w:pPr>
        <w:pStyle w:val="ListParagraph"/>
        <w:numPr>
          <w:ilvl w:val="0"/>
          <w:numId w:val="2"/>
        </w:numPr>
        <w:spacing w:after="80"/>
      </w:pPr>
      <w:r>
        <w:rPr>
          <w:rFonts w:ascii="Arial" w:cs="Arial" w:eastAsia="Arial" w:hAnsi="Arial"/>
          <w:color w:val="1A2638"/>
          <w:sz w:val="22"/>
          <w:szCs w:val="22"/>
        </w:rPr>
        <w:t xml:space="preserve">The Future Entry Models panel should eventually be replaced with a proper model registry view showing planned, in-development, and tested models with their status.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5.3 ExactResultsTable Column Density</w:t>
      </w:r>
    </w:p>
    <w:p>
      <w:pPr>
        <w:spacing w:after="140"/>
      </w:pPr>
      <w:r>
        <w:rPr>
          <w:rFonts w:ascii="Arial" w:cs="Arial" w:eastAsia="Arial" w:hAnsi="Arial"/>
          <w:color w:val="1A2638"/>
          <w:sz w:val="22"/>
          <w:szCs w:val="22"/>
        </w:rPr>
        <w:t xml:space="preserve">The table has 13 columns at current. At wide viewport this is fine; on smaller screens it requires horizontal scroll. More critically, Mode / Tags / Threshold / Setups / Filled / Fill% / Wins / Losses / WR / Net R / Exp / Max DD / Δ Base are not all equally important at a glance.</w:t>
      </w:r>
    </w:p>
    <w:p>
      <w:pPr>
        <w:pStyle w:val="ListParagraph"/>
        <w:numPr>
          <w:ilvl w:val="0"/>
          <w:numId w:val="2"/>
        </w:numPr>
        <w:spacing w:after="80"/>
      </w:pPr>
      <w:r>
        <w:rPr>
          <w:rFonts w:ascii="Arial" w:cs="Arial" w:eastAsia="Arial" w:hAnsi="Arial"/>
          <w:color w:val="1A2638"/>
          <w:sz w:val="22"/>
          <w:szCs w:val="22"/>
        </w:rPr>
        <w:t xml:space="preserve">Introduce column visibility toggle (show/hide columns): default view shows Mode, Tags, Fill%, WR, Net R, Exp, Δ Base. Extended view adds the remaining columns plus MAE, MFE, Time-to-Fill.</w:t>
      </w:r>
    </w:p>
    <w:p>
      <w:pPr>
        <w:pStyle w:val="ListParagraph"/>
        <w:numPr>
          <w:ilvl w:val="0"/>
          <w:numId w:val="2"/>
        </w:numPr>
        <w:spacing w:after="80"/>
      </w:pPr>
      <w:r>
        <w:rPr>
          <w:rFonts w:ascii="Arial" w:cs="Arial" w:eastAsia="Arial" w:hAnsi="Arial"/>
          <w:color w:val="1A2638"/>
          <w:sz w:val="22"/>
          <w:szCs w:val="22"/>
        </w:rPr>
        <w:t xml:space="preserve">Sticky "Mode" and "Δ Base" columns so the identity and delta columns always remain visible when scrolling right.</w:t>
      </w:r>
    </w:p>
    <w:p>
      <w:pPr>
        <w:pStyle w:val="ListParagraph"/>
        <w:numPr>
          <w:ilvl w:val="0"/>
          <w:numId w:val="2"/>
        </w:numPr>
        <w:spacing w:after="80"/>
      </w:pPr>
      <w:r>
        <w:rPr>
          <w:rFonts w:ascii="Arial" w:cs="Arial" w:eastAsia="Arial" w:hAnsi="Arial"/>
          <w:color w:val="1A2638"/>
          <w:sz w:val="22"/>
          <w:szCs w:val="22"/>
        </w:rPr>
        <w:t xml:space="preserve">Column groups with visual separators: "Identity" (Mode, Tags, Threshold) | "Execution" (Setups, Filled, Fill%) | "Returns" (WR, Net R, Exp, Max DD) | "Comparison" (Δ Base).</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5.4 Pending / Placeholder Panel Management</w:t>
      </w:r>
    </w:p>
    <w:p>
      <w:pPr>
        <w:spacing w:after="140"/>
      </w:pPr>
      <w:r>
        <w:rPr>
          <w:rFonts w:ascii="Arial" w:cs="Arial" w:eastAsia="Arial" w:hAnsi="Arial"/>
          <w:color w:val="1A2638"/>
          <w:sz w:val="22"/>
          <w:szCs w:val="22"/>
        </w:rPr>
        <w:t xml:space="preserve">Several panels (Missed Winners, Avoided Losers, Time-to-Fill) show entirely placeholder rows. To a new user these look like bugs or incomplete work, not intentional architecture. The "BASELINE ONLY" state should communicate more clearly what is pending and why.</w:t>
      </w:r>
    </w:p>
    <w:p>
      <w:pPr>
        <w:pStyle w:val="ListParagraph"/>
        <w:numPr>
          <w:ilvl w:val="0"/>
          <w:numId w:val="2"/>
        </w:numPr>
        <w:spacing w:after="80"/>
      </w:pPr>
      <w:r>
        <w:rPr>
          <w:rFonts w:ascii="Arial" w:cs="Arial" w:eastAsia="Arial" w:hAnsi="Arial"/>
          <w:color w:val="1A2638"/>
          <w:sz w:val="22"/>
          <w:szCs w:val="22"/>
        </w:rPr>
        <w:t xml:space="preserve">Replace placeholder rows in empty panels with a single "Awaiting [entry_results export field] — run Python with v2 exporter" message rather than five "LIMITED" rows.</w:t>
      </w:r>
    </w:p>
    <w:p>
      <w:pPr>
        <w:pStyle w:val="ListParagraph"/>
        <w:numPr>
          <w:ilvl w:val="0"/>
          <w:numId w:val="2"/>
        </w:numPr>
        <w:spacing w:after="80"/>
      </w:pPr>
      <w:r>
        <w:rPr>
          <w:rFonts w:ascii="Arial" w:cs="Arial" w:eastAsia="Arial" w:hAnsi="Arial"/>
          <w:color w:val="1A2638"/>
          <w:sz w:val="22"/>
          <w:szCs w:val="22"/>
        </w:rPr>
        <w:t xml:space="preserve">Add a tiny progress indicator in each panel header showing how many of N planned features are active.</w:t>
      </w:r>
    </w:p>
    <w:p>
      <w:pPr>
        <w:pStyle w:val="ListParagraph"/>
        <w:numPr>
          <w:ilvl w:val="0"/>
          <w:numId w:val="2"/>
        </w:numPr>
        <w:spacing w:after="80"/>
      </w:pPr>
      <w:r>
        <w:rPr>
          <w:rFonts w:ascii="Arial" w:cs="Arial" w:eastAsia="Arial" w:hAnsi="Arial"/>
          <w:color w:val="1A2638"/>
          <w:sz w:val="22"/>
          <w:szCs w:val="22"/>
        </w:rPr>
        <w:t xml:space="preserve">Show an "Import Checklist" link in the panel to a help tooltip explaining what Python output fields are needed to unlock each panel.</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5.5 Global Filters</w:t>
      </w:r>
    </w:p>
    <w:p>
      <w:pPr>
        <w:spacing w:after="140"/>
      </w:pPr>
      <w:r>
        <w:rPr>
          <w:rFonts w:ascii="Arial" w:cs="Arial" w:eastAsia="Arial" w:hAnsi="Arial"/>
          <w:color w:val="1A2638"/>
          <w:sz w:val="22"/>
          <w:szCs w:val="22"/>
        </w:rPr>
        <w:t xml:space="preserve">There are no global filter controls on the page. A researcher wanting to scope the entire page to "London session only" or "Long trades only" must accept that every panel shows all trades. Global filters would be one of the highest-workflow-value features on the page.</w:t>
      </w:r>
    </w:p>
    <w:p>
      <w:pPr>
        <w:pStyle w:val="ListParagraph"/>
        <w:numPr>
          <w:ilvl w:val="0"/>
          <w:numId w:val="2"/>
        </w:numPr>
        <w:spacing w:after="80"/>
      </w:pPr>
      <w:r>
        <w:rPr>
          <w:rFonts w:ascii="Arial" w:cs="Arial" w:eastAsia="Arial" w:hAnsi="Arial"/>
          <w:color w:val="1A2638"/>
          <w:sz w:val="22"/>
          <w:szCs w:val="22"/>
        </w:rPr>
        <w:t xml:space="preserve">Filter bar below the page header: Session | Direction | Date Range | Min Fill Rate. Filters persist as URL query params.</w:t>
      </w:r>
    </w:p>
    <w:p>
      <w:pPr>
        <w:pStyle w:val="ListParagraph"/>
        <w:numPr>
          <w:ilvl w:val="0"/>
          <w:numId w:val="2"/>
        </w:numPr>
        <w:spacing w:after="80"/>
      </w:pPr>
      <w:r>
        <w:rPr>
          <w:rFonts w:ascii="Arial" w:cs="Arial" w:eastAsia="Arial" w:hAnsi="Arial"/>
          <w:color w:val="1A2638"/>
          <w:sz w:val="22"/>
          <w:szCs w:val="22"/>
        </w:rPr>
        <w:t xml:space="preserve">When a filter is active, show a coloured filter badge in the page header with a clear/reset button.</w:t>
      </w:r>
    </w:p>
    <w:p>
      <w:pPr>
        <w:pStyle w:val="ListParagraph"/>
        <w:numPr>
          <w:ilvl w:val="0"/>
          <w:numId w:val="2"/>
        </w:numPr>
        <w:spacing w:after="80"/>
      </w:pPr>
      <w:r>
        <w:rPr>
          <w:rFonts w:ascii="Arial" w:cs="Arial" w:eastAsia="Arial" w:hAnsi="Arial"/>
          <w:color w:val="1A2638"/>
          <w:sz w:val="22"/>
          <w:szCs w:val="22"/>
        </w:rPr>
        <w:t xml:space="preserve">Each panel should respect the global filter state and show filtered counts vs. full counts in parentheses.</w:t>
      </w:r>
    </w:p>
    <w:p>
      <w:pPr>
        <w:pStyle w:val="ListParagraph"/>
        <w:numPr>
          <w:ilvl w:val="0"/>
          <w:numId w:val="2"/>
        </w:numPr>
        <w:spacing w:after="80"/>
      </w:pPr>
      <w:r>
        <w:rPr>
          <w:rFonts w:ascii="Arial" w:cs="Arial" w:eastAsia="Arial" w:hAnsi="Arial"/>
          <w:color w:val="1A2638"/>
          <w:sz w:val="22"/>
          <w:szCs w:val="22"/>
        </w:rPr>
        <w:t xml:space="preserve">Store filter state in localStorage so it persists across page reloads.</w:t>
      </w:r>
    </w:p>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6. Premium Product Design &amp; Visual Polish</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6.1 Heatmap Cell Tooltips</w:t>
      </w:r>
    </w:p>
    <w:p>
      <w:pPr>
        <w:spacing w:after="140"/>
      </w:pPr>
      <w:r>
        <w:rPr>
          <w:rFonts w:ascii="Arial" w:cs="Arial" w:eastAsia="Arial" w:hAnsi="Arial"/>
          <w:color w:val="1A2638"/>
          <w:sz w:val="22"/>
          <w:szCs w:val="22"/>
        </w:rPr>
        <w:t xml:space="preserve">The Entry Timing and Toxicity heatmaps currently show count and net R inside a tiny cell but have no hover state. Hovering a cell should reveal a compact tooltip showing: session label, count, win rate, net R, avg R per trade, and best/worst single trade for that slot.</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6.2 ExactResultsTable Row Expansion</w:t>
      </w:r>
    </w:p>
    <w:p>
      <w:pPr>
        <w:spacing w:after="140"/>
      </w:pPr>
      <w:r>
        <w:rPr>
          <w:rFonts w:ascii="Arial" w:cs="Arial" w:eastAsia="Arial" w:hAnsi="Arial"/>
          <w:color w:val="1A2638"/>
          <w:sz w:val="22"/>
          <w:szCs w:val="22"/>
        </w:rPr>
        <w:t xml:space="preserve">Single-click on a table row should expand an inline sub-row showing the hidden metrics: MAE, MFE, Time-to-TP, Time-to-SL, trade count by session, and a mini equity spark. This avoids needing a separate drilldown page and keeps context.</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6.3 Delta Visualisation — Waterfall Chart</w:t>
      </w:r>
    </w:p>
    <w:p>
      <w:pPr>
        <w:spacing w:after="140"/>
      </w:pPr>
      <w:r>
        <w:rPr>
          <w:rFonts w:ascii="Arial" w:cs="Arial" w:eastAsia="Arial" w:hAnsi="Arial"/>
          <w:color w:val="1A2638"/>
          <w:sz w:val="22"/>
          <w:szCs w:val="22"/>
        </w:rPr>
        <w:t xml:space="preserve">The current Δ Base column shows a number. A waterfall bar chart — one bar per model showing positive or negative delta stacked from the baseline — makes the relative magnitude and direction instantly scannable. This is the canonical institutional comparison chart for strategy variant analysis.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6.4 Sparklines on MetricChip</w:t>
      </w:r>
    </w:p>
    <w:p>
      <w:pPr>
        <w:spacing w:after="140"/>
      </w:pPr>
      <w:r>
        <w:rPr>
          <w:rFonts w:ascii="Arial" w:cs="Arial" w:eastAsia="Arial" w:hAnsi="Arial"/>
          <w:color w:val="1A2638"/>
          <w:sz w:val="22"/>
          <w:szCs w:val="22"/>
        </w:rPr>
        <w:t xml:space="preserve">The MetricChip component already accepts a sparkline prop and renders a mini line chart. No MetricChip on the Entries Lab currently receives a sparkline. The "Best Model" chip could show the equity curve of the best model. "Best Delta" could show a rolling delta over the trade sequence. These small additions dramatically increase the information density of the KPI strip.</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6.5 Penetration Curve Chart</w:t>
      </w:r>
    </w:p>
    <w:p>
      <w:pPr>
        <w:spacing w:after="140"/>
      </w:pPr>
      <w:r>
        <w:rPr>
          <w:rFonts w:ascii="Arial" w:cs="Arial" w:eastAsia="Arial" w:hAnsi="Arial"/>
          <w:color w:val="1A2638"/>
          <w:sz w:val="22"/>
          <w:szCs w:val="22"/>
        </w:rPr>
        <w:t xml:space="preserve">The Penetration Entry Comparison BucketPanel shows a table. A simple SVG line chart — X: penetration %, Y: net R and fill rate — is dramatically more readable for the penetration family and is the natural form for a continuous parameter sweep.</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6.6 Model Status Lifecycle Tags</w:t>
      </w:r>
    </w:p>
    <w:p>
      <w:pPr>
        <w:spacing w:after="140"/>
      </w:pPr>
      <w:r>
        <w:rPr>
          <w:rFonts w:ascii="Arial" w:cs="Arial" w:eastAsia="Arial" w:hAnsi="Arial"/>
          <w:color w:val="1A2638"/>
          <w:sz w:val="22"/>
          <w:szCs w:val="22"/>
        </w:rPr>
        <w:t xml:space="preserve">Currently the only status tags are BASELINE, BEST NET R, BEST EXP, LOWEST DD, BEST FILL, PENDING. Premium additions:</w:t>
      </w:r>
    </w:p>
    <w:p>
      <w:pPr>
        <w:pStyle w:val="ListParagraph"/>
        <w:numPr>
          <w:ilvl w:val="0"/>
          <w:numId w:val="2"/>
        </w:numPr>
        <w:spacing w:after="80"/>
      </w:pPr>
      <w:r>
        <w:rPr>
          <w:rFonts w:ascii="Arial" w:cs="Arial" w:eastAsia="Arial" w:hAnsi="Arial"/>
          <w:color w:val="1A2638"/>
          <w:sz w:val="22"/>
          <w:szCs w:val="22"/>
        </w:rPr>
        <w:t xml:space="preserve">NEW — model first appeared in this run vs. prior run comparison.</w:t>
      </w:r>
    </w:p>
    <w:p>
      <w:pPr>
        <w:pStyle w:val="ListParagraph"/>
        <w:numPr>
          <w:ilvl w:val="0"/>
          <w:numId w:val="2"/>
        </w:numPr>
        <w:spacing w:after="80"/>
      </w:pPr>
      <w:r>
        <w:rPr>
          <w:rFonts w:ascii="Arial" w:cs="Arial" w:eastAsia="Arial" w:hAnsi="Arial"/>
          <w:color w:val="1A2638"/>
          <w:sz w:val="22"/>
          <w:szCs w:val="22"/>
        </w:rPr>
        <w:t xml:space="preserve">REGRESSION — model that performed better in a previous snapshot.</w:t>
      </w:r>
    </w:p>
    <w:p>
      <w:pPr>
        <w:pStyle w:val="ListParagraph"/>
        <w:numPr>
          <w:ilvl w:val="0"/>
          <w:numId w:val="2"/>
        </w:numPr>
        <w:spacing w:after="80"/>
      </w:pPr>
      <w:r>
        <w:rPr>
          <w:rFonts w:ascii="Arial" w:cs="Arial" w:eastAsia="Arial" w:hAnsi="Arial"/>
          <w:color w:val="1A2638"/>
          <w:sz w:val="22"/>
          <w:szCs w:val="22"/>
        </w:rPr>
        <w:t xml:space="preserve">INSUFFICIENT — fill count below threshold for a trustworthy result.</w:t>
      </w:r>
    </w:p>
    <w:p>
      <w:pPr>
        <w:pStyle w:val="ListParagraph"/>
        <w:numPr>
          <w:ilvl w:val="0"/>
          <w:numId w:val="2"/>
        </w:numPr>
        <w:spacing w:after="80"/>
      </w:pPr>
      <w:r>
        <w:rPr>
          <w:rFonts w:ascii="Arial" w:cs="Arial" w:eastAsia="Arial" w:hAnsi="Arial"/>
          <w:color w:val="1A2638"/>
          <w:sz w:val="22"/>
          <w:szCs w:val="22"/>
        </w:rPr>
        <w:t xml:space="preserve">DOMINANT — model that is best on all four metrics simultaneously.</w:t>
      </w:r>
    </w:p>
    <w:p>
      <w:pPr>
        <w:pStyle w:val="ListParagraph"/>
        <w:numPr>
          <w:ilvl w:val="0"/>
          <w:numId w:val="2"/>
        </w:numPr>
        <w:spacing w:after="80"/>
      </w:pPr>
      <w:r>
        <w:rPr>
          <w:rFonts w:ascii="Arial" w:cs="Arial" w:eastAsia="Arial" w:hAnsi="Arial"/>
          <w:color w:val="1A2638"/>
          <w:sz w:val="22"/>
          <w:szCs w:val="22"/>
        </w:rPr>
        <w:t xml:space="preserve">WATCH — model flagged by researcher for close monitoring.</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6.7 Research Confidence Indicators</w:t>
      </w:r>
    </w:p>
    <w:p>
      <w:pPr>
        <w:spacing w:after="140"/>
      </w:pPr>
      <w:r>
        <w:rPr>
          <w:rFonts w:ascii="Arial" w:cs="Arial" w:eastAsia="Arial" w:hAnsi="Arial"/>
          <w:color w:val="1A2638"/>
          <w:sz w:val="22"/>
          <w:szCs w:val="22"/>
        </w:rPr>
        <w:t xml:space="preserve">Every metric that depends on a sample should show a visual confidence indicator. This could be as simple as a muted "n=14" sub-label in amber next to any metric where n &lt; 30, escalating to red and a warning icon for n &lt; 10. The existing LOW_SAMPLE_N pill is a start but only appears in BucketPanels — not in the KPI strip or ExactResultsTable.</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6.8 Export Enhancements</w:t>
      </w:r>
    </w:p>
    <w:p>
      <w:pPr>
        <w:spacing w:after="140"/>
      </w:pPr>
      <w:r>
        <w:rPr>
          <w:rFonts w:ascii="Arial" w:cs="Arial" w:eastAsia="Arial" w:hAnsi="Arial"/>
          <w:color w:val="1A2638"/>
          <w:sz w:val="22"/>
          <w:szCs w:val="22"/>
        </w:rPr>
        <w:t xml:space="preserve">Current CSV export covers the main results table. Missing export paths:</w:t>
      </w:r>
    </w:p>
    <w:p>
      <w:pPr>
        <w:pStyle w:val="ListParagraph"/>
        <w:numPr>
          <w:ilvl w:val="0"/>
          <w:numId w:val="2"/>
        </w:numPr>
        <w:spacing w:after="80"/>
      </w:pPr>
      <w:r>
        <w:rPr>
          <w:rFonts w:ascii="Arial" w:cs="Arial" w:eastAsia="Arial" w:hAnsi="Arial"/>
          <w:color w:val="1A2638"/>
          <w:sz w:val="22"/>
          <w:szCs w:val="22"/>
        </w:rPr>
        <w:t xml:space="preserve">Per-model trade list export (all trades for a selected model as CSV).</w:t>
      </w:r>
    </w:p>
    <w:p>
      <w:pPr>
        <w:pStyle w:val="ListParagraph"/>
        <w:numPr>
          <w:ilvl w:val="0"/>
          <w:numId w:val="2"/>
        </w:numPr>
        <w:spacing w:after="80"/>
      </w:pPr>
      <w:r>
        <w:rPr>
          <w:rFonts w:ascii="Arial" w:cs="Arial" w:eastAsia="Arial" w:hAnsi="Arial"/>
          <w:color w:val="1A2638"/>
          <w:sz w:val="22"/>
          <w:szCs w:val="22"/>
        </w:rPr>
        <w:t xml:space="preserve">Session breakdown export.</w:t>
      </w:r>
    </w:p>
    <w:p>
      <w:pPr>
        <w:pStyle w:val="ListParagraph"/>
        <w:numPr>
          <w:ilvl w:val="0"/>
          <w:numId w:val="2"/>
        </w:numPr>
        <w:spacing w:after="80"/>
      </w:pPr>
      <w:r>
        <w:rPr>
          <w:rFonts w:ascii="Arial" w:cs="Arial" w:eastAsia="Arial" w:hAnsi="Arial"/>
          <w:color w:val="1A2638"/>
          <w:sz w:val="22"/>
          <w:szCs w:val="22"/>
        </w:rPr>
        <w:t xml:space="preserve">Heatmap data export (day/hour grid as CSV).</w:t>
      </w:r>
    </w:p>
    <w:p>
      <w:pPr>
        <w:pStyle w:val="ListParagraph"/>
        <w:numPr>
          <w:ilvl w:val="0"/>
          <w:numId w:val="2"/>
        </w:numPr>
        <w:spacing w:after="80"/>
      </w:pPr>
      <w:r>
        <w:rPr>
          <w:rFonts w:ascii="Arial" w:cs="Arial" w:eastAsia="Arial" w:hAnsi="Arial"/>
          <w:color w:val="1A2638"/>
          <w:sz w:val="22"/>
          <w:szCs w:val="22"/>
        </w:rPr>
        <w:t xml:space="preserve">PDF snapshot: a one-page summary of the active run's entry results for sharing with a trading partner or journal.</w:t>
      </w:r>
    </w:p>
    <w:p>
      <w:pPr>
        <w:pStyle w:val="ListParagraph"/>
        <w:numPr>
          <w:ilvl w:val="0"/>
          <w:numId w:val="2"/>
        </w:numPr>
        <w:spacing w:after="80"/>
      </w:pPr>
      <w:r>
        <w:rPr>
          <w:rFonts w:ascii="Arial" w:cs="Arial" w:eastAsia="Arial" w:hAnsi="Arial"/>
          <w:color w:val="1A2638"/>
          <w:sz w:val="22"/>
          <w:szCs w:val="22"/>
        </w:rPr>
        <w:t xml:space="preserve">JSON export of the full entryResults object for programmatic use.</w:t>
      </w:r>
    </w:p>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7. Power-User Features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7.1 Saved Research Views</w:t>
      </w:r>
    </w:p>
    <w:p>
      <w:pPr>
        <w:spacing w:after="140"/>
      </w:pPr>
      <w:r>
        <w:rPr>
          <w:rFonts w:ascii="Arial" w:cs="Arial" w:eastAsia="Arial" w:hAnsi="Arial"/>
          <w:color w:val="1A2638"/>
          <w:sz w:val="22"/>
          <w:szCs w:val="22"/>
        </w:rPr>
        <w:t xml:space="preserve">A researcher iterating quickly through hypothesis cycles needs to return to specific filter/sort/column configurations. Saved views let them name and recall a particular combination of active filters, column visibility, sort state, and any open drilldown panels.</w:t>
      </w:r>
    </w:p>
    <w:p>
      <w:pPr>
        <w:pStyle w:val="ListParagraph"/>
        <w:numPr>
          <w:ilvl w:val="0"/>
          <w:numId w:val="2"/>
        </w:numPr>
        <w:spacing w:after="80"/>
      </w:pPr>
      <w:r>
        <w:rPr>
          <w:rFonts w:ascii="Arial" w:cs="Arial" w:eastAsia="Arial" w:hAnsi="Arial"/>
          <w:color w:val="1A2638"/>
          <w:sz w:val="22"/>
          <w:szCs w:val="22"/>
        </w:rPr>
        <w:t xml:space="preserve">Save current view as a named snapshot stored in localStorage.</w:t>
      </w:r>
    </w:p>
    <w:p>
      <w:pPr>
        <w:pStyle w:val="ListParagraph"/>
        <w:numPr>
          <w:ilvl w:val="0"/>
          <w:numId w:val="2"/>
        </w:numPr>
        <w:spacing w:after="80"/>
      </w:pPr>
      <w:r>
        <w:rPr>
          <w:rFonts w:ascii="Arial" w:cs="Arial" w:eastAsia="Arial" w:hAnsi="Arial"/>
          <w:color w:val="1A2638"/>
          <w:sz w:val="22"/>
          <w:szCs w:val="22"/>
        </w:rPr>
        <w:t xml:space="preserve">View switcher dropdown in the page header: "Default View | Penetration Focus | Session Deep Dive | Confirmation Review".</w:t>
      </w:r>
    </w:p>
    <w:p>
      <w:pPr>
        <w:pStyle w:val="ListParagraph"/>
        <w:numPr>
          <w:ilvl w:val="0"/>
          <w:numId w:val="2"/>
        </w:numPr>
        <w:spacing w:after="80"/>
      </w:pPr>
      <w:r>
        <w:rPr>
          <w:rFonts w:ascii="Arial" w:cs="Arial" w:eastAsia="Arial" w:hAnsi="Arial"/>
          <w:color w:val="1A2638"/>
          <w:sz w:val="22"/>
          <w:szCs w:val="22"/>
        </w:rPr>
        <w:t xml:space="preserve">View thumbnails showing the last-saved state of each view.</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7.2 Entry Hypothesis Workbench</w:t>
      </w:r>
    </w:p>
    <w:p>
      <w:pPr>
        <w:spacing w:after="140"/>
      </w:pPr>
      <w:r>
        <w:rPr>
          <w:rFonts w:ascii="Arial" w:cs="Arial" w:eastAsia="Arial" w:hAnsi="Arial"/>
          <w:color w:val="1A2638"/>
          <w:sz w:val="22"/>
          <w:szCs w:val="22"/>
        </w:rPr>
        <w:t xml:space="preserve">Currently the researcher defines entry models in Python, re-runs the backtest, imports the output, and reads results. The workbench idea is to bring the hypothesis closer to the UI: a panel where the researcher can annotate a model with their hypothesis, expected outcome, and evidence from the current data, creating a structured research log inside the tool.</w:t>
      </w:r>
    </w:p>
    <w:p>
      <w:pPr>
        <w:pStyle w:val="ListParagraph"/>
        <w:numPr>
          <w:ilvl w:val="0"/>
          <w:numId w:val="2"/>
        </w:numPr>
        <w:spacing w:after="80"/>
      </w:pPr>
      <w:r>
        <w:rPr>
          <w:rFonts w:ascii="Arial" w:cs="Arial" w:eastAsia="Arial" w:hAnsi="Arial"/>
          <w:color w:val="1A2638"/>
          <w:sz w:val="22"/>
          <w:szCs w:val="22"/>
        </w:rPr>
        <w:t xml:space="preserve">Each model row gets a collapsible "Hypothesis" annotation field.</w:t>
      </w:r>
    </w:p>
    <w:p>
      <w:pPr>
        <w:pStyle w:val="ListParagraph"/>
        <w:numPr>
          <w:ilvl w:val="0"/>
          <w:numId w:val="2"/>
        </w:numPr>
        <w:spacing w:after="80"/>
      </w:pPr>
      <w:r>
        <w:rPr>
          <w:rFonts w:ascii="Arial" w:cs="Arial" w:eastAsia="Arial" w:hAnsi="Arial"/>
          <w:color w:val="1A2638"/>
          <w:sz w:val="22"/>
          <w:szCs w:val="22"/>
        </w:rPr>
        <w:t xml:space="preserve">Fields: Hypothesis text, Expected direction of delta, Evidence for, Evidence against, Verdict (accepts/rejects/inconclusive), Date.</w:t>
      </w:r>
    </w:p>
    <w:p>
      <w:pPr>
        <w:pStyle w:val="ListParagraph"/>
        <w:numPr>
          <w:ilvl w:val="0"/>
          <w:numId w:val="2"/>
        </w:numPr>
        <w:spacing w:after="80"/>
      </w:pPr>
      <w:r>
        <w:rPr>
          <w:rFonts w:ascii="Arial" w:cs="Arial" w:eastAsia="Arial" w:hAnsi="Arial"/>
          <w:color w:val="1A2638"/>
          <w:sz w:val="22"/>
          <w:szCs w:val="22"/>
        </w:rPr>
        <w:t xml:space="preserve">Hypothesis notes export to the research journal.</w:t>
      </w:r>
    </w:p>
    <w:p>
      <w:pPr>
        <w:pStyle w:val="ListParagraph"/>
        <w:numPr>
          <w:ilvl w:val="0"/>
          <w:numId w:val="2"/>
        </w:numPr>
        <w:spacing w:after="80"/>
      </w:pPr>
      <w:r>
        <w:rPr>
          <w:rFonts w:ascii="Arial" w:cs="Arial" w:eastAsia="Arial" w:hAnsi="Arial"/>
          <w:color w:val="1A2638"/>
          <w:sz w:val="22"/>
          <w:szCs w:val="22"/>
        </w:rPr>
        <w:t xml:space="preserve">Show "Hypothesis Confirmed / Rejected" status on each model row as a pill.</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7.3 Multi-Run Snapshot Diff</w:t>
      </w:r>
    </w:p>
    <w:p>
      <w:pPr>
        <w:spacing w:after="140"/>
      </w:pPr>
      <w:r>
        <w:rPr>
          <w:rFonts w:ascii="Arial" w:cs="Arial" w:eastAsia="Arial" w:hAnsi="Arial"/>
          <w:color w:val="1A2638"/>
          <w:sz w:val="22"/>
          <w:szCs w:val="22"/>
        </w:rPr>
        <w:t xml:space="preserve">Import two runs, the tool shows a diff table: every metric per model with an arrow indicating direction of change between Run A and Run B, and a significance flag for changes above a threshold.</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7.4 Benchmark Overlay</w:t>
      </w:r>
    </w:p>
    <w:p>
      <w:pPr>
        <w:spacing w:after="140"/>
      </w:pPr>
      <w:r>
        <w:rPr>
          <w:rFonts w:ascii="Arial" w:cs="Arial" w:eastAsia="Arial" w:hAnsi="Arial"/>
          <w:color w:val="1A2638"/>
          <w:sz w:val="22"/>
          <w:szCs w:val="22"/>
        </w:rPr>
        <w:t xml:space="preserve">The baseline is always the edge-touch model from the active run. A researcher might want to overlay a different benchmark — for example, a random fill model, or results from a different symbol/timeframe — to contextualise how much of the edge is from the entry model vs. the underlying OB structure.</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7.5 Query Builder for Trade Filtering</w:t>
      </w:r>
    </w:p>
    <w:p>
      <w:pPr>
        <w:spacing w:after="140"/>
      </w:pPr>
      <w:r>
        <w:rPr>
          <w:rFonts w:ascii="Arial" w:cs="Arial" w:eastAsia="Arial" w:hAnsi="Arial"/>
          <w:color w:val="1A2638"/>
          <w:sz w:val="22"/>
          <w:szCs w:val="22"/>
        </w:rPr>
        <w:t xml:space="preserve">A simple drag-and-drop query builder allowing the researcher to filter the trade population before analytics run. Example: "Show only London + New York trades where the OB was fresh (first touch) and direction is long." This surfaces entry model edge in specific, well-defined conditions rather than the aggregate.</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7.6 Experiment Journal</w:t>
      </w:r>
    </w:p>
    <w:p>
      <w:pPr>
        <w:spacing w:after="140"/>
      </w:pPr>
      <w:r>
        <w:rPr>
          <w:rFonts w:ascii="Arial" w:cs="Arial" w:eastAsia="Arial" w:hAnsi="Arial"/>
          <w:color w:val="1A2638"/>
          <w:sz w:val="22"/>
          <w:szCs w:val="22"/>
        </w:rPr>
        <w:t xml:space="preserve">Linked to research projects, a journal panel shows a timestamped log of every run imported to the project, with auto-generated "what changed" notes (Δ net R, Δ fill rate, Δ drawdown vs. prior run). The researcher can add free-text notes per entry. This creates an auditable research trail.</w:t>
      </w:r>
    </w:p>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8. Missing Visual Analytics</w:t>
      </w:r>
    </w:p>
    <w:p>
      <w:pPr>
        <w:pBdr>
          <w:left w:val="thick" w:color="0A6040" w:sz="12" w:space="8"/>
        </w:pBdr>
        <w:shd w:fill="E8FAF0" w:val="clear"/>
        <w:spacing w:after="180" w:before="100"/>
        <w:ind w:left="240"/>
      </w:pPr>
      <w:r>
        <w:rPr>
          <w:rFonts w:ascii="Arial" w:cs="Arial" w:eastAsia="Arial" w:hAnsi="Arial"/>
          <w:b w:val="false"/>
          <w:bCs w:val="false"/>
          <w:color w:val="0A6040"/>
          <w:sz w:val="20"/>
          <w:szCs w:val="20"/>
        </w:rPr>
        <w:t xml:space="preserve">All charts below can be built from data already available or plumbed in the current architecture.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Chart</w:t>
            </w:r>
          </w:p>
        </w:tc>
        <w:tc>
          <w:tcPr>
            <w:tcW w:type="dxa" w:w="24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Data Source</w:t>
            </w:r>
          </w:p>
        </w:tc>
        <w:tc>
          <w:tcPr>
            <w:tcW w:type="dxa" w:w="28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Research Value</w:t>
            </w:r>
          </w:p>
        </w:tc>
        <w:tc>
          <w:tcPr>
            <w:tcW w:type="dxa" w:w="196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Priority</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Equity Curve Overlay (per model)</w:t>
            </w:r>
          </w:p>
        </w:tc>
        <w:tc>
          <w:tcPr>
            <w:tcW w:type="dxa" w:w="2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tradesByMode trade lists + computeEquityCurve()</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See trajectory, not just terminal value</w:t>
            </w:r>
          </w:p>
        </w:tc>
        <w:tc>
          <w:tcPr>
            <w:tcW w:type="dxa" w:w="1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Penetration Sensitivity Curve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penetrationExactRows netR + fillPct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Avoid picking "best" from 4 data points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Delta Waterfall Bar Chart</w:t>
            </w:r>
          </w:p>
        </w:tc>
        <w:tc>
          <w:tcPr>
            <w:tcW w:type="dxa" w:w="2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exactRows deltaVsBaseline</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Instantly compare all model deltas</w:t>
            </w:r>
          </w:p>
        </w:tc>
        <w:tc>
          <w:tcPr>
            <w:tcW w:type="dxa" w:w="1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Missed Winner / Avoided Loser Funnel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tradesByMode vs. baseline trades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True model selection trade-off</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MAE / MFE Distribution Box Plot</w:t>
            </w:r>
          </w:p>
        </w:tc>
        <w:tc>
          <w:tcPr>
            <w:tcW w:type="dxa" w:w="2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avgMAE, avgMFE per model (already parsed)</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Fill quality comparison</w:t>
            </w:r>
          </w:p>
        </w:tc>
        <w:tc>
          <w:tcPr>
            <w:tcW w:type="dxa" w:w="1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Trade R Distribution Histogram</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tradesByMode R values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Compare outcome distribution shapes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Rolling Expectancy Line</w:t>
            </w:r>
          </w:p>
        </w:tc>
        <w:tc>
          <w:tcPr>
            <w:tcW w:type="dxa" w:w="2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Running exp over trade sequence per model</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Detect model decay or regime shift</w:t>
            </w:r>
          </w:p>
        </w:tc>
        <w:tc>
          <w:tcPr>
            <w:tcW w:type="dxa" w:w="1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OB Age × Entry Model Heatmap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OB metadata + entry timing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Does model work on fresh or aged OBs?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Session × Entry Model Contribution Matrix</w:t>
            </w:r>
          </w:p>
        </w:tc>
        <w:tc>
          <w:tcPr>
            <w:tcW w:type="dxa" w:w="2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sessionRows per model</w:t>
            </w:r>
          </w:p>
        </w:tc>
        <w:tc>
          <w:tcPr>
            <w:tcW w:type="dxa" w:w="2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Identify session-specific entry edge</w:t>
            </w:r>
          </w:p>
        </w:tc>
        <w:tc>
          <w:tcPr>
            <w:tcW w:type="dxa" w:w="19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Sankey Flow: Setup → Entry → Outcome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Per-mode lifecycle states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Visualise setup-to-fill-to-outcome pipeline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w:t>
            </w:r>
          </w:p>
        </w:tc>
      </w:tr>
    </w:tbl>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9. Priority Classification</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Quick Wins — Implement in &lt; 1 Day Each</w:t>
      </w:r>
    </w:p>
    <w:p>
      <w:pPr>
        <w:pBdr>
          <w:left w:val="thick" w:color="1A6FA0" w:sz="12" w:space="8"/>
        </w:pBdr>
        <w:shd w:fill="E8F4FD" w:val="clear"/>
        <w:spacing w:after="180" w:before="100"/>
        <w:ind w:left="240"/>
      </w:pPr>
      <w:r>
        <w:rPr>
          <w:rFonts w:ascii="Arial" w:cs="Arial" w:eastAsia="Arial" w:hAnsi="Arial"/>
          <w:b w:val="false"/>
          <w:bCs w:val="false"/>
          <w:color w:val="1A6FA0"/>
          <w:sz w:val="20"/>
          <w:szCs w:val="20"/>
        </w:rPr>
        <w:t xml:space="preserve">These are bugs, single-line fixes, or minimal additions that require no new components.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Item</w:t>
            </w:r>
          </w:p>
        </w:tc>
        <w:tc>
          <w:tcPr>
            <w:tcW w:type="dxa" w:w="14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Effort</w:t>
            </w:r>
          </w:p>
        </w:tc>
        <w:tc>
          <w:tcPr>
            <w:tcW w:type="dxa" w:w="376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Impact</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Fix toxicity grid: pass filtered losing trades not full list</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2 lines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Correctness — data was wrong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Fix session fill rate: remove hardcoded 100% in bucket()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5 lines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Correctness — data was wrong</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Show avgMAE / avgMFE as optional extended columns in ExactResultsTable</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lines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Unlocks hidden parsed data</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Add heatmap=true and defaultSortKey="netR" to ExactResultsTable via DataTable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20 lines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Free sort + heatmap from existing component</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Wire sparklines to MetricChip on KPI strip (equity delta array)</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10 lines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Premium UX using existing sparkline prop</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Fix EntryOutcomeMatrix pill to reflect actual data state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3 lines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UX correctness</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Add "INSUFFICIENT" pill for models with fills &lt; 15</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10 lines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Overfit protection signal</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Add family column or group divider in ExactResultsTable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lines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Scalability — needed now with 9 models</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Add bestByLowest() for maxDD to avoid brittle comparator semantics</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5 lines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Correctness + future-proofing</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NeonPanel collapsible=true on all placeholder panels (Lifecycle, Future Models, Backlog)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3 props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Declutters page when those panels are not relevant</w:t>
            </w:r>
          </w:p>
        </w:tc>
      </w:tr>
    </w:tbl>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Medium Upgrades — Implement in 2–5 Days Each</w:t>
      </w:r>
    </w:p>
    <w:p>
      <w:pPr>
        <w:pBdr>
          <w:left w:val="thick" w:color="1A6FA0" w:sz="12" w:space="8"/>
        </w:pBdr>
        <w:shd w:fill="E8F4FD" w:val="clear"/>
        <w:spacing w:after="180" w:before="100"/>
        <w:ind w:left="240"/>
      </w:pPr>
      <w:r>
        <w:rPr>
          <w:rFonts w:ascii="Arial" w:cs="Arial" w:eastAsia="Arial" w:hAnsi="Arial"/>
          <w:b w:val="false"/>
          <w:bCs w:val="false"/>
          <w:color w:val="1A6FA0"/>
          <w:sz w:val="20"/>
          <w:szCs w:val="20"/>
        </w:rPr>
        <w:t xml:space="preserve">These require new sub-components or modest data pipeline additions.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Item</w:t>
            </w:r>
          </w:p>
        </w:tc>
        <w:tc>
          <w:tcPr>
            <w:tcW w:type="dxa" w:w="14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Effort</w:t>
            </w:r>
          </w:p>
        </w:tc>
        <w:tc>
          <w:tcPr>
            <w:tcW w:type="dxa" w:w="376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Impact</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Migrate ExactResultsTable to DataTable with extended column toggle</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Consolidates codebase, enables sort/heatmap/MAE columns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Populate Missed Winner and Avoided Loser panels from tradesByMode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Turns two placeholder panels into real analytics</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Populate Time-to-Fill panel from avgTimeToTP / avgTimeToSL fields</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0.5 days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Turns placeholder panel into real analytics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Add Direction Asymmetry panel (Long vs Short per model)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Critical for understanding model generality</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Global filter bar (Session / Direction) with localStorage persistence</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days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Highest workflow upgrade on the page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Penetration sensitivity curve (SVG line chart)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Visual upgrade to most important family comparison</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Delta waterfall bar chart (inline SVG)</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0.5 days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Makes model comparison immediately scannable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Heatmap cell tooltip on hover (CSS/JS tooltip)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0.5 days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Big density upgrade for zero new panels</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Column visibility toggle on ExactResultsTable</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Manages column density as model count grows</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Sample adequacy badge system per model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0.5 days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Research integrity gate</w:t>
            </w:r>
          </w:p>
        </w:tc>
      </w:tr>
    </w:tbl>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Major Platform Bets — Weeks of Work Each</w:t>
      </w:r>
    </w:p>
    <w:p>
      <w:pPr>
        <w:pBdr>
          <w:left w:val="thick" w:color="8A5C00" w:sz="12" w:space="8"/>
        </w:pBdr>
        <w:shd w:fill="FFF8E6" w:val="clear"/>
        <w:spacing w:after="180" w:before="100"/>
        <w:ind w:left="240"/>
      </w:pPr>
      <w:r>
        <w:rPr>
          <w:rFonts w:ascii="Arial" w:cs="Arial" w:eastAsia="Arial" w:hAnsi="Arial"/>
          <w:b w:val="false"/>
          <w:bCs w:val="false"/>
          <w:color w:val="8A5C00"/>
          <w:sz w:val="20"/>
          <w:szCs w:val="20"/>
        </w:rPr>
        <w:t xml:space="preserve">These require new pages, data pipeline changes, or significant architectural additions.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rPr>
          <w:tblHeader/>
        </w:trPr>
        <w:tc>
          <w:tcPr>
            <w:tcW w:type="dxa" w:w="42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Item</w:t>
            </w:r>
          </w:p>
        </w:tc>
        <w:tc>
          <w:tcPr>
            <w:tcW w:type="dxa" w:w="14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Effort</w:t>
            </w:r>
          </w:p>
        </w:tc>
        <w:tc>
          <w:tcPr>
            <w:tcW w:type="dxa" w:w="376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Impact</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Equity curve overlay per model (requires per-model trade list rendering)</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1–2 weeks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Closes the largest single analytical gap</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Per-trade entry inspector drilldown panel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week</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Enables forensic analysis of individual fills</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Multi-run comparison mode (Run A vs Run B)</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weeks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Enables proper iterative research workflow</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Robustness scoring and overfit detection system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2 weeks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Most important research protection mechanism</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Entry Hypothesis Workbench with annotation and verdict tracking</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weeks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Turns the tool into a proper research system</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OB-specific entry performance analysis (requires OB metadata in trades)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2 weeks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Deep structural research capability</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Regime-aware entry segmentation</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2–3 weeks</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Requires regime tagging pipeline from Python</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Experiment journal with auto-generated run diff notes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weeks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Audit trail for serious research workflow</w:t>
            </w:r>
          </w:p>
        </w:tc>
      </w:tr>
      <w:tr>
        <w:tc>
          <w:tcPr>
            <w:tcW w:type="dxa" w:w="42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Saved research views with URL-based state</w:t>
            </w:r>
          </w:p>
        </w:tc>
        <w:tc>
          <w:tcPr>
            <w:tcW w:type="dxa" w:w="14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week</w:t>
            </w:r>
          </w:p>
        </w:tc>
        <w:tc>
          <w:tcPr>
            <w:tcW w:type="dxa" w:w="37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Power-user productivity multiplier</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PDF snapshot export of entry research summary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week</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Institutional reporting capability</w:t>
            </w:r>
          </w:p>
        </w:tc>
      </w:tr>
    </w:tbl>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10. Highest ROI Recommendations</w:t>
      </w:r>
    </w:p>
    <w:p>
      <w:pPr>
        <w:pBdr>
          <w:left w:val="thick" w:color="0A6040" w:sz="12" w:space="8"/>
        </w:pBdr>
        <w:shd w:fill="E8FAF0" w:val="clear"/>
        <w:spacing w:after="180" w:before="100"/>
        <w:ind w:left="240"/>
      </w:pPr>
      <w:r>
        <w:rPr>
          <w:rFonts w:ascii="Arial" w:cs="Arial" w:eastAsia="Arial" w:hAnsi="Arial"/>
          <w:b w:val="false"/>
          <w:bCs w:val="false"/>
          <w:color w:val="0A6040"/>
          <w:sz w:val="20"/>
          <w:szCs w:val="20"/>
        </w:rPr>
        <w:t xml:space="preserve">If only ten things happen from this audit, these should be them. Ranked by (research value) × (effort).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600"/>
        <w:gridCol w:w="3600"/>
        <w:gridCol w:w="1800"/>
      </w:tblGrid>
      <w:tr>
        <w:trPr>
          <w:tblHeader/>
        </w:trPr>
        <w:tc>
          <w:tcPr>
            <w:tcW w:type="dxa" w:w="36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Recommendation</w:t>
            </w:r>
          </w:p>
        </w:tc>
        <w:tc>
          <w:tcPr>
            <w:tcW w:type="dxa" w:w="36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Why</w:t>
            </w:r>
          </w:p>
        </w:tc>
        <w:tc>
          <w:tcPr>
            <w:tcW w:type="dxa" w:w="1800"/>
            <w:tcBorders>
              <w:top w:val="single" w:color="CCCCCC" w:sz="1"/>
              <w:left w:val="single" w:color="CCCCCC" w:sz="1"/>
              <w:bottom w:val="single" w:color="CCCCCC" w:sz="1"/>
              <w:right w:val="single" w:color="CCCCCC" w:sz="1"/>
            </w:tcBorders>
            <w:shd w:fill="0F1929" w:val="clear"/>
            <w:tcMar>
              <w:top w:type="dxa" w:w="100"/>
              <w:left w:type="dxa" w:w="160"/>
              <w:bottom w:type="dxa" w:w="100"/>
              <w:right w:type="dxa" w:w="160"/>
            </w:tcMar>
          </w:tcPr>
          <w:p>
            <w:pPr>
              <w:jc w:val="left"/>
            </w:pPr>
            <w:r>
              <w:rPr>
                <w:rFonts w:ascii="Arial" w:cs="Arial" w:eastAsia="Arial" w:hAnsi="Arial"/>
                <w:b/>
                <w:bCs/>
                <w:color w:val="FFFFFF"/>
                <w:sz w:val="18"/>
                <w:szCs w:val="18"/>
              </w:rPr>
              <w:t xml:space="preserve">Effort</w:t>
            </w:r>
          </w:p>
        </w:tc>
      </w:tr>
      <w:tr>
        <w:tc>
          <w:tcPr>
            <w:tcW w:type="dxa" w:w="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Fix the two data bugs (toxicity grid, session fill rate)</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Current data is wrong — every downstream research conclusion built on these panels is distorted</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Minutes</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Surface avgMAE / avgMFE / time columns (hidden but already parsed)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Highest-signal entry quality data is already in the system, just not displayed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min</w:t>
            </w:r>
          </w:p>
        </w:tc>
      </w:tr>
      <w:tr>
        <w:tc>
          <w:tcPr>
            <w:tcW w:type="dxa" w:w="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3</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Add sample adequacy badges + model confidence indicators</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Without this, any positive result — real or noise — looks equally credible. Critical research hygiene.</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0.5 day</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Equity curve overlay per model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The single largest missing analytical capability. Summary stats without curve shape is incomplete research.</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1–2 wks</w:t>
            </w:r>
          </w:p>
        </w:tc>
      </w:tr>
      <w:tr>
        <w:tc>
          <w:tcPr>
            <w:tcW w:type="dxa" w:w="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5</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Populate Missed Winner / Avoided Loser panels</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Two important panels already exist in the layout — just need to wire tradesByMode data to them</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Global filter bar (Session + Direction)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Unlocks conditional entry model analysis — most models will show different behaviour per session/direction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days</w:t>
            </w:r>
          </w:p>
        </w:tc>
      </w:tr>
      <w:tr>
        <w:tc>
          <w:tcPr>
            <w:tcW w:type="dxa" w:w="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7</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Penetration sensitivity curve chart</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Table with 4 rows trains the researcher to pick one. A curve shows the full landscape and where it is stable.</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Direction asymmetry split per model</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Entry models almost certainly perform asymmetrically — this is currently invisible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 day</w:t>
            </w:r>
          </w:p>
        </w:tc>
      </w:tr>
      <w:tr>
        <w:tc>
          <w:tcPr>
            <w:tcW w:type="dxa" w:w="36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9</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Family-based row grouping and filter tab in ExactResultsTable</w:t>
            </w:r>
          </w:p>
        </w:tc>
        <w:tc>
          <w:tcPr>
            <w:tcW w:type="dxa" w:w="36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Table will become unusable at 15+ models without this structural navigation upgrade</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60"/>
              <w:bottom w:type="dxa" w:w="100"/>
              <w:right w:type="dxa" w:w="160"/>
            </w:tcMar>
          </w:tcPr>
          <w:p>
            <w:r>
              <w:rPr>
                <w:rFonts w:ascii="Arial" w:cs="Arial" w:eastAsia="Arial" w:hAnsi="Arial"/>
                <w:b w:val="false"/>
                <w:bCs w:val="false"/>
                <w:color w:val="1A2638"/>
                <w:sz w:val="20"/>
                <w:szCs w:val="20"/>
              </w:rPr>
              <w:t xml:space="preserve">0.5 day</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Multi-run comparison mode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The core iterative research workflow — compare hypothesis A against hypothesis B — is currently impossible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638"/>
                <w:sz w:val="20"/>
                <w:szCs w:val="20"/>
              </w:rPr>
              <w:t xml:space="preserve">1.5 wks</w:t>
            </w:r>
          </w:p>
        </w:tc>
      </w:tr>
    </w:tbl>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11. Architecture: Scaling to Many Entry Models</w:t>
      </w:r>
    </w:p>
    <w:p>
      <w:pPr>
        <w:pBdr>
          <w:left w:val="thick" w:color="1A6FA0" w:sz="12" w:space="8"/>
        </w:pBdr>
        <w:shd w:fill="E8F4FD" w:val="clear"/>
        <w:spacing w:after="180" w:before="100"/>
        <w:ind w:left="240"/>
      </w:pPr>
      <w:r>
        <w:rPr>
          <w:rFonts w:ascii="Arial" w:cs="Arial" w:eastAsia="Arial" w:hAnsi="Arial"/>
          <w:b w:val="false"/>
          <w:bCs w:val="false"/>
          <w:color w:val="1A6FA0"/>
          <w:sz w:val="20"/>
          <w:szCs w:val="20"/>
        </w:rPr>
        <w:t xml:space="preserve">As confirmation, lifecycle, sweep, reclaim, session-gated, and other families are added, the current architecture will hold in some areas and crack in others.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Will Scale Well</w:t>
      </w:r>
    </w:p>
    <w:p>
      <w:pPr>
        <w:pStyle w:val="ListParagraph"/>
        <w:numPr>
          <w:ilvl w:val="0"/>
          <w:numId w:val="2"/>
        </w:numPr>
        <w:spacing w:after="80"/>
      </w:pPr>
      <w:r>
        <w:rPr>
          <w:rFonts w:ascii="Arial" w:cs="Arial" w:eastAsia="Arial" w:hAnsi="Arial"/>
          <w:color w:val="1A2638"/>
          <w:sz w:val="22"/>
          <w:szCs w:val="22"/>
        </w:rPr>
        <w:t xml:space="preserve">PLANNED_ENTRY_MODES registry pattern — adding a new model is one array entry.</w:t>
      </w:r>
    </w:p>
    <w:p>
      <w:pPr>
        <w:pStyle w:val="ListParagraph"/>
        <w:numPr>
          <w:ilvl w:val="0"/>
          <w:numId w:val="2"/>
        </w:numPr>
        <w:spacing w:after="80"/>
      </w:pPr>
      <w:r>
        <w:rPr>
          <w:rFonts w:ascii="Arial" w:cs="Arial" w:eastAsia="Arial" w:hAnsi="Arial"/>
          <w:color w:val="1A2638"/>
          <w:sz w:val="22"/>
          <w:szCs w:val="22"/>
        </w:rPr>
        <w:t xml:space="preserve">normalizeMode() / firstNumber() resilience layers — new Python field names are handled automatically.</w:t>
      </w:r>
    </w:p>
    <w:p>
      <w:pPr>
        <w:pStyle w:val="ListParagraph"/>
        <w:numPr>
          <w:ilvl w:val="0"/>
          <w:numId w:val="2"/>
        </w:numPr>
        <w:spacing w:after="80"/>
      </w:pPr>
      <w:r>
        <w:rPr>
          <w:rFonts w:ascii="Arial" w:cs="Arial" w:eastAsia="Arial" w:hAnsi="Arial"/>
          <w:color w:val="1A2638"/>
          <w:sz w:val="22"/>
          <w:szCs w:val="22"/>
        </w:rPr>
        <w:t xml:space="preserve">flattenEntrySummary() variant handling — multi-variant data structures are already supported.</w:t>
      </w:r>
    </w:p>
    <w:p>
      <w:pPr>
        <w:pStyle w:val="ListParagraph"/>
        <w:numPr>
          <w:ilvl w:val="0"/>
          <w:numId w:val="2"/>
        </w:numPr>
        <w:spacing w:after="80"/>
      </w:pPr>
      <w:r>
        <w:rPr>
          <w:rFonts w:ascii="Arial" w:cs="Arial" w:eastAsia="Arial" w:hAnsi="Arial"/>
          <w:color w:val="1A2638"/>
          <w:sz w:val="22"/>
          <w:szCs w:val="22"/>
        </w:rPr>
        <w:t xml:space="preserve">NeonPanel collapsible — any section can be collapsed as the page grows.</w:t>
      </w:r>
    </w:p>
    <w:p>
      <w:pPr>
        <w:pStyle w:val="ListParagraph"/>
        <w:numPr>
          <w:ilvl w:val="0"/>
          <w:numId w:val="2"/>
        </w:numPr>
        <w:spacing w:after="80"/>
      </w:pPr>
      <w:r>
        <w:rPr>
          <w:rFonts w:ascii="Arial" w:cs="Arial" w:eastAsia="Arial" w:hAnsi="Arial"/>
          <w:color w:val="1A2638"/>
          <w:sz w:val="22"/>
          <w:szCs w:val="22"/>
        </w:rPr>
        <w:t xml:space="preserve">DataTable sort + heatmap — the table component is already general enough to handle any new columns.</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Will Break Without Changes</w:t>
      </w:r>
    </w:p>
    <w:p>
      <w:pPr>
        <w:pStyle w:val="ListParagraph"/>
        <w:numPr>
          <w:ilvl w:val="0"/>
          <w:numId w:val="2"/>
        </w:numPr>
        <w:spacing w:after="80"/>
      </w:pPr>
      <w:r>
        <w:rPr>
          <w:rFonts w:ascii="Arial" w:cs="Arial" w:eastAsia="Arial" w:hAnsi="Arial"/>
          <w:color w:val="1A2638"/>
          <w:sz w:val="22"/>
          <w:szCs w:val="22"/>
        </w:rPr>
        <w:t xml:space="preserve">ExactResultsTable with no row grouping — 20+ ungrouped rows in one table is cognitively unmanageable. Family grouping is required before adding the confirmation family.</w:t>
      </w:r>
    </w:p>
    <w:p>
      <w:pPr>
        <w:pStyle w:val="ListParagraph"/>
        <w:numPr>
          <w:ilvl w:val="0"/>
          <w:numId w:val="2"/>
        </w:numPr>
        <w:spacing w:after="80"/>
      </w:pPr>
      <w:r>
        <w:rPr>
          <w:rFonts w:ascii="Arial" w:cs="Arial" w:eastAsia="Arial" w:hAnsi="Arial"/>
          <w:color w:val="1A2638"/>
          <w:sz w:val="22"/>
          <w:szCs w:val="22"/>
        </w:rPr>
        <w:t xml:space="preserve">BucketPanels showing all models regardless of family — Fill Rate panel will show penetration, confirmation, lifecycle, and sweep models mixed together. Each panel needs a family filter.</w:t>
      </w:r>
    </w:p>
    <w:p>
      <w:pPr>
        <w:pStyle w:val="ListParagraph"/>
        <w:numPr>
          <w:ilvl w:val="0"/>
          <w:numId w:val="2"/>
        </w:numPr>
        <w:spacing w:after="80"/>
      </w:pPr>
      <w:r>
        <w:rPr>
          <w:rFonts w:ascii="Arial" w:cs="Arial" w:eastAsia="Arial" w:hAnsi="Arial"/>
          <w:color w:val="1A2638"/>
          <w:sz w:val="22"/>
          <w:szCs w:val="22"/>
        </w:rPr>
        <w:t xml:space="preserve">KPI strip with single "Best Model" chip — when five families each have a best model, a single chip cannot represent the competitive landscape.</w:t>
      </w:r>
    </w:p>
    <w:p>
      <w:pPr>
        <w:pStyle w:val="ListParagraph"/>
        <w:numPr>
          <w:ilvl w:val="0"/>
          <w:numId w:val="2"/>
        </w:numPr>
        <w:spacing w:after="80"/>
      </w:pPr>
      <w:r>
        <w:rPr>
          <w:rFonts w:ascii="Arial" w:cs="Arial" w:eastAsia="Arial" w:hAnsi="Arial"/>
          <w:color w:val="1A2638"/>
          <w:sz w:val="22"/>
          <w:szCs w:val="22"/>
        </w:rPr>
        <w:t xml:space="preserve">The "BASELINE ONLY / EXACT DATA" pill on Exact Results — becomes meaningless when some models have exact data and some do not within the same table.</w:t>
      </w:r>
    </w:p>
    <w:p>
      <w:pPr>
        <w:pStyle w:val="ListParagraph"/>
        <w:numPr>
          <w:ilvl w:val="0"/>
          <w:numId w:val="2"/>
        </w:numPr>
        <w:spacing w:after="80"/>
      </w:pPr>
      <w:r>
        <w:rPr>
          <w:rFonts w:ascii="Arial" w:cs="Arial" w:eastAsia="Arial" w:hAnsi="Arial"/>
          <w:color w:val="1A2638"/>
          <w:sz w:val="22"/>
          <w:szCs w:val="22"/>
        </w:rPr>
        <w:t xml:space="preserve">buildEntryAnalytics() constructing its analytics inline — as models multiply, this function will grow unwieldy. It should eventually be broken into family-specific builders.</w:t>
      </w:r>
    </w:p>
    <w:p>
      <w:pPr>
        <w:pStyle w:val="ListParagraph"/>
        <w:numPr>
          <w:ilvl w:val="0"/>
          <w:numId w:val="2"/>
        </w:numPr>
        <w:spacing w:after="80"/>
      </w:pPr>
      <w:r>
        <w:rPr>
          <w:rFonts w:ascii="Arial" w:cs="Arial" w:eastAsia="Arial" w:hAnsi="Arial"/>
          <w:color w:val="1A2638"/>
          <w:sz w:val="22"/>
          <w:szCs w:val="22"/>
        </w:rPr>
        <w:t xml:space="preserve">Session rows from sessionRows() only operate on the baseline trade list — they do not segment by entry model. At scale, session analysis per model is required.</w:t>
      </w:r>
    </w:p>
    <w:p>
      <w:pPr>
        <w:spacing w:after="80"/>
      </w:pPr>
      <w:r>
        <w:t xml:space="preserve"/>
      </w:r>
    </w:p>
    <w:p>
      <w:pPr>
        <w:pStyle w:val="Heading2"/>
        <w:pBdr>
          <w:bottom w:val="single" w:color="00B4C8" w:sz="4" w:space="4"/>
        </w:pBdr>
        <w:spacing w:after="160" w:before="360"/>
      </w:pPr>
      <w:r>
        <w:rPr>
          <w:rFonts w:ascii="Arial" w:cs="Arial" w:eastAsia="Arial" w:hAnsi="Arial"/>
          <w:b/>
          <w:bCs/>
          <w:color w:val="00B4C8"/>
          <w:sz w:val="32"/>
          <w:szCs w:val="32"/>
        </w:rPr>
        <w:t xml:space="preserve">Recommended Structural Safeguards</w:t>
      </w:r>
    </w:p>
    <w:p>
      <w:pPr>
        <w:pStyle w:val="ListParagraph"/>
        <w:numPr>
          <w:ilvl w:val="0"/>
          <w:numId w:val="2"/>
        </w:numPr>
        <w:spacing w:after="80"/>
      </w:pPr>
      <w:r>
        <w:rPr>
          <w:rFonts w:ascii="Arial" w:cs="Arial" w:eastAsia="Arial" w:hAnsi="Arial"/>
          <w:color w:val="1A2638"/>
          <w:sz w:val="22"/>
          <w:szCs w:val="22"/>
        </w:rPr>
        <w:t xml:space="preserve">Add a model registry module that centralises PLANNED_ENTRY_MODES with explicit status fields (tested | in_development | planned | deprecated).</w:t>
      </w:r>
    </w:p>
    <w:p>
      <w:pPr>
        <w:pStyle w:val="ListParagraph"/>
        <w:numPr>
          <w:ilvl w:val="0"/>
          <w:numId w:val="2"/>
        </w:numPr>
        <w:spacing w:after="80"/>
      </w:pPr>
      <w:r>
        <w:rPr>
          <w:rFonts w:ascii="Arial" w:cs="Arial" w:eastAsia="Arial" w:hAnsi="Arial"/>
          <w:color w:val="1A2638"/>
          <w:sz w:val="22"/>
          <w:szCs w:val="22"/>
        </w:rPr>
        <w:t xml:space="preserve">Build a getModelsByFamily(family) selector used by all panels to filter their own row sets.</w:t>
      </w:r>
    </w:p>
    <w:p>
      <w:pPr>
        <w:pStyle w:val="ListParagraph"/>
        <w:numPr>
          <w:ilvl w:val="0"/>
          <w:numId w:val="2"/>
        </w:numPr>
        <w:spacing w:after="80"/>
      </w:pPr>
      <w:r>
        <w:rPr>
          <w:rFonts w:ascii="Arial" w:cs="Arial" w:eastAsia="Arial" w:hAnsi="Arial"/>
          <w:color w:val="1A2638"/>
          <w:sz w:val="22"/>
          <w:szCs w:val="22"/>
        </w:rPr>
        <w:t xml:space="preserve">Create a per-model analytics builder that takes a model key and the tradesByMode map and returns a standard analytics object — reusable across all panels.</w:t>
      </w:r>
    </w:p>
    <w:p>
      <w:pPr>
        <w:pStyle w:val="ListParagraph"/>
        <w:numPr>
          <w:ilvl w:val="0"/>
          <w:numId w:val="2"/>
        </w:numPr>
        <w:spacing w:after="80"/>
      </w:pPr>
      <w:r>
        <w:rPr>
          <w:rFonts w:ascii="Arial" w:cs="Arial" w:eastAsia="Arial" w:hAnsi="Arial"/>
          <w:color w:val="1A2638"/>
          <w:sz w:val="22"/>
          <w:szCs w:val="22"/>
        </w:rPr>
        <w:t xml:space="preserve">Add a "model count by family" indicator in the page header so the researcher always knows the scope at a glance.</w:t>
      </w:r>
    </w:p>
    <w:p>
      <w:pPr>
        <w:spacing w:after="80"/>
      </w:pPr>
      <w:r>
        <w:t xml:space="preserve"/>
      </w:r>
    </w:p>
    <w:p>
      <w:pPr>
        <w:pageBreakBefore/>
      </w:pPr>
      <w:r>
        <w:t xml:space="preserve"/>
      </w:r>
    </w:p>
    <w:p>
      <w:pPr>
        <w:pStyle w:val="Heading1"/>
        <w:spacing w:after="240" w:before="480"/>
      </w:pPr>
      <w:r>
        <w:rPr>
          <w:rFonts w:ascii="Arial" w:cs="Arial" w:eastAsia="Arial" w:hAnsi="Arial"/>
          <w:b/>
          <w:bCs/>
          <w:color w:val="0F1929"/>
          <w:sz w:val="40"/>
          <w:szCs w:val="40"/>
        </w:rPr>
        <w:t xml:space="preserve">Appendix: Commercial Perspective</w:t>
      </w:r>
    </w:p>
    <w:p>
      <w:pPr>
        <w:spacing w:after="140"/>
      </w:pPr>
      <w:r>
        <w:rPr>
          <w:rFonts w:ascii="Arial" w:cs="Arial" w:eastAsia="Arial" w:hAnsi="Arial"/>
          <w:color w:val="1A2638"/>
          <w:sz w:val="22"/>
          <w:szCs w:val="22"/>
        </w:rPr>
        <w:t xml:space="preserve">If this were a premium SaaS research product, the features that would most convincingly justify a serious subscription price are not the charts or the polish — they are the ones that make a researcher materially more rigorous:</w:t>
      </w:r>
    </w:p>
    <w:p>
      <w:pPr>
        <w:spacing w:after="80"/>
      </w:pPr>
      <w:r>
        <w:t xml:space="preserve"/>
      </w:r>
    </w:p>
    <w:p>
      <w:pPr>
        <w:pStyle w:val="ListParagraph"/>
        <w:numPr>
          <w:ilvl w:val="0"/>
          <w:numId w:val="2"/>
        </w:numPr>
        <w:spacing w:after="80"/>
      </w:pPr>
      <w:r>
        <w:rPr>
          <w:rFonts w:ascii="Arial" w:cs="Arial" w:eastAsia="Arial" w:hAnsi="Arial"/>
          <w:b/>
          <w:bCs/>
          <w:color w:val="00B4C8"/>
          <w:sz w:val="22"/>
          <w:szCs w:val="22"/>
        </w:rPr>
        <w:t xml:space="preserve">Overfit Detection and Sample Adequacy System: </w:t>
      </w:r>
      <w:r>
        <w:rPr>
          <w:rFonts w:ascii="Arial" w:cs="Arial" w:eastAsia="Arial" w:hAnsi="Arial"/>
          <w:color w:val="1A2638"/>
          <w:sz w:val="22"/>
          <w:szCs w:val="22"/>
        </w:rPr>
        <w:t xml:space="preserve">No serious quant research tool lets you draw conclusions from n=12 trades without a red flag. Building this correctly — with confidence intervals, significance guidance, and a clear "insufficient sample" gate — would be the single most differentiating research integrity feature on the market for retail/semi-pro traders.</w:t>
      </w:r>
    </w:p>
    <w:p>
      <w:pPr>
        <w:pStyle w:val="ListParagraph"/>
        <w:numPr>
          <w:ilvl w:val="0"/>
          <w:numId w:val="2"/>
        </w:numPr>
        <w:spacing w:after="80"/>
      </w:pPr>
      <w:r>
        <w:rPr>
          <w:rFonts w:ascii="Arial" w:cs="Arial" w:eastAsia="Arial" w:hAnsi="Arial"/>
          <w:b/>
          <w:bCs/>
          <w:color w:val="00B4C8"/>
          <w:sz w:val="22"/>
          <w:szCs w:val="22"/>
        </w:rPr>
        <w:t xml:space="preserve">Equity Curve Overlay per Model: </w:t>
      </w:r>
      <w:r>
        <w:rPr>
          <w:rFonts w:ascii="Arial" w:cs="Arial" w:eastAsia="Arial" w:hAnsi="Arial"/>
          <w:color w:val="1A2638"/>
          <w:sz w:val="22"/>
          <w:szCs w:val="22"/>
        </w:rPr>
        <w:t xml:space="preserve">Institutional desks do not buy a strategy based on terminal net R. They look at the path. Showing the path — easily, beautifully, with drawdown ribbons — immediately separates this tool from any spreadsheet-based alternative.</w:t>
      </w:r>
    </w:p>
    <w:p>
      <w:pPr>
        <w:pStyle w:val="ListParagraph"/>
        <w:numPr>
          <w:ilvl w:val="0"/>
          <w:numId w:val="2"/>
        </w:numPr>
        <w:spacing w:after="80"/>
      </w:pPr>
      <w:r>
        <w:rPr>
          <w:rFonts w:ascii="Arial" w:cs="Arial" w:eastAsia="Arial" w:hAnsi="Arial"/>
          <w:b/>
          <w:bCs/>
          <w:color w:val="00B4C8"/>
          <w:sz w:val="22"/>
          <w:szCs w:val="22"/>
        </w:rPr>
        <w:t xml:space="preserve">Entry Hypothesis Workbench with verdict tracking: </w:t>
      </w:r>
      <w:r>
        <w:rPr>
          <w:rFonts w:ascii="Arial" w:cs="Arial" w:eastAsia="Arial" w:hAnsi="Arial"/>
          <w:color w:val="1A2638"/>
          <w:sz w:val="22"/>
          <w:szCs w:val="22"/>
        </w:rPr>
        <w:t xml:space="preserve">Most traders iterate hypotheses in their head or in a Notion doc disconnected from the data. A structured hypothesis tool embedded in the same UI as the results — with confirmed/rejected/inconclusive verdicts — creates a genuine research workflow that cannot be replicated elsewhere.</w:t>
      </w:r>
    </w:p>
    <w:p>
      <w:pPr>
        <w:pStyle w:val="ListParagraph"/>
        <w:numPr>
          <w:ilvl w:val="0"/>
          <w:numId w:val="2"/>
        </w:numPr>
        <w:spacing w:after="80"/>
      </w:pPr>
      <w:r>
        <w:rPr>
          <w:rFonts w:ascii="Arial" w:cs="Arial" w:eastAsia="Arial" w:hAnsi="Arial"/>
          <w:b/>
          <w:bCs/>
          <w:color w:val="00B4C8"/>
          <w:sz w:val="22"/>
          <w:szCs w:val="22"/>
        </w:rPr>
        <w:t xml:space="preserve">Multi-Run Snapshot Diff: </w:t>
      </w:r>
      <w:r>
        <w:rPr>
          <w:rFonts w:ascii="Arial" w:cs="Arial" w:eastAsia="Arial" w:hAnsi="Arial"/>
          <w:color w:val="1A2638"/>
          <w:sz w:val="22"/>
          <w:szCs w:val="22"/>
        </w:rPr>
        <w:t xml:space="preserve">The ability to compare two Python runs side by side with a proper diff table and change significance flags is the bread-and-butter of institutional model development. It is currently impossible without manual spreadsheet work.</w:t>
      </w:r>
    </w:p>
    <w:p>
      <w:pPr>
        <w:pStyle w:val="ListParagraph"/>
        <w:numPr>
          <w:ilvl w:val="0"/>
          <w:numId w:val="2"/>
        </w:numPr>
        <w:spacing w:after="80"/>
      </w:pPr>
      <w:r>
        <w:rPr>
          <w:rFonts w:ascii="Arial" w:cs="Arial" w:eastAsia="Arial" w:hAnsi="Arial"/>
          <w:b/>
          <w:bCs/>
          <w:color w:val="00B4C8"/>
          <w:sz w:val="22"/>
          <w:szCs w:val="22"/>
        </w:rPr>
        <w:t xml:space="preserve">Regime-Aware Entry Segmentation: </w:t>
      </w:r>
      <w:r>
        <w:rPr>
          <w:rFonts w:ascii="Arial" w:cs="Arial" w:eastAsia="Arial" w:hAnsi="Arial"/>
          <w:color w:val="1A2638"/>
          <w:sz w:val="22"/>
          <w:szCs w:val="22"/>
        </w:rPr>
        <w:t xml:space="preserve">The most common way a strategy that backtests well fails live is regime dependency. A tool that surfaces regime-conditional entry performance before deployment is genuinely valuable and practically unavailable at the retail/prosumer level.</w:t>
      </w:r>
    </w:p>
    <w:p>
      <w:pPr>
        <w:spacing w:after="80"/>
      </w:pPr>
      <w:r>
        <w:t xml:space="preserve"/>
      </w:r>
    </w:p>
    <w:p>
      <w:pPr>
        <w:spacing w:after="140"/>
      </w:pPr>
      <w:r>
        <w:rPr>
          <w:rFonts w:ascii="Arial" w:cs="Arial" w:eastAsia="Arial" w:hAnsi="Arial"/>
          <w:color w:val="1A2638"/>
          <w:sz w:val="22"/>
          <w:szCs w:val="22"/>
        </w:rPr>
        <w:t xml:space="preserve">The Entries Lab already has the bones of an elite research tool. The visual system is premium. The data architecture is sound. The gaps are almost entirely analytical depth and workflow continuity — and those are solvable.</w:t>
      </w:r>
    </w:p>
    <w:p>
      <w:pPr>
        <w:spacing w:after="80"/>
      </w:pPr>
      <w:r>
        <w:t xml:space="preserve"/>
      </w:r>
    </w:p>
    <w:p>
      <w:pPr>
        <w:spacing w:after="80" w:before="480"/>
        <w:jc w:val="center"/>
      </w:pPr>
      <w:r>
        <w:rPr>
          <w:rFonts w:ascii="Arial" w:cs="Arial" w:eastAsia="Arial" w:hAnsi="Arial"/>
          <w:b/>
          <w:bCs/>
          <w:color w:val="00B4C8"/>
          <w:sz w:val="22"/>
          <w:szCs w:val="22"/>
        </w:rPr>
        <w:t xml:space="preserve">END OF AUDIT</w:t>
      </w:r>
    </w:p>
    <w:p>
      <w:pPr>
        <w:jc w:val="center"/>
      </w:pPr>
      <w:r>
        <w:rPr>
          <w:rFonts w:ascii="Arial" w:cs="Arial" w:eastAsia="Arial" w:hAnsi="Arial"/>
          <w:i/>
          <w:iCs/>
          <w:color w:val="8899AA"/>
          <w:sz w:val="18"/>
          <w:szCs w:val="18"/>
        </w:rPr>
        <w:t xml:space="preserve">FX-OB Research Lab — Entries Lab Audit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99AA"/>
        <w:sz w:val="16"/>
        <w:szCs w:val="16"/>
      </w:rPr>
      <w:t xml:space="preserve">CONFIDENTIAL RESEARCH TOOL  ·  Page </w:t>
    </w:r>
    <w:r>
      <w:rPr>
        <w:rFonts w:ascii="Arial" w:cs="Arial" w:eastAsia="Arial" w:hAnsi="Arial"/>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2"/>
      </w:pBdr>
      <w:tabs>
        <w:tab w:val="right" w:pos="9360"/>
      </w:tabs>
    </w:pPr>
    <w:r>
      <w:rPr>
        <w:rFonts w:ascii="Arial" w:cs="Arial" w:eastAsia="Arial" w:hAnsi="Arial"/>
        <w:color w:val="8899AA"/>
        <w:sz w:val="18"/>
        <w:szCs w:val="18"/>
      </w:rPr>
      <w:t xml:space="preserve">FX-OB Research Lab  ·  Entries Lab Audit</w:t>
    </w:r>
    <w:r>
      <w:rPr>
        <w:rFonts w:ascii="Arial" w:cs="Arial" w:eastAsia="Arial" w:hAnsi="Arial"/>
        <w:sz w:val="18"/>
        <w:szCs w:val="18"/>
      </w:rPr>
      <w:t xml:space="preserve">	</w:t>
    </w:r>
    <w:r>
      <w:rPr>
        <w:rFonts w:ascii="Arial" w:cs="Arial" w:eastAsia="Arial" w:hAnsi="Arial"/>
        <w:color w:val="8899AA"/>
        <w:sz w:val="18"/>
        <w:szCs w:val="18"/>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6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F1929"/>
      <w:sz w:val="40"/>
      <w:szCs w:val="40"/>
    </w:rPr>
  </w:style>
  <w:style w:type="paragraph" w:styleId="Heading2">
    <w:name w:val="Heading 2"/>
    <w:basedOn w:val="Normal"/>
    <w:next w:val="Normal"/>
    <w:qFormat/>
    <w:pPr>
      <w:spacing w:after="160" w:before="360"/>
      <w:outlineLvl w:val="1"/>
    </w:pPr>
    <w:rPr>
      <w:rFonts w:ascii="Arial" w:cs="Arial" w:eastAsia="Arial" w:hAnsi="Arial"/>
      <w:b/>
      <w:bCs/>
      <w:color w:val="00B4C8"/>
      <w:sz w:val="32"/>
      <w:szCs w:val="32"/>
    </w:rPr>
  </w:style>
  <w:style w:type="paragraph" w:styleId="Heading3">
    <w:name w:val="Heading 3"/>
    <w:basedOn w:val="Normal"/>
    <w:next w:val="Normal"/>
    <w:qFormat/>
    <w:pPr>
      <w:spacing w:after="100" w:before="280"/>
      <w:outlineLvl w:val="2"/>
    </w:pPr>
    <w:rPr>
      <w:rFonts w:ascii="Arial" w:cs="Arial" w:eastAsia="Arial" w:hAnsi="Arial"/>
      <w:b/>
      <w:bCs/>
      <w:color w:val="0F192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2026-05-26T07:59:03.979Z</dcterms:created>
  <dcterms:modified xsi:type="dcterms:W3CDTF">2026-05-26T07:59:03.979Z</dcterms:modified>
</cp:coreProperties>
</file>

<file path=docProps/custom.xml><?xml version="1.0" encoding="utf-8"?>
<Properties xmlns="http://schemas.openxmlformats.org/officeDocument/2006/custom-properties" xmlns:vt="http://schemas.openxmlformats.org/officeDocument/2006/docPropsVTypes"/>
</file>