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3D6F0">
      <w:pPr>
        <w:spacing w:after="240" w:line="360" w:lineRule="auto"/>
        <w:jc w:val="center"/>
      </w:pPr>
      <w:r>
        <w:rPr>
          <w:rFonts w:ascii="Times New Roman" w:hAnsi="Times New Roman" w:eastAsia="宋体"/>
          <w:b/>
          <w:sz w:val="24"/>
        </w:rPr>
        <w:t>前端 Vue 化（前后端分离）改造方案</w:t>
      </w:r>
    </w:p>
    <w:p w14:paraId="13C58C94"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本文档针对 DataGear 现有以 FreeMarker 模板与内嵌 CDN Vue 作为前端实现、以 Spring Boot 作为后端的架构，提出将其改造为 Vue 单页应用（SPA）与后端 REST API 前后端分离架构的详细实施方案，涵盖现状分析、技术选型、总体策略、后端改造、前端工程、数据契约迁移、重点难点、实施计划、构建部署等内容。</w:t>
      </w:r>
    </w:p>
    <w:p w14:paraId="5B5A65D6">
      <w:pPr>
        <w:spacing w:before="120" w:after="60" w:line="360" w:lineRule="auto"/>
        <w:jc w:val="left"/>
      </w:pPr>
      <w:r>
        <w:rPr>
          <w:rFonts w:ascii="Times New Roman" w:hAnsi="Times New Roman" w:eastAsia="宋体"/>
          <w:b/>
          <w:sz w:val="24"/>
        </w:rPr>
        <w:t>现状盘点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4"/>
        <w:gridCol w:w="6906"/>
      </w:tblGrid>
      <w:tr w14:paraId="658C6FCB">
        <w:trPr>
          <w:jc w:val="center"/>
        </w:trPr>
        <w:tc>
          <w:tcPr>
            <w:tcW w:w="1734" w:type="dxa"/>
          </w:tcPr>
          <w:p w14:paraId="48D4CB96">
            <w:pPr>
              <w:spacing w:after="0" w:line="312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维度</w:t>
            </w:r>
          </w:p>
        </w:tc>
        <w:tc>
          <w:tcPr>
            <w:tcW w:w="6906" w:type="dxa"/>
          </w:tcPr>
          <w:p w14:paraId="2703B64C">
            <w:pPr>
              <w:spacing w:after="0" w:line="312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现状</w:t>
            </w:r>
          </w:p>
        </w:tc>
      </w:tr>
      <w:tr w14:paraId="76942B5D">
        <w:trPr>
          <w:jc w:val="center"/>
        </w:trPr>
        <w:tc>
          <w:tcPr>
            <w:tcW w:w="1734" w:type="dxa"/>
          </w:tcPr>
          <w:p w14:paraId="618D86D6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后端</w:t>
            </w:r>
          </w:p>
        </w:tc>
        <w:tc>
          <w:tcPr>
            <w:tcW w:w="6906" w:type="dxa"/>
          </w:tcPr>
          <w:p w14:paraId="3411815B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Spring Boot 2.7.18、Java 8、MyBatis、WAR 打包（datagear-webapp）</w:t>
            </w:r>
          </w:p>
        </w:tc>
      </w:tr>
      <w:tr w14:paraId="43EA31E4">
        <w:trPr>
          <w:jc w:val="center"/>
        </w:trPr>
        <w:tc>
          <w:tcPr>
            <w:tcW w:w="1734" w:type="dxa"/>
          </w:tcPr>
          <w:p w14:paraId="4D068DB6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视图层</w:t>
            </w:r>
          </w:p>
        </w:tc>
        <w:tc>
          <w:tcPr>
            <w:tcW w:w="6906" w:type="dxa"/>
          </w:tcPr>
          <w:p w14:paraId="0F4B62CB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FreeMarker，共 136 个 .ftl 模板</w:t>
            </w:r>
          </w:p>
        </w:tc>
      </w:tr>
      <w:tr w14:paraId="37B00E4E">
        <w:trPr>
          <w:jc w:val="center"/>
        </w:trPr>
        <w:tc>
          <w:tcPr>
            <w:tcW w:w="1734" w:type="dxa"/>
          </w:tcPr>
          <w:p w14:paraId="735502C9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控制器</w:t>
            </w:r>
          </w:p>
        </w:tc>
        <w:tc>
          <w:tcPr>
            <w:tcW w:w="6906" w:type="dxa"/>
          </w:tcPr>
          <w:p w14:paraId="3D402D7E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40 个 @Controller，位于 datagear-web 控制器包，视图与 JSON 接口混合</w:t>
            </w:r>
          </w:p>
        </w:tc>
      </w:tr>
      <w:tr w14:paraId="5A457CBB">
        <w:trPr>
          <w:jc w:val="center"/>
        </w:trPr>
        <w:tc>
          <w:tcPr>
            <w:tcW w:w="1734" w:type="dxa"/>
          </w:tcPr>
          <w:p w14:paraId="16A3967C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前端</w:t>
            </w:r>
          </w:p>
        </w:tc>
        <w:tc>
          <w:tcPr>
            <w:tcW w:w="6906" w:type="dxa"/>
          </w:tcPr>
          <w:p w14:paraId="7EC3634B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已是 Vue 3.2.47 + PrimeVue 3.34.1 + jQuery + ECharts + CodeMirror（CDN 引入）</w:t>
            </w:r>
          </w:p>
        </w:tc>
      </w:tr>
      <w:tr w14:paraId="58FF87A9">
        <w:trPr>
          <w:jc w:val="center"/>
        </w:trPr>
        <w:tc>
          <w:tcPr>
            <w:tcW w:w="1734" w:type="dxa"/>
          </w:tcPr>
          <w:p w14:paraId="1F6A76F9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页面框架</w:t>
            </w:r>
          </w:p>
        </w:tc>
        <w:tc>
          <w:tcPr>
            <w:tcW w:w="6906" w:type="dxa"/>
          </w:tcPr>
          <w:p w14:paraId="08C24BE6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自制 po（page object）框架，约 87KB 的 static/script/util.js</w:t>
            </w:r>
          </w:p>
        </w:tc>
      </w:tr>
      <w:tr w14:paraId="0CEB8E6E">
        <w:trPr>
          <w:jc w:val="center"/>
        </w:trPr>
        <w:tc>
          <w:tcPr>
            <w:tcW w:w="1734" w:type="dxa"/>
          </w:tcPr>
          <w:p w14:paraId="6D95F0D3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国际化</w:t>
            </w:r>
          </w:p>
        </w:tc>
        <w:tc>
          <w:tcPr>
            <w:tcW w:w="6906" w:type="dxa"/>
          </w:tcPr>
          <w:p w14:paraId="298FABEA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后端 message.properties + FreeMarker 消息标签（当前仅中文）</w:t>
            </w:r>
          </w:p>
        </w:tc>
      </w:tr>
      <w:tr w14:paraId="61FB62FE">
        <w:trPr>
          <w:jc w:val="center"/>
        </w:trPr>
        <w:tc>
          <w:tcPr>
            <w:tcW w:w="1734" w:type="dxa"/>
          </w:tcPr>
          <w:p w14:paraId="26CC463E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安全</w:t>
            </w:r>
          </w:p>
        </w:tc>
        <w:tc>
          <w:tcPr>
            <w:tcW w:w="6906" w:type="dxa"/>
          </w:tcPr>
          <w:p w14:paraId="4691002C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Spring Security：表单登录、Session + remember-me、校验码、登录锁定、CSRF 已禁用、CORS 可配置</w:t>
            </w:r>
          </w:p>
        </w:tc>
      </w:tr>
      <w:tr w14:paraId="5348AB72">
        <w:trPr>
          <w:jc w:val="center"/>
        </w:trPr>
        <w:tc>
          <w:tcPr>
            <w:tcW w:w="1734" w:type="dxa"/>
          </w:tcPr>
          <w:p w14:paraId="76C39D4B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数据接口</w:t>
            </w:r>
          </w:p>
        </w:tc>
        <w:tc>
          <w:tcPr>
            <w:tcW w:w="6906" w:type="dxa"/>
          </w:tcPr>
          <w:p w14:paraId="20AD4943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已存在一批 JSON 接口（@ResponseBody + ResponseEntity&lt;OperationMessage&gt; + PagingData）</w:t>
            </w:r>
          </w:p>
        </w:tc>
      </w:tr>
    </w:tbl>
    <w:p w14:paraId="7665CFA0">
      <w:pPr>
        <w:spacing w:line="240" w:lineRule="auto"/>
      </w:pPr>
      <w:bookmarkStart w:id="0" w:name="_GoBack"/>
      <w:bookmarkEnd w:id="0"/>
    </w:p>
    <w:p w14:paraId="796872E1"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核心结论：项目当前实为“FreeMarker 渲染页面壳 + 内嵌 Vue 运行时”的混合体，数据已经走 JSON，仅“页面导航、初始表单数据（formModel）、国际化文案、权限数据”仍由服务端模板渲染。因此本次改造的本质，是把“页面壳的职责”从 FreeMarker 彻底迁移到浏览器端 SPA，后端退化为纯 REST API 与静态资源托管。</w:t>
      </w:r>
    </w:p>
    <w:p w14:paraId="031795A1">
      <w:pPr>
        <w:spacing w:before="120" w:after="60" w:line="360" w:lineRule="auto"/>
        <w:jc w:val="left"/>
      </w:pPr>
      <w:r>
        <w:rPr>
          <w:rFonts w:ascii="Times New Roman" w:hAnsi="Times New Roman" w:eastAsia="宋体"/>
          <w:b/>
          <w:sz w:val="24"/>
        </w:rPr>
        <w:t>目标架构与技术选型</w:t>
      </w:r>
    </w:p>
    <w:p w14:paraId="0683909B"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目标形态为：浏览器端 Vue 3 单页应用（Vite + TypeScript + Vue Router + Pinia + PrimeVue + Axios + vue-i18n）通过 HTTP 调用后端 Spring Boot 纯 REST API（/api 前缀 JSON 接口），后端不再承担页面渲染职责，仅保留校验码、文件上传下载、看板运行时等特殊端点与静态资源托管能力。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949"/>
      </w:tblGrid>
      <w:tr w14:paraId="31F31DB6">
        <w:trPr>
          <w:jc w:val="center"/>
        </w:trPr>
        <w:tc>
          <w:tcPr>
            <w:tcW w:w="2880" w:type="dxa"/>
          </w:tcPr>
          <w:p w14:paraId="6159A7FC">
            <w:pPr>
              <w:spacing w:after="0" w:line="312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关注点</w:t>
            </w:r>
          </w:p>
        </w:tc>
        <w:tc>
          <w:tcPr>
            <w:tcW w:w="2880" w:type="dxa"/>
          </w:tcPr>
          <w:p w14:paraId="019F4A3D">
            <w:pPr>
              <w:spacing w:after="0" w:line="312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选型</w:t>
            </w:r>
          </w:p>
        </w:tc>
        <w:tc>
          <w:tcPr>
            <w:tcW w:w="2880" w:type="dxa"/>
          </w:tcPr>
          <w:p w14:paraId="00BD8AE3">
            <w:pPr>
              <w:spacing w:after="0" w:line="312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理由</w:t>
            </w:r>
          </w:p>
        </w:tc>
      </w:tr>
      <w:tr w14:paraId="2EA5263F">
        <w:trPr>
          <w:jc w:val="center"/>
        </w:trPr>
        <w:tc>
          <w:tcPr>
            <w:tcW w:w="2880" w:type="dxa"/>
          </w:tcPr>
          <w:p w14:paraId="6A32DC54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构建</w:t>
            </w:r>
          </w:p>
        </w:tc>
        <w:tc>
          <w:tcPr>
            <w:tcW w:w="2880" w:type="dxa"/>
          </w:tcPr>
          <w:p w14:paraId="79385DED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Vite + TypeScript</w:t>
            </w:r>
          </w:p>
        </w:tc>
        <w:tc>
          <w:tcPr>
            <w:tcW w:w="2880" w:type="dxa"/>
          </w:tcPr>
          <w:p w14:paraId="567CAAB6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现代标准，开发体验好</w:t>
            </w:r>
          </w:p>
        </w:tc>
      </w:tr>
      <w:tr w14:paraId="6EEB2408">
        <w:trPr>
          <w:jc w:val="center"/>
        </w:trPr>
        <w:tc>
          <w:tcPr>
            <w:tcW w:w="2880" w:type="dxa"/>
          </w:tcPr>
          <w:p w14:paraId="5620790A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框架</w:t>
            </w:r>
          </w:p>
        </w:tc>
        <w:tc>
          <w:tcPr>
            <w:tcW w:w="2880" w:type="dxa"/>
          </w:tcPr>
          <w:p w14:paraId="2A7ED04F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Vue 3（Composition API）</w:t>
            </w:r>
          </w:p>
        </w:tc>
        <w:tc>
          <w:tcPr>
            <w:tcW w:w="2880" w:type="dxa"/>
          </w:tcPr>
          <w:p w14:paraId="21523A1F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与现有 Vue3 对齐，组件可迁移</w:t>
            </w:r>
          </w:p>
        </w:tc>
      </w:tr>
      <w:tr w14:paraId="130CCC78">
        <w:trPr>
          <w:jc w:val="center"/>
        </w:trPr>
        <w:tc>
          <w:tcPr>
            <w:tcW w:w="2880" w:type="dxa"/>
          </w:tcPr>
          <w:p w14:paraId="5777E2C1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路由</w:t>
            </w:r>
          </w:p>
        </w:tc>
        <w:tc>
          <w:tcPr>
            <w:tcW w:w="2880" w:type="dxa"/>
          </w:tcPr>
          <w:p w14:paraId="14D9E2B4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Vue Router 4</w:t>
            </w:r>
          </w:p>
        </w:tc>
        <w:tc>
          <w:tcPr>
            <w:tcW w:w="2880" w:type="dxa"/>
          </w:tcPr>
          <w:p w14:paraId="177E3C5F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对应 40 个控制器的 manage/add/edit/view/select 动作</w:t>
            </w:r>
          </w:p>
        </w:tc>
      </w:tr>
      <w:tr w14:paraId="11D43A61">
        <w:trPr>
          <w:jc w:val="center"/>
        </w:trPr>
        <w:tc>
          <w:tcPr>
            <w:tcW w:w="2880" w:type="dxa"/>
          </w:tcPr>
          <w:p w14:paraId="2957B9CD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状态管理</w:t>
            </w:r>
          </w:p>
        </w:tc>
        <w:tc>
          <w:tcPr>
            <w:tcW w:w="2880" w:type="dxa"/>
          </w:tcPr>
          <w:p w14:paraId="2D0929B5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Pinia</w:t>
            </w:r>
          </w:p>
        </w:tc>
        <w:tc>
          <w:tcPr>
            <w:tcW w:w="2880" w:type="dxa"/>
          </w:tcPr>
          <w:p w14:paraId="44A079D6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管理用户、主题、语言、当前分析项目、模块权限</w:t>
            </w:r>
          </w:p>
        </w:tc>
      </w:tr>
      <w:tr w14:paraId="29BE868E">
        <w:trPr>
          <w:jc w:val="center"/>
        </w:trPr>
        <w:tc>
          <w:tcPr>
            <w:tcW w:w="2880" w:type="dxa"/>
          </w:tcPr>
          <w:p w14:paraId="0ABAEAF7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UI 组件</w:t>
            </w:r>
          </w:p>
        </w:tc>
        <w:tc>
          <w:tcPr>
            <w:tcW w:w="2880" w:type="dxa"/>
          </w:tcPr>
          <w:p w14:paraId="5188074D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PrimeVue 3（npm 版）+ PrimeFlex + PrimeIcons</w:t>
            </w:r>
          </w:p>
        </w:tc>
        <w:tc>
          <w:tcPr>
            <w:tcW w:w="2880" w:type="dxa"/>
          </w:tcPr>
          <w:p w14:paraId="79DA7499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直接复用现有组件与样式，迁移成本最低</w:t>
            </w:r>
          </w:p>
        </w:tc>
      </w:tr>
      <w:tr w14:paraId="3FFA2619">
        <w:trPr>
          <w:jc w:val="center"/>
        </w:trPr>
        <w:tc>
          <w:tcPr>
            <w:tcW w:w="2880" w:type="dxa"/>
          </w:tcPr>
          <w:p w14:paraId="14A1FD00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HTTP</w:t>
            </w:r>
          </w:p>
        </w:tc>
        <w:tc>
          <w:tcPr>
            <w:tcW w:w="2880" w:type="dxa"/>
          </w:tcPr>
          <w:p w14:paraId="7A6BF20B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Axios + 拦截器</w:t>
            </w:r>
          </w:p>
        </w:tc>
        <w:tc>
          <w:tcPr>
            <w:tcW w:w="2880" w:type="dxa"/>
          </w:tcPr>
          <w:p w14:paraId="4B6B8AC9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统一处理 OperationMessage、401 跳登录、错误提示</w:t>
            </w:r>
          </w:p>
        </w:tc>
      </w:tr>
      <w:tr w14:paraId="3320BC0B">
        <w:trPr>
          <w:jc w:val="center"/>
        </w:trPr>
        <w:tc>
          <w:tcPr>
            <w:tcW w:w="2880" w:type="dxa"/>
          </w:tcPr>
          <w:p w14:paraId="60927FE5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国际化</w:t>
            </w:r>
          </w:p>
        </w:tc>
        <w:tc>
          <w:tcPr>
            <w:tcW w:w="2880" w:type="dxa"/>
          </w:tcPr>
          <w:p w14:paraId="6C5755CC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vue-i18n</w:t>
            </w:r>
          </w:p>
        </w:tc>
        <w:tc>
          <w:tcPr>
            <w:tcW w:w="2880" w:type="dxa"/>
          </w:tcPr>
          <w:p w14:paraId="69D6C8E1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前端文案；后端 message.properties 保留给服务端错误码</w:t>
            </w:r>
          </w:p>
        </w:tc>
      </w:tr>
      <w:tr w14:paraId="74FFF09D">
        <w:trPr>
          <w:jc w:val="center"/>
        </w:trPr>
        <w:tc>
          <w:tcPr>
            <w:tcW w:w="2880" w:type="dxa"/>
          </w:tcPr>
          <w:p w14:paraId="78BD3449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图表/看板</w:t>
            </w:r>
          </w:p>
        </w:tc>
        <w:tc>
          <w:tcPr>
            <w:tcW w:w="2880" w:type="dxa"/>
          </w:tcPr>
          <w:p w14:paraId="1E0E58C8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ECharts（沿用）、CodeMirror</w:t>
            </w:r>
          </w:p>
        </w:tc>
        <w:tc>
          <w:tcPr>
            <w:tcW w:w="2880" w:type="dxa"/>
          </w:tcPr>
          <w:p w14:paraId="0FEF3679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看板与图表可视化需单独评估</w:t>
            </w:r>
          </w:p>
        </w:tc>
      </w:tr>
      <w:tr w14:paraId="219E9ED1">
        <w:trPr>
          <w:jc w:val="center"/>
        </w:trPr>
        <w:tc>
          <w:tcPr>
            <w:tcW w:w="2880" w:type="dxa"/>
          </w:tcPr>
          <w:p w14:paraId="6DF96F67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认证</w:t>
            </w:r>
          </w:p>
        </w:tc>
        <w:tc>
          <w:tcPr>
            <w:tcW w:w="2880" w:type="dxa"/>
          </w:tcPr>
          <w:p w14:paraId="1365CD32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阶段一 Session + Cookie（同源）；阶段二可选 JWT</w:t>
            </w:r>
          </w:p>
        </w:tc>
        <w:tc>
          <w:tcPr>
            <w:tcW w:w="2880" w:type="dxa"/>
          </w:tcPr>
          <w:p w14:paraId="1FEC63F7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见“认证与安全改造”章节</w:t>
            </w:r>
          </w:p>
        </w:tc>
      </w:tr>
    </w:tbl>
    <w:p w14:paraId="7152FFCC">
      <w:pPr>
        <w:spacing w:line="240" w:lineRule="auto"/>
      </w:pPr>
    </w:p>
    <w:p w14:paraId="06EBDAB0"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不建议引入 Element Plus 等新 UI 库：现有界面均为 PrimeVue，更换组件库会带来较大的视觉与工作量回归。</w:t>
      </w:r>
    </w:p>
    <w:p w14:paraId="141C8E87">
      <w:pPr>
        <w:spacing w:before="120" w:after="60" w:line="360" w:lineRule="auto"/>
        <w:jc w:val="left"/>
      </w:pPr>
      <w:r>
        <w:rPr>
          <w:rFonts w:ascii="Times New Roman" w:hAnsi="Times New Roman" w:eastAsia="宋体"/>
          <w:b/>
          <w:sz w:val="24"/>
        </w:rPr>
        <w:t>总体策略</w:t>
      </w:r>
    </w:p>
    <w:p w14:paraId="56D3DB18"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不推荐一次性重写（136 个模板、看板可视化设计器、20 个业务模块，风险极高），推荐“并行双轨、逐模块替换、收敛下线”的渐进式策略：</w:t>
      </w:r>
    </w:p>
    <w:p w14:paraId="053ED1C1">
      <w:pPr>
        <w:spacing w:line="360" w:lineRule="auto"/>
      </w:pPr>
      <w:r>
        <w:rPr>
          <w:rFonts w:ascii="Times New Roman" w:hAnsi="Times New Roman" w:eastAsia="仿宋"/>
          <w:b w:val="0"/>
          <w:sz w:val="24"/>
        </w:rPr>
        <w:t>· 先搭建 SPA 骨架，打通认证，并以一个模范模块跑通全链路（POC）；</w:t>
      </w:r>
    </w:p>
    <w:p w14:paraId="00A56EF6">
      <w:pPr>
        <w:spacing w:line="360" w:lineRule="auto"/>
      </w:pPr>
      <w:r>
        <w:rPr>
          <w:rFonts w:ascii="Times New Roman" w:hAnsi="Times New Roman" w:eastAsia="仿宋"/>
          <w:b w:val="0"/>
          <w:sz w:val="24"/>
        </w:rPr>
        <w:t>· 后端为每个业务模块补齐 REST API，把原本由模板注入的表单初始数据、模块权限等改为 JSON 返回；</w:t>
      </w:r>
    </w:p>
    <w:p w14:paraId="44E23862">
      <w:pPr>
        <w:spacing w:line="360" w:lineRule="auto"/>
      </w:pPr>
      <w:r>
        <w:rPr>
          <w:rFonts w:ascii="Times New Roman" w:hAnsi="Times New Roman" w:eastAsia="仿宋"/>
          <w:b w:val="0"/>
          <w:sz w:val="24"/>
        </w:rPr>
        <w:t>· 前端按菜单逐模块重写页面（数据源、数据集、图表、看板、用户、角色、数据交换等）；</w:t>
      </w:r>
    </w:p>
    <w:p w14:paraId="3BA5A9D1">
      <w:pPr>
        <w:spacing w:line="360" w:lineRule="auto"/>
      </w:pPr>
      <w:r>
        <w:rPr>
          <w:rFonts w:ascii="Times New Roman" w:hAnsi="Times New Roman" w:eastAsia="仿宋"/>
          <w:b w:val="0"/>
          <w:sz w:val="24"/>
        </w:rPr>
        <w:t>· 全部替换完成后删除 FreeMarker 依赖与模板，下线旧入口。</w:t>
      </w:r>
    </w:p>
    <w:p w14:paraId="0D6D0025"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该策略使每个阶段都可独立发布、可回滚，团队可边迁移边维护线上环境。</w:t>
      </w:r>
    </w:p>
    <w:p w14:paraId="42A01552">
      <w:pPr>
        <w:spacing w:before="120" w:after="60" w:line="360" w:lineRule="auto"/>
        <w:jc w:val="left"/>
      </w:pPr>
      <w:r>
        <w:rPr>
          <w:rFonts w:ascii="Times New Roman" w:hAnsi="Times New Roman" w:eastAsia="宋体"/>
          <w:b/>
          <w:sz w:val="24"/>
        </w:rPr>
        <w:t>后端改造方案</w:t>
      </w:r>
    </w:p>
    <w:p w14:paraId="56433B2D">
      <w:pPr>
        <w:spacing w:before="120" w:after="60" w:line="360" w:lineRule="auto"/>
      </w:pPr>
      <w:r>
        <w:rPr>
          <w:rFonts w:ascii="Times New Roman" w:hAnsi="Times New Roman" w:eastAsia="宋体"/>
          <w:b/>
          <w:sz w:val="24"/>
        </w:rPr>
        <w:t>统一响应体与 API 前缀</w:t>
      </w:r>
    </w:p>
    <w:p w14:paraId="3F8F3187"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当前已存在 OperationMessage（成功或失败 + code + message + data）与 PagingData，本次保留它们作为统一契约，并收敛为顶层包装，由前端拦截器统一解析：</w:t>
      </w:r>
    </w:p>
    <w:p w14:paraId="764D5F1E">
      <w:pPr>
        <w:spacing w:line="360" w:lineRule="auto"/>
      </w:pPr>
      <w:r>
        <w:rPr>
          <w:rFonts w:ascii="Consolas" w:hAnsi="Consolas" w:eastAsia="仿宋"/>
          <w:b w:val="0"/>
          <w:sz w:val="24"/>
        </w:rPr>
        <w:t>// 成功</w:t>
      </w:r>
    </w:p>
    <w:p w14:paraId="337BC33E">
      <w:pPr>
        <w:spacing w:line="360" w:lineRule="auto"/>
      </w:pPr>
      <w:r>
        <w:rPr>
          <w:rFonts w:ascii="Consolas" w:hAnsi="Consolas" w:eastAsia="仿宋"/>
          <w:b w:val="0"/>
          <w:sz w:val="24"/>
        </w:rPr>
        <w:t>{ "code": "operationSuccess", "type": "success", "message": "...", "data": { ... } }</w:t>
      </w:r>
    </w:p>
    <w:p w14:paraId="00A6A549">
      <w:pPr>
        <w:spacing w:line="360" w:lineRule="auto"/>
      </w:pPr>
      <w:r>
        <w:rPr>
          <w:rFonts w:ascii="Consolas" w:hAnsi="Consolas" w:eastAsia="仿宋"/>
          <w:b w:val="0"/>
          <w:sz w:val="24"/>
        </w:rPr>
        <w:t>// 失败（HTTP 状态同时返回 400/401/500）</w:t>
      </w:r>
    </w:p>
    <w:p w14:paraId="06CEE9A5">
      <w:pPr>
        <w:spacing w:line="360" w:lineRule="auto"/>
      </w:pPr>
      <w:r>
        <w:rPr>
          <w:rFonts w:ascii="Consolas" w:hAnsi="Consolas" w:eastAsia="仿宋"/>
          <w:b w:val="0"/>
          <w:sz w:val="24"/>
        </w:rPr>
        <w:t>{ "code": "error.IllegalInputException", "type": "fail", "message": "...", "data": null }</w:t>
      </w:r>
    </w:p>
    <w:p w14:paraId="6E0536B8"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新增 @RestController 统一前缀 /api（如 /api/role），与 SPA 静态资源、特殊端点（/checkCode、/static）隔离。改造方式二选一，推荐方式 A：</w:t>
      </w:r>
    </w:p>
    <w:p w14:paraId="3A252845">
      <w:pPr>
        <w:spacing w:line="360" w:lineRule="auto"/>
      </w:pPr>
      <w:r>
        <w:rPr>
          <w:rFonts w:ascii="Times New Roman" w:hAnsi="Times New Roman" w:eastAsia="仿宋"/>
          <w:b w:val="0"/>
          <w:sz w:val="24"/>
        </w:rPr>
        <w:t>· 方式 A：保留现有 @Controller，将视图方法（add/edit/view/manage）由返回模板名改为返回 JSON，manage 只返回模块权限与查询所需元数据；</w:t>
      </w:r>
    </w:p>
    <w:p w14:paraId="1DDC4A47">
      <w:pPr>
        <w:spacing w:line="360" w:lineRule="auto"/>
      </w:pPr>
      <w:r>
        <w:rPr>
          <w:rFonts w:ascii="Times New Roman" w:hAnsi="Times New Roman" w:eastAsia="仿宋"/>
          <w:b w:val="0"/>
          <w:sz w:val="24"/>
        </w:rPr>
        <w:t>· 方式 B：新建平行 @RestController，旧 @Controller 先保留兼容，代码量更大但风险更小。</w:t>
      </w:r>
    </w:p>
    <w:p w14:paraId="6F48C504">
      <w:pPr>
        <w:spacing w:before="120" w:after="60" w:line="360" w:lineRule="auto"/>
      </w:pPr>
      <w:r>
        <w:rPr>
          <w:rFonts w:ascii="Times New Roman" w:hAnsi="Times New Roman" w:eastAsia="宋体"/>
          <w:b/>
          <w:sz w:val="24"/>
        </w:rPr>
        <w:t>控制器改造映射</w:t>
      </w:r>
    </w:p>
    <w:p w14:paraId="2FBA5B48"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以 RoleController 为例，改造前后的映射关系如下：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4BE20D4">
        <w:trPr>
          <w:jc w:val="center"/>
        </w:trPr>
        <w:tc>
          <w:tcPr>
            <w:tcW w:w="2880" w:type="dxa"/>
          </w:tcPr>
          <w:p w14:paraId="5CA9C9C7">
            <w:pPr>
              <w:spacing w:after="0" w:line="312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现状（视图方法）</w:t>
            </w:r>
          </w:p>
        </w:tc>
        <w:tc>
          <w:tcPr>
            <w:tcW w:w="2880" w:type="dxa"/>
          </w:tcPr>
          <w:p w14:paraId="01DB8F5B">
            <w:pPr>
              <w:spacing w:after="0" w:line="312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改造后（REST）</w:t>
            </w:r>
          </w:p>
        </w:tc>
        <w:tc>
          <w:tcPr>
            <w:tcW w:w="2880" w:type="dxa"/>
          </w:tcPr>
          <w:p w14:paraId="6E37BF05">
            <w:pPr>
              <w:spacing w:after="0" w:line="312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 w14:paraId="084A4E05">
        <w:trPr>
          <w:jc w:val="center"/>
        </w:trPr>
        <w:tc>
          <w:tcPr>
            <w:tcW w:w="2880" w:type="dxa"/>
          </w:tcPr>
          <w:p w14:paraId="087F1793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GET /role/manage → role_table.ftl</w:t>
            </w:r>
          </w:p>
        </w:tc>
        <w:tc>
          <w:tcPr>
            <w:tcW w:w="2880" w:type="dxa"/>
          </w:tcPr>
          <w:p w14:paraId="2EA39066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GET /api/role/manageMeta → 返回列定义、isReadonlyAction、权限</w:t>
            </w:r>
          </w:p>
        </w:tc>
        <w:tc>
          <w:tcPr>
            <w:tcW w:w="2880" w:type="dxa"/>
          </w:tcPr>
          <w:p w14:paraId="6279866D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页面壳职责交给 SPA</w:t>
            </w:r>
          </w:p>
        </w:tc>
      </w:tr>
      <w:tr w14:paraId="3BF792EA">
        <w:trPr>
          <w:jc w:val="center"/>
        </w:trPr>
        <w:tc>
          <w:tcPr>
            <w:tcW w:w="2880" w:type="dxa"/>
          </w:tcPr>
          <w:p w14:paraId="63902620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GET /role/add → role_form.ftl</w:t>
            </w:r>
          </w:p>
        </w:tc>
        <w:tc>
          <w:tcPr>
            <w:tcW w:w="2880" w:type="dxa"/>
          </w:tcPr>
          <w:p w14:paraId="5BD0073D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GET /api/role/addMeta → 返回空实体与默认值</w:t>
            </w:r>
          </w:p>
        </w:tc>
        <w:tc>
          <w:tcPr>
            <w:tcW w:w="2880" w:type="dxa"/>
          </w:tcPr>
          <w:p w14:paraId="35778E69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formModel 改 JSON</w:t>
            </w:r>
          </w:p>
        </w:tc>
      </w:tr>
      <w:tr w14:paraId="0D47D268">
        <w:trPr>
          <w:jc w:val="center"/>
        </w:trPr>
        <w:tc>
          <w:tcPr>
            <w:tcW w:w="2880" w:type="dxa"/>
          </w:tcPr>
          <w:p w14:paraId="1A4C653C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GET /role/edit?id=x → 渲染实体</w:t>
            </w:r>
          </w:p>
        </w:tc>
        <w:tc>
          <w:tcPr>
            <w:tcW w:w="2880" w:type="dxa"/>
          </w:tcPr>
          <w:p w14:paraId="1B5FA764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GET /api/role/{id}</w:t>
            </w:r>
          </w:p>
        </w:tc>
        <w:tc>
          <w:tcPr>
            <w:tcW w:w="2880" w:type="dxa"/>
          </w:tcPr>
          <w:p w14:paraId="72BF45B8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已是 getByIdForEdit 逻辑</w:t>
            </w:r>
          </w:p>
        </w:tc>
      </w:tr>
      <w:tr w14:paraId="7127D6D0">
        <w:trPr>
          <w:jc w:val="center"/>
        </w:trPr>
        <w:tc>
          <w:tcPr>
            <w:tcW w:w="2880" w:type="dxa"/>
          </w:tcPr>
          <w:p w14:paraId="61794390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POST /role/saveAdd</w:t>
            </w:r>
          </w:p>
        </w:tc>
        <w:tc>
          <w:tcPr>
            <w:tcW w:w="2880" w:type="dxa"/>
          </w:tcPr>
          <w:p w14:paraId="730D61A8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POST /api/role</w:t>
            </w:r>
          </w:p>
        </w:tc>
        <w:tc>
          <w:tcPr>
            <w:tcW w:w="2880" w:type="dxa"/>
          </w:tcPr>
          <w:p w14:paraId="16B4E5CD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已存在，仅改路径与规范</w:t>
            </w:r>
          </w:p>
        </w:tc>
      </w:tr>
      <w:tr w14:paraId="2E51895C">
        <w:trPr>
          <w:jc w:val="center"/>
        </w:trPr>
        <w:tc>
          <w:tcPr>
            <w:tcW w:w="2880" w:type="dxa"/>
          </w:tcPr>
          <w:p w14:paraId="29F622C8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POST /role/saveEdit</w:t>
            </w:r>
          </w:p>
        </w:tc>
        <w:tc>
          <w:tcPr>
            <w:tcW w:w="2880" w:type="dxa"/>
          </w:tcPr>
          <w:p w14:paraId="2825A494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PUT /api/role</w:t>
            </w:r>
          </w:p>
        </w:tc>
        <w:tc>
          <w:tcPr>
            <w:tcW w:w="2880" w:type="dxa"/>
          </w:tcPr>
          <w:p w14:paraId="1624DE92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同上</w:t>
            </w:r>
          </w:p>
        </w:tc>
      </w:tr>
      <w:tr w14:paraId="1D5A460E">
        <w:trPr>
          <w:jc w:val="center"/>
        </w:trPr>
        <w:tc>
          <w:tcPr>
            <w:tcW w:w="2880" w:type="dxa"/>
          </w:tcPr>
          <w:p w14:paraId="47E9DB50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POST /role/delete</w:t>
            </w:r>
          </w:p>
        </w:tc>
        <w:tc>
          <w:tcPr>
            <w:tcW w:w="2880" w:type="dxa"/>
          </w:tcPr>
          <w:p w14:paraId="591BD559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DELETE /api/role（body 传 ids）</w:t>
            </w:r>
          </w:p>
        </w:tc>
        <w:tc>
          <w:tcPr>
            <w:tcW w:w="2880" w:type="dxa"/>
          </w:tcPr>
          <w:p w14:paraId="11A0C443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同上</w:t>
            </w:r>
          </w:p>
        </w:tc>
      </w:tr>
      <w:tr w14:paraId="4BB6D3BB">
        <w:trPr>
          <w:jc w:val="center"/>
        </w:trPr>
        <w:tc>
          <w:tcPr>
            <w:tcW w:w="2880" w:type="dxa"/>
          </w:tcPr>
          <w:p w14:paraId="02E2D730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POST /role/pagingQueryData</w:t>
            </w:r>
          </w:p>
        </w:tc>
        <w:tc>
          <w:tcPr>
            <w:tcW w:w="2880" w:type="dxa"/>
          </w:tcPr>
          <w:p w14:paraId="6EFD45AF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POST /api/role/pagingQuery</w:t>
            </w:r>
          </w:p>
        </w:tc>
        <w:tc>
          <w:tcPr>
            <w:tcW w:w="2880" w:type="dxa"/>
          </w:tcPr>
          <w:p w14:paraId="6890D4C7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已存在</w:t>
            </w:r>
          </w:p>
        </w:tc>
      </w:tr>
    </w:tbl>
    <w:p w14:paraId="7715BF5F">
      <w:pPr>
        <w:spacing w:line="240" w:lineRule="auto"/>
      </w:pPr>
    </w:p>
    <w:p w14:paraId="773B3015"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关键点：目前“初始表单数据”通过 &lt;@writeJson var=formModel/&gt; 写入页面，改造后必须为每个表单与列表页补充一个“元数据或初始化”GET 接口，这是后端工作量的主要来源。</w:t>
      </w:r>
    </w:p>
    <w:p w14:paraId="40E2D22A">
      <w:pPr>
        <w:spacing w:before="120" w:after="60" w:line="360" w:lineRule="auto"/>
      </w:pPr>
      <w:r>
        <w:rPr>
          <w:rFonts w:ascii="Times New Roman" w:hAnsi="Times New Roman" w:eastAsia="宋体"/>
          <w:b/>
          <w:sz w:val="24"/>
        </w:rPr>
        <w:t>移除 FreeMarker 依赖</w:t>
      </w:r>
    </w:p>
    <w:p w14:paraId="76072EA6">
      <w:pPr>
        <w:spacing w:line="360" w:lineRule="auto"/>
      </w:pPr>
      <w:r>
        <w:rPr>
          <w:rFonts w:ascii="Times New Roman" w:hAnsi="Times New Roman" w:eastAsia="仿宋"/>
          <w:b w:val="0"/>
          <w:sz w:val="24"/>
        </w:rPr>
        <w:t>· pom.xml 移除 spring-boot-starter-freemarker；</w:t>
      </w:r>
    </w:p>
    <w:p w14:paraId="7734B926">
      <w:pPr>
        <w:spacing w:line="360" w:lineRule="auto"/>
      </w:pPr>
      <w:r>
        <w:rPr>
          <w:rFonts w:ascii="Times New Roman" w:hAnsi="Times New Roman" w:eastAsia="仿宋"/>
          <w:b w:val="0"/>
          <w:sz w:val="24"/>
        </w:rPr>
        <w:t>· 删除 WebMvcConfigurerConfigSupport 中视图解析器、FreeMarkerConfigurer、CustomFreeMarkerView、WriteJsonTemplateDirectiveModel 等配置；</w:t>
      </w:r>
    </w:p>
    <w:p w14:paraId="07AD7DD1">
      <w:pPr>
        <w:spacing w:line="360" w:lineRule="auto"/>
      </w:pPr>
      <w:r>
        <w:rPr>
          <w:rFonts w:ascii="Times New Roman" w:hAnsi="Times New Roman" w:eastAsia="仿宋"/>
          <w:b w:val="0"/>
          <w:sz w:val="24"/>
        </w:rPr>
        <w:t>· 删除 templates 下全部 .ftl 模板；</w:t>
      </w:r>
    </w:p>
    <w:p w14:paraId="23117F2A">
      <w:pPr>
        <w:spacing w:line="360" w:lineRule="auto"/>
      </w:pPr>
      <w:r>
        <w:rPr>
          <w:rFonts w:ascii="Times New Roman" w:hAnsi="Times New Roman" w:eastAsia="仿宋"/>
          <w:b w:val="0"/>
          <w:sz w:val="24"/>
        </w:rPr>
        <w:t>· 删除 static 下属于前端的资源（Vue、jQuery、PrimeVue、CodeMirror、主题等 CDN 文件），统一改由 npm 前端工程管理；static 下 analysisapi、analysislib 为看板对外 API 公共库，需保留。</w:t>
      </w:r>
    </w:p>
    <w:p w14:paraId="41F8ADDD">
      <w:pPr>
        <w:spacing w:before="120" w:after="60" w:line="360" w:lineRule="auto"/>
      </w:pPr>
      <w:r>
        <w:rPr>
          <w:rFonts w:ascii="Times New Roman" w:hAnsi="Times New Roman" w:eastAsia="宋体"/>
          <w:b/>
          <w:sz w:val="24"/>
        </w:rPr>
        <w:t>认证与安全改造</w:t>
      </w:r>
    </w:p>
    <w:p w14:paraId="2BCA96D7"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当前为 Session + Cookie 表单登录（CSRF 已禁用），提供两条路线：</w:t>
      </w:r>
    </w:p>
    <w:p w14:paraId="524ABCAB"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方案 A（推荐，阶段一落地最快）：同源 Session。SPA 与后端同源部署（开发期 Vite 代理转发，生产期 nginx 或 Spring 静态托管同一端口），保留现有表单登录、remember-me、校验码、登录锁定逻辑，仅将登录页与校验码、找回密码、注册等流程改为 JSON。优点为几乎不动安全配置、无 token 生命周期问题；缺点为依赖同源。</w:t>
      </w:r>
    </w:p>
    <w:p w14:paraId="7F6309A5"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方案 B（纯前后端分离，跨域）：JWT 无状态。后端新增 /api/auth/login 签发 JWT，前端存内存或 localStorage，Axios 携带。需重做校验码、登录锁定、remember-me、Session 依赖（HttpSessionRequestCache、注册用户名回填等）的等价实现。优点为真正解耦、可独立域名与 CDN；缺点为改造与安全回归成本高。</w:t>
      </w:r>
    </w:p>
    <w:p w14:paraId="5E2636FA"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建议先按方案 A 落地，把“前后端分离”解决在构建与部署层面（前端独立工程、独立打包），认证保持 Session，后续有跨域或多端需求再演进到方案 B。</w:t>
      </w:r>
    </w:p>
    <w:p w14:paraId="335AC0A3">
      <w:pPr>
        <w:spacing w:before="120" w:after="60" w:line="360" w:lineRule="auto"/>
      </w:pPr>
      <w:r>
        <w:rPr>
          <w:rFonts w:ascii="Times New Roman" w:hAnsi="Times New Roman" w:eastAsia="宋体"/>
          <w:b/>
          <w:sz w:val="24"/>
        </w:rPr>
        <w:t>CORS、静态托管与 SPA 路由回退</w:t>
      </w:r>
    </w:p>
    <w:p w14:paraId="343F15AE">
      <w:pPr>
        <w:spacing w:line="360" w:lineRule="auto"/>
      </w:pPr>
      <w:r>
        <w:rPr>
          <w:rFonts w:ascii="Times New Roman" w:hAnsi="Times New Roman" w:eastAsia="仿宋"/>
          <w:b w:val="0"/>
          <w:sz w:val="24"/>
        </w:rPr>
        <w:t>· 开发期：Vite server.proxy 将 /api、/checkCode 等转发到后端，避免跨域，无需开启 CORS；</w:t>
      </w:r>
    </w:p>
    <w:p w14:paraId="0042C4F5">
      <w:pPr>
        <w:spacing w:line="360" w:lineRule="auto"/>
      </w:pPr>
      <w:r>
        <w:rPr>
          <w:rFonts w:ascii="Times New Roman" w:hAnsi="Times New Roman" w:eastAsia="仿宋"/>
          <w:b w:val="0"/>
          <w:sz w:val="24"/>
        </w:rPr>
        <w:t>· 生产期二选一：其一，前端构建产物拷入后端 static（或 webapp 资源目录），由 Spring Boot 托管，并增加 SPA 回退（非 /api 路径返回 index.html）；其二，独立 nginx，根路径走静态资源，/api 反代到 Spring Boot，更符合前后端分离，推荐；</w:t>
      </w:r>
    </w:p>
    <w:p w14:paraId="5E2A5781">
      <w:pPr>
        <w:spacing w:line="360" w:lineRule="auto"/>
      </w:pPr>
      <w:r>
        <w:rPr>
          <w:rFonts w:ascii="Times New Roman" w:hAnsi="Times New Roman" w:eastAsia="仿宋"/>
          <w:b w:val="0"/>
          <w:sz w:val="24"/>
        </w:rPr>
        <w:t>· 现有 CrossOriginProperties 与 corsConfigurationSource 已支持 CORS，若走跨域 JWT 方案 B 则启用。</w:t>
      </w:r>
    </w:p>
    <w:p w14:paraId="7C93D88C">
      <w:pPr>
        <w:spacing w:before="120" w:after="60" w:line="360" w:lineRule="auto"/>
      </w:pPr>
      <w:r>
        <w:rPr>
          <w:rFonts w:ascii="Times New Roman" w:hAnsi="Times New Roman" w:eastAsia="宋体"/>
          <w:b/>
          <w:sz w:val="24"/>
        </w:rPr>
        <w:t>后端国际化边界</w:t>
      </w:r>
    </w:p>
    <w:p w14:paraId="6FE1CD3C"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message.properties 保留，用于服务端异常与校验消息；前端界面文案全部迁到 vue-i18n 语言包。可将现有 message.properties 通过一次性脚本转换为前端语言包，保证文案一致。</w:t>
      </w:r>
    </w:p>
    <w:p w14:paraId="4444D156">
      <w:pPr>
        <w:spacing w:before="120" w:after="60" w:line="360" w:lineRule="auto"/>
        <w:jc w:val="left"/>
      </w:pPr>
      <w:r>
        <w:rPr>
          <w:rFonts w:ascii="Times New Roman" w:hAnsi="Times New Roman" w:eastAsia="宋体"/>
          <w:b/>
          <w:sz w:val="24"/>
        </w:rPr>
        <w:t>前端工程方案</w:t>
      </w:r>
    </w:p>
    <w:p w14:paraId="48750537"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新建独立前端工程 datagear-web-ui，目录结构如下：</w:t>
      </w:r>
    </w:p>
    <w:p w14:paraId="0F42D448">
      <w:pPr>
        <w:spacing w:line="360" w:lineRule="auto"/>
      </w:pPr>
      <w:r>
        <w:rPr>
          <w:rFonts w:ascii="Consolas" w:hAnsi="Consolas" w:eastAsia="仿宋"/>
          <w:b w:val="0"/>
          <w:sz w:val="24"/>
        </w:rPr>
        <w:t>datagear-web-ui/</w:t>
      </w:r>
    </w:p>
    <w:p w14:paraId="29308C09">
      <w:pPr>
        <w:spacing w:line="360" w:lineRule="auto"/>
      </w:pPr>
      <w:r>
        <w:rPr>
          <w:rFonts w:ascii="Consolas" w:hAnsi="Consolas" w:eastAsia="仿宋"/>
          <w:b w:val="0"/>
          <w:sz w:val="24"/>
        </w:rPr>
        <w:t>├─ package.json / vite.config.ts / tsconfig.json / .env.development / .env.production</w:t>
      </w:r>
    </w:p>
    <w:p w14:paraId="642D502B">
      <w:pPr>
        <w:spacing w:line="360" w:lineRule="auto"/>
      </w:pPr>
      <w:r>
        <w:rPr>
          <w:rFonts w:ascii="Consolas" w:hAnsi="Consolas" w:eastAsia="仿宋"/>
          <w:b w:val="0"/>
          <w:sz w:val="24"/>
        </w:rPr>
        <w:t>├─ index.html</w:t>
      </w:r>
    </w:p>
    <w:p w14:paraId="64949873">
      <w:pPr>
        <w:spacing w:line="360" w:lineRule="auto"/>
      </w:pPr>
      <w:r>
        <w:rPr>
          <w:rFonts w:ascii="Consolas" w:hAnsi="Consolas" w:eastAsia="仿宋"/>
          <w:b w:val="0"/>
          <w:sz w:val="24"/>
        </w:rPr>
        <w:t>└─ src/</w:t>
      </w:r>
    </w:p>
    <w:p w14:paraId="03AC1CD7">
      <w:pPr>
        <w:spacing w:line="360" w:lineRule="auto"/>
      </w:pPr>
      <w:r>
        <w:rPr>
          <w:rFonts w:ascii="Consolas" w:hAnsi="Consolas" w:eastAsia="仿宋"/>
          <w:b w:val="0"/>
          <w:sz w:val="24"/>
        </w:rPr>
        <w:t xml:space="preserve">   ├─ main.ts / App.vue</w:t>
      </w:r>
    </w:p>
    <w:p w14:paraId="2C613829">
      <w:pPr>
        <w:spacing w:line="360" w:lineRule="auto"/>
      </w:pPr>
      <w:r>
        <w:rPr>
          <w:rFonts w:ascii="Consolas" w:hAnsi="Consolas" w:eastAsia="仿宋"/>
          <w:b w:val="0"/>
          <w:sz w:val="24"/>
        </w:rPr>
        <w:t xml:space="preserve">   ├─ api/                 # 与后端控制器一一对应的 API 封装（role.ts、dataSet.ts 等）</w:t>
      </w:r>
    </w:p>
    <w:p w14:paraId="296A060F">
      <w:pPr>
        <w:spacing w:line="360" w:lineRule="auto"/>
      </w:pPr>
      <w:r>
        <w:rPr>
          <w:rFonts w:ascii="Consolas" w:hAnsi="Consolas" w:eastAsia="仿宋"/>
          <w:b w:val="0"/>
          <w:sz w:val="24"/>
        </w:rPr>
        <w:t xml:space="preserve">   ├─ router/              # 对应 40 个控制器的路由</w:t>
      </w:r>
    </w:p>
    <w:p w14:paraId="3C3043FE">
      <w:pPr>
        <w:spacing w:line="360" w:lineRule="auto"/>
      </w:pPr>
      <w:r>
        <w:rPr>
          <w:rFonts w:ascii="Consolas" w:hAnsi="Consolas" w:eastAsia="仿宋"/>
          <w:b w:val="0"/>
          <w:sz w:val="24"/>
        </w:rPr>
        <w:t xml:space="preserve">   ├─ stores/              # Pinia：auth、theme、locale、analysisProject、permissions</w:t>
      </w:r>
    </w:p>
    <w:p w14:paraId="6F0524E9">
      <w:pPr>
        <w:spacing w:line="360" w:lineRule="auto"/>
      </w:pPr>
      <w:r>
        <w:rPr>
          <w:rFonts w:ascii="Consolas" w:hAnsi="Consolas" w:eastAsia="仿宋"/>
          <w:b w:val="0"/>
          <w:sz w:val="24"/>
        </w:rPr>
        <w:t xml:space="preserve">   ├─ locales/             # vue-i18n 语言包</w:t>
      </w:r>
    </w:p>
    <w:p w14:paraId="327BCD95">
      <w:pPr>
        <w:spacing w:line="360" w:lineRule="auto"/>
      </w:pPr>
      <w:r>
        <w:rPr>
          <w:rFonts w:ascii="Consolas" w:hAnsi="Consolas" w:eastAsia="仿宋"/>
          <w:b w:val="0"/>
          <w:sz w:val="24"/>
        </w:rPr>
        <w:t xml:space="preserve">   ├─ components/          # 通用组件（替代原 include/*.ftl）</w:t>
      </w:r>
    </w:p>
    <w:p w14:paraId="389597E9">
      <w:pPr>
        <w:spacing w:line="360" w:lineRule="auto"/>
      </w:pPr>
      <w:r>
        <w:rPr>
          <w:rFonts w:ascii="Consolas" w:hAnsi="Consolas" w:eastAsia="仿宋"/>
          <w:b w:val="0"/>
          <w:sz w:val="24"/>
        </w:rPr>
        <w:t xml:space="preserve">   ├─ composables/         # 替代原 util.js 的 po 框架能力（usePagingTable 等）</w:t>
      </w:r>
    </w:p>
    <w:p w14:paraId="4EAB5B74">
      <w:pPr>
        <w:spacing w:line="360" w:lineRule="auto"/>
      </w:pPr>
      <w:r>
        <w:rPr>
          <w:rFonts w:ascii="Consolas" w:hAnsi="Consolas" w:eastAsia="仿宋"/>
          <w:b w:val="0"/>
          <w:sz w:val="24"/>
        </w:rPr>
        <w:t xml:space="preserve">   ├─ layouts/             # 主布局（对应 main.ftl 的头部菜单与多面板）</w:t>
      </w:r>
    </w:p>
    <w:p w14:paraId="2BC9E457">
      <w:pPr>
        <w:spacing w:line="360" w:lineRule="auto"/>
      </w:pPr>
      <w:r>
        <w:rPr>
          <w:rFonts w:ascii="Consolas" w:hAnsi="Consolas" w:eastAsia="仿宋"/>
          <w:b w:val="0"/>
          <w:sz w:val="24"/>
        </w:rPr>
        <w:t xml:space="preserve">   ├─ views/               # 按模块分目录，对应 templates/*</w:t>
      </w:r>
    </w:p>
    <w:p w14:paraId="0A25C049">
      <w:pPr>
        <w:spacing w:line="360" w:lineRule="auto"/>
      </w:pPr>
      <w:r>
        <w:rPr>
          <w:rFonts w:ascii="Consolas" w:hAnsi="Consolas" w:eastAsia="仿宋"/>
          <w:b w:val="0"/>
          <w:sz w:val="24"/>
        </w:rPr>
        <w:t xml:space="preserve">   └─ utils/               # axios 实例、OperationMessage 解析、文件下载等</w:t>
      </w:r>
    </w:p>
    <w:p w14:paraId="4704B03D">
      <w:pPr>
        <w:spacing w:before="120" w:after="60" w:line="360" w:lineRule="auto"/>
      </w:pPr>
      <w:r>
        <w:rPr>
          <w:rFonts w:ascii="Times New Roman" w:hAnsi="Times New Roman" w:eastAsia="宋体"/>
          <w:b/>
          <w:sz w:val="24"/>
        </w:rPr>
        <w:t>核心抽象</w:t>
      </w:r>
    </w:p>
    <w:p w14:paraId="127B731C"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现有 util.js 的 po（page object）框架承担大量职责，需用 Composition API 重写为可复用模块：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B032D01">
        <w:trPr>
          <w:jc w:val="center"/>
        </w:trPr>
        <w:tc>
          <w:tcPr>
            <w:tcW w:w="4320" w:type="dxa"/>
          </w:tcPr>
          <w:p w14:paraId="609091A0">
            <w:pPr>
              <w:spacing w:after="0" w:line="312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原 po 能力</w:t>
            </w:r>
          </w:p>
        </w:tc>
        <w:tc>
          <w:tcPr>
            <w:tcW w:w="4320" w:type="dxa"/>
          </w:tcPr>
          <w:p w14:paraId="6B6BF882">
            <w:pPr>
              <w:spacing w:after="0" w:line="312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SPA 替代</w:t>
            </w:r>
          </w:p>
        </w:tc>
      </w:tr>
      <w:tr w14:paraId="5223A2B9">
        <w:trPr>
          <w:jc w:val="center"/>
        </w:trPr>
        <w:tc>
          <w:tcPr>
            <w:tcW w:w="4320" w:type="dxa"/>
          </w:tcPr>
          <w:p w14:paraId="19BF05FD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po.setupAjaxTable</w:t>
            </w:r>
          </w:p>
        </w:tc>
        <w:tc>
          <w:tcPr>
            <w:tcW w:w="4320" w:type="dxa"/>
          </w:tcPr>
          <w:p w14:paraId="363884A0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usePagingTable() 组合函数（封装 PrimeVue DataTable 的懒加载分页、排序、多选）</w:t>
            </w:r>
          </w:p>
        </w:tc>
      </w:tr>
      <w:tr w14:paraId="1847828D">
        <w:trPr>
          <w:jc w:val="center"/>
        </w:trPr>
        <w:tc>
          <w:tcPr>
            <w:tcW w:w="4320" w:type="dxa"/>
          </w:tcPr>
          <w:p w14:paraId="5DE69ACE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po.handleAdd/Edit/View/DeleteAction</w:t>
            </w:r>
          </w:p>
        </w:tc>
        <w:tc>
          <w:tcPr>
            <w:tcW w:w="4320" w:type="dxa"/>
          </w:tcPr>
          <w:p w14:paraId="22475473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路由跳转 + 通用 CRUD 组合函数</w:t>
            </w:r>
          </w:p>
        </w:tc>
      </w:tr>
      <w:tr w14:paraId="13D04215">
        <w:trPr>
          <w:jc w:val="center"/>
        </w:trPr>
        <w:tc>
          <w:tcPr>
            <w:tcW w:w="4320" w:type="dxa"/>
          </w:tcPr>
          <w:p w14:paraId="65399B71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po.open(url, {dialog}) 面板式导航</w:t>
            </w:r>
          </w:p>
        </w:tc>
        <w:tc>
          <w:tcPr>
            <w:tcW w:w="4320" w:type="dxa"/>
          </w:tcPr>
          <w:p w14:paraId="08B363B3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Vue Router 嵌套路由 + 主面板 KeepAlive</w:t>
            </w:r>
          </w:p>
        </w:tc>
      </w:tr>
      <w:tr w14:paraId="7487F3B5">
        <w:trPr>
          <w:jc w:val="center"/>
        </w:trPr>
        <w:tc>
          <w:tcPr>
            <w:tcW w:w="4320" w:type="dxa"/>
          </w:tcPr>
          <w:p w14:paraId="0635BD74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po.vuePageModel / vueMethod</w:t>
            </w:r>
          </w:p>
        </w:tc>
        <w:tc>
          <w:tcPr>
            <w:tcW w:w="4320" w:type="dxa"/>
          </w:tcPr>
          <w:p w14:paraId="716048BE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&lt;script setup&gt; 的 reactive 与方法</w:t>
            </w:r>
          </w:p>
        </w:tc>
      </w:tr>
      <w:tr w14:paraId="788A949B">
        <w:trPr>
          <w:jc w:val="center"/>
        </w:trPr>
        <w:tc>
          <w:tcPr>
            <w:tcW w:w="4320" w:type="dxa"/>
          </w:tcPr>
          <w:p w14:paraId="19A7D44C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&lt;@writeJson var=formModel/&gt;</w:t>
            </w:r>
          </w:p>
        </w:tc>
        <w:tc>
          <w:tcPr>
            <w:tcW w:w="4320" w:type="dxa"/>
          </w:tcPr>
          <w:p w14:paraId="44710954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页面 onMounted 调 /api/xx/{id} 拉取数据</w:t>
            </w:r>
          </w:p>
        </w:tc>
      </w:tr>
      <w:tr w14:paraId="58638BD3">
        <w:trPr>
          <w:jc w:val="center"/>
        </w:trPr>
        <w:tc>
          <w:tcPr>
            <w:tcW w:w="4320" w:type="dxa"/>
          </w:tcPr>
          <w:p w14:paraId="159A9265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&lt;@spring.message/&gt;</w:t>
            </w:r>
          </w:p>
        </w:tc>
        <w:tc>
          <w:tcPr>
            <w:tcW w:w="4320" w:type="dxa"/>
          </w:tcPr>
          <w:p w14:paraId="09A1391D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t('key')（vue-i18n）</w:t>
            </w:r>
          </w:p>
        </w:tc>
      </w:tr>
      <w:tr w14:paraId="1BF5DE23">
        <w:trPr>
          <w:jc w:val="center"/>
        </w:trPr>
        <w:tc>
          <w:tcPr>
            <w:tcW w:w="4320" w:type="dxa"/>
          </w:tcPr>
          <w:p w14:paraId="24AC80CA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po.concatContextPath</w:t>
            </w:r>
          </w:p>
        </w:tc>
        <w:tc>
          <w:tcPr>
            <w:tcW w:w="4320" w:type="dxa"/>
          </w:tcPr>
          <w:p w14:paraId="10392884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由 .env 的 VITE_BASE_URL 统一处理</w:t>
            </w:r>
          </w:p>
        </w:tc>
      </w:tr>
    </w:tbl>
    <w:p w14:paraId="335DD42D">
      <w:pPr>
        <w:spacing w:line="240" w:lineRule="auto"/>
      </w:pPr>
    </w:p>
    <w:p w14:paraId="2D2A4FBB">
      <w:pPr>
        <w:spacing w:before="120" w:after="60" w:line="360" w:lineRule="auto"/>
      </w:pPr>
      <w:r>
        <w:rPr>
          <w:rFonts w:ascii="Times New Roman" w:hAnsi="Times New Roman" w:eastAsia="宋体"/>
          <w:b/>
          <w:sz w:val="24"/>
        </w:rPr>
        <w:t>Axios 拦截器</w:t>
      </w:r>
    </w:p>
    <w:p w14:paraId="6E726416">
      <w:pPr>
        <w:spacing w:line="360" w:lineRule="auto"/>
      </w:pPr>
      <w:r>
        <w:rPr>
          <w:rFonts w:ascii="Times New Roman" w:hAnsi="Times New Roman" w:eastAsia="仿宋"/>
          <w:b w:val="0"/>
          <w:sz w:val="24"/>
        </w:rPr>
        <w:t>· 请求：携带 X-Requested-With 与 locale、theme 参数（沿用现有 THEME 与 LOCALE 拦截器语义）；</w:t>
      </w:r>
    </w:p>
    <w:p w14:paraId="3D5B63AB">
      <w:pPr>
        <w:spacing w:line="360" w:lineRule="auto"/>
      </w:pPr>
      <w:r>
        <w:rPr>
          <w:rFonts w:ascii="Times New Roman" w:hAnsi="Times New Roman" w:eastAsia="仿宋"/>
          <w:b w:val="0"/>
          <w:sz w:val="24"/>
        </w:rPr>
        <w:t>· 响应：解包 OperationMessage；type 为 fail 时弹出错误；HTTP 401 跳登录；data.redirectUrl 跳转；</w:t>
      </w:r>
    </w:p>
    <w:p w14:paraId="2D3D2DCB">
      <w:pPr>
        <w:spacing w:line="360" w:lineRule="auto"/>
      </w:pPr>
      <w:r>
        <w:rPr>
          <w:rFonts w:ascii="Times New Roman" w:hAnsi="Times New Roman" w:eastAsia="仿宋"/>
          <w:b w:val="0"/>
          <w:sz w:val="24"/>
        </w:rPr>
        <w:t>· 文件上传与下载：复用现有 multipart 与 Content-Disposition 端点，前端用 axios + blob 处理。</w:t>
      </w:r>
    </w:p>
    <w:p w14:paraId="14EA5523">
      <w:pPr>
        <w:spacing w:before="120" w:after="60" w:line="360" w:lineRule="auto"/>
        <w:jc w:val="left"/>
      </w:pPr>
      <w:r>
        <w:rPr>
          <w:rFonts w:ascii="Times New Roman" w:hAnsi="Times New Roman" w:eastAsia="宋体"/>
          <w:b/>
          <w:sz w:val="24"/>
        </w:rPr>
        <w:t>数据与契约迁移对照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5BCD522">
        <w:trPr>
          <w:jc w:val="center"/>
        </w:trPr>
        <w:tc>
          <w:tcPr>
            <w:tcW w:w="2880" w:type="dxa"/>
          </w:tcPr>
          <w:p w14:paraId="0ACF1EE7">
            <w:pPr>
              <w:spacing w:after="0" w:line="312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事项</w:t>
            </w:r>
          </w:p>
        </w:tc>
        <w:tc>
          <w:tcPr>
            <w:tcW w:w="2880" w:type="dxa"/>
          </w:tcPr>
          <w:p w14:paraId="6E4FF6B3">
            <w:pPr>
              <w:spacing w:after="0" w:line="312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FreeMarker 现状</w:t>
            </w:r>
          </w:p>
        </w:tc>
        <w:tc>
          <w:tcPr>
            <w:tcW w:w="2880" w:type="dxa"/>
          </w:tcPr>
          <w:p w14:paraId="415C4073">
            <w:pPr>
              <w:spacing w:after="0" w:line="312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SPA 目标</w:t>
            </w:r>
          </w:p>
        </w:tc>
      </w:tr>
      <w:tr w14:paraId="69A9C00F">
        <w:trPr>
          <w:jc w:val="center"/>
        </w:trPr>
        <w:tc>
          <w:tcPr>
            <w:tcW w:w="2880" w:type="dxa"/>
          </w:tcPr>
          <w:p w14:paraId="549CB2B1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初始表单数据</w:t>
            </w:r>
          </w:p>
        </w:tc>
        <w:tc>
          <w:tcPr>
            <w:tcW w:w="2880" w:type="dxa"/>
          </w:tcPr>
          <w:p w14:paraId="2C783530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&lt;@writeJson var=formModel/&gt;</w:t>
            </w:r>
          </w:p>
        </w:tc>
        <w:tc>
          <w:tcPr>
            <w:tcW w:w="2880" w:type="dxa"/>
          </w:tcPr>
          <w:p w14:paraId="063D8D53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GET /api/xx/{id}</w:t>
            </w:r>
          </w:p>
        </w:tc>
      </w:tr>
      <w:tr w14:paraId="5683D777">
        <w:trPr>
          <w:jc w:val="center"/>
        </w:trPr>
        <w:tc>
          <w:tcPr>
            <w:tcW w:w="2880" w:type="dxa"/>
          </w:tcPr>
          <w:p w14:paraId="7E7C48DF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列表数据</w:t>
            </w:r>
          </w:p>
        </w:tc>
        <w:tc>
          <w:tcPr>
            <w:tcW w:w="2880" w:type="dxa"/>
          </w:tcPr>
          <w:p w14:paraId="52700CD7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pagingQueryData（已 JSON）</w:t>
            </w:r>
          </w:p>
        </w:tc>
        <w:tc>
          <w:tcPr>
            <w:tcW w:w="2880" w:type="dxa"/>
          </w:tcPr>
          <w:p w14:paraId="393AE19E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保持不变</w:t>
            </w:r>
          </w:p>
        </w:tc>
      </w:tr>
      <w:tr w14:paraId="47DF590D">
        <w:trPr>
          <w:jc w:val="center"/>
        </w:trPr>
        <w:tc>
          <w:tcPr>
            <w:tcW w:w="2880" w:type="dxa"/>
          </w:tcPr>
          <w:p w14:paraId="333DC8DB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权限与只读标记</w:t>
            </w:r>
          </w:p>
        </w:tc>
        <w:tc>
          <w:tcPr>
            <w:tcW w:w="2880" w:type="dxa"/>
          </w:tcPr>
          <w:p w14:paraId="08B07CFB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modulePermissions、isReadonlyAction 模板注入</w:t>
            </w:r>
          </w:p>
        </w:tc>
        <w:tc>
          <w:tcPr>
            <w:tcW w:w="2880" w:type="dxa"/>
          </w:tcPr>
          <w:p w14:paraId="6BB6A937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GET /api/auth/me + 模块 meta 接口</w:t>
            </w:r>
          </w:p>
        </w:tc>
      </w:tr>
      <w:tr w14:paraId="2D118FD9">
        <w:trPr>
          <w:jc w:val="center"/>
        </w:trPr>
        <w:tc>
          <w:tcPr>
            <w:tcW w:w="2880" w:type="dxa"/>
          </w:tcPr>
          <w:p w14:paraId="7B488CC8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国际化</w:t>
            </w:r>
          </w:p>
        </w:tc>
        <w:tc>
          <w:tcPr>
            <w:tcW w:w="2880" w:type="dxa"/>
          </w:tcPr>
          <w:p w14:paraId="45B8A06C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&lt;@spring.message/&gt;</w:t>
            </w:r>
          </w:p>
        </w:tc>
        <w:tc>
          <w:tcPr>
            <w:tcW w:w="2880" w:type="dxa"/>
          </w:tcPr>
          <w:p w14:paraId="36170619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vue-i18n</w:t>
            </w:r>
          </w:p>
        </w:tc>
      </w:tr>
      <w:tr w14:paraId="58AE821E">
        <w:trPr>
          <w:jc w:val="center"/>
        </w:trPr>
        <w:tc>
          <w:tcPr>
            <w:tcW w:w="2880" w:type="dxa"/>
          </w:tcPr>
          <w:p w14:paraId="53E8F254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主题与语言切换</w:t>
            </w:r>
          </w:p>
        </w:tc>
        <w:tc>
          <w:tcPr>
            <w:tcW w:w="2880" w:type="dxa"/>
          </w:tcPr>
          <w:p w14:paraId="33B6604A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changeThemeData.ftl + THEME/LOCALE 参数</w:t>
            </w:r>
          </w:p>
        </w:tc>
        <w:tc>
          <w:tcPr>
            <w:tcW w:w="2880" w:type="dxa"/>
          </w:tcPr>
          <w:p w14:paraId="314B9395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SPA 本地状态 + 对应接口</w:t>
            </w:r>
          </w:p>
        </w:tc>
      </w:tr>
      <w:tr w14:paraId="05582234">
        <w:trPr>
          <w:jc w:val="center"/>
        </w:trPr>
        <w:tc>
          <w:tcPr>
            <w:tcW w:w="2880" w:type="dxa"/>
          </w:tcPr>
          <w:p w14:paraId="254E5AA3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校验码图片</w:t>
            </w:r>
          </w:p>
        </w:tc>
        <w:tc>
          <w:tcPr>
            <w:tcW w:w="2880" w:type="dxa"/>
          </w:tcPr>
          <w:p w14:paraId="0EB1B9AA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checkCode 端点</w:t>
            </w:r>
          </w:p>
        </w:tc>
        <w:tc>
          <w:tcPr>
            <w:tcW w:w="2880" w:type="dxa"/>
          </w:tcPr>
          <w:p w14:paraId="0F15C9D7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保留，前端 img 带时间戳刷新</w:t>
            </w:r>
          </w:p>
        </w:tc>
      </w:tr>
      <w:tr w14:paraId="550347FD">
        <w:trPr>
          <w:jc w:val="center"/>
        </w:trPr>
        <w:tc>
          <w:tcPr>
            <w:tcW w:w="2880" w:type="dxa"/>
          </w:tcPr>
          <w:p w14:paraId="00DB0500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看板展示</w:t>
            </w:r>
          </w:p>
        </w:tc>
        <w:tc>
          <w:tcPr>
            <w:tcW w:w="2880" w:type="dxa"/>
          </w:tcPr>
          <w:p w14:paraId="7815F0F5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服务端渲染 + 嵌入式</w:t>
            </w:r>
          </w:p>
        </w:tc>
        <w:tc>
          <w:tcPr>
            <w:tcW w:w="2880" w:type="dxa"/>
          </w:tcPr>
          <w:p w14:paraId="7CB187E0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需专项处理，见“重点难点与风险”</w:t>
            </w:r>
          </w:p>
        </w:tc>
      </w:tr>
    </w:tbl>
    <w:p w14:paraId="1ED9D813">
      <w:pPr>
        <w:spacing w:line="240" w:lineRule="auto"/>
      </w:pPr>
    </w:p>
    <w:p w14:paraId="20AE6517">
      <w:pPr>
        <w:spacing w:before="120" w:after="60" w:line="360" w:lineRule="auto"/>
        <w:jc w:val="left"/>
      </w:pPr>
      <w:r>
        <w:rPr>
          <w:rFonts w:ascii="Times New Roman" w:hAnsi="Times New Roman" w:eastAsia="宋体"/>
          <w:b/>
          <w:sz w:val="24"/>
        </w:rPr>
        <w:t>重点难点与风险</w:t>
      </w:r>
    </w:p>
    <w:p w14:paraId="28F31DE3">
      <w:pPr>
        <w:spacing w:before="120" w:after="60" w:line="360" w:lineRule="auto"/>
      </w:pPr>
      <w:r>
        <w:rPr>
          <w:rFonts w:ascii="Times New Roman" w:hAnsi="Times New Roman" w:eastAsia="宋体"/>
          <w:b/>
          <w:sz w:val="24"/>
        </w:rPr>
        <w:t>看板与图表可视化（最大风险项）</w:t>
      </w:r>
    </w:p>
    <w:p w14:paraId="5406650D"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dashboard、chart、chartPlugin、dashboardGlobalRes 等模块包含看板可视化设计器、ECharts 插件体系、analysisapi 与 analysislib 公共库；看板还存在对外嵌入与分享场景（用户将看板嵌入第三方系统），其渲染入口为服务端生成页面。建议：看板管理端设计器可迁 SPA，但看板运行时展示（viewer）与对外嵌入入口先保留现有服务端渲染能力（保留少量模板或改由独立轻量模板渲染），避免破坏下游嵌入方，此项需单独立项评估。</w:t>
      </w:r>
    </w:p>
    <w:p w14:paraId="25A6589F">
      <w:pPr>
        <w:spacing w:before="120" w:after="60" w:line="360" w:lineRule="auto"/>
      </w:pPr>
      <w:r>
        <w:rPr>
          <w:rFonts w:ascii="Times New Roman" w:hAnsi="Times New Roman" w:eastAsia="宋体"/>
          <w:b/>
          <w:sz w:val="24"/>
        </w:rPr>
        <w:t>复用 CDN 内联 Vue 的历史包袱</w:t>
      </w:r>
    </w:p>
    <w:p w14:paraId="38D7ACD2"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现有页面为“每页一个独立 Vue 实例 + 内联脚本”，迁移时不能逐字搬运，需按数据驱动与组件化重写，否则会出现大量重复代码与状态不一致。</w:t>
      </w:r>
    </w:p>
    <w:p w14:paraId="2A10D6F4">
      <w:pPr>
        <w:spacing w:before="120" w:after="60" w:line="360" w:lineRule="auto"/>
      </w:pPr>
      <w:r>
        <w:rPr>
          <w:rFonts w:ascii="Times New Roman" w:hAnsi="Times New Roman" w:eastAsia="宋体"/>
          <w:b/>
          <w:sz w:val="24"/>
        </w:rPr>
        <w:t>第三方与插件兼容</w:t>
      </w:r>
    </w:p>
    <w:p w14:paraId="63B4EEEE"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图表插件（builtInChartPlugins）、数据交换（CSV、JSON、Excel 导入导出）等边界较多，需注意上传下载与流式响应的 SPA 适配。</w:t>
      </w:r>
    </w:p>
    <w:p w14:paraId="5FB47DC9">
      <w:pPr>
        <w:spacing w:before="120" w:after="60" w:line="360" w:lineRule="auto"/>
      </w:pPr>
      <w:r>
        <w:rPr>
          <w:rFonts w:ascii="Times New Roman" w:hAnsi="Times New Roman" w:eastAsia="宋体"/>
          <w:b/>
          <w:sz w:val="24"/>
        </w:rPr>
        <w:t>安全回归</w:t>
      </w:r>
    </w:p>
    <w:p w14:paraId="6E9DDCC3"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登录锁定、校验码、remember-me、注册回填用户名（SESSION_KEY_REGISTER_USER_NAME）等均依赖 Session，务必在阶段一保持 Session 方案，以减少回归面。</w:t>
      </w:r>
    </w:p>
    <w:p w14:paraId="07015383">
      <w:pPr>
        <w:spacing w:before="120" w:after="60" w:line="360" w:lineRule="auto"/>
        <w:jc w:val="left"/>
      </w:pPr>
      <w:r>
        <w:rPr>
          <w:rFonts w:ascii="Times New Roman" w:hAnsi="Times New Roman" w:eastAsia="宋体"/>
          <w:b/>
          <w:sz w:val="24"/>
        </w:rPr>
        <w:t>分阶段实施计划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E41FCA8">
        <w:trPr>
          <w:jc w:val="center"/>
        </w:trPr>
        <w:tc>
          <w:tcPr>
            <w:tcW w:w="2160" w:type="dxa"/>
          </w:tcPr>
          <w:p w14:paraId="1DDA148A">
            <w:pPr>
              <w:spacing w:after="0" w:line="312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阶段</w:t>
            </w:r>
          </w:p>
        </w:tc>
        <w:tc>
          <w:tcPr>
            <w:tcW w:w="2160" w:type="dxa"/>
          </w:tcPr>
          <w:p w14:paraId="2CAB9E37">
            <w:pPr>
              <w:spacing w:after="0" w:line="312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内容</w:t>
            </w:r>
          </w:p>
        </w:tc>
        <w:tc>
          <w:tcPr>
            <w:tcW w:w="2160" w:type="dxa"/>
          </w:tcPr>
          <w:p w14:paraId="16C4E80A">
            <w:pPr>
              <w:spacing w:after="0" w:line="312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产出与验收</w:t>
            </w:r>
          </w:p>
        </w:tc>
        <w:tc>
          <w:tcPr>
            <w:tcW w:w="2160" w:type="dxa"/>
          </w:tcPr>
          <w:p w14:paraId="40D71C46">
            <w:pPr>
              <w:spacing w:after="0" w:line="312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预估</w:t>
            </w:r>
          </w:p>
        </w:tc>
      </w:tr>
      <w:tr w14:paraId="27151C7A">
        <w:trPr>
          <w:jc w:val="center"/>
        </w:trPr>
        <w:tc>
          <w:tcPr>
            <w:tcW w:w="2160" w:type="dxa"/>
          </w:tcPr>
          <w:p w14:paraId="24059EA0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阶段一：骨架</w:t>
            </w:r>
          </w:p>
        </w:tc>
        <w:tc>
          <w:tcPr>
            <w:tcW w:w="2160" w:type="dxa"/>
          </w:tcPr>
          <w:p w14:paraId="2E5A3E01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建 datagear-web-ui（Vite + TS + Router + Pinia + PrimeVue + Axios + vue-i18n），打通登录、/api 代理、布局与主菜单、401 拦截</w:t>
            </w:r>
          </w:p>
        </w:tc>
        <w:tc>
          <w:tcPr>
            <w:tcW w:w="2160" w:type="dxa"/>
          </w:tcPr>
          <w:p w14:paraId="26105EA2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能登录进入主框架，菜单可点击</w:t>
            </w:r>
          </w:p>
        </w:tc>
        <w:tc>
          <w:tcPr>
            <w:tcW w:w="2160" w:type="dxa"/>
          </w:tcPr>
          <w:p w14:paraId="1BC34379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1 周</w:t>
            </w:r>
          </w:p>
        </w:tc>
      </w:tr>
      <w:tr w14:paraId="7B2AF29D">
        <w:trPr>
          <w:jc w:val="center"/>
        </w:trPr>
        <w:tc>
          <w:tcPr>
            <w:tcW w:w="2160" w:type="dxa"/>
          </w:tcPr>
          <w:p w14:paraId="37119370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阶段二：后端 API 化</w:t>
            </w:r>
          </w:p>
        </w:tc>
        <w:tc>
          <w:tcPr>
            <w:tcW w:w="2160" w:type="dxa"/>
          </w:tcPr>
          <w:p w14:paraId="7ACCB398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统一响应体规范；补全元数据与初始化接口；/api 前缀路由</w:t>
            </w:r>
          </w:p>
        </w:tc>
        <w:tc>
          <w:tcPr>
            <w:tcW w:w="2160" w:type="dxa"/>
          </w:tcPr>
          <w:p w14:paraId="2AABE1CC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各模块 CRUD、分页、meta 接口可用</w:t>
            </w:r>
          </w:p>
        </w:tc>
        <w:tc>
          <w:tcPr>
            <w:tcW w:w="2160" w:type="dxa"/>
          </w:tcPr>
          <w:p w14:paraId="0CA79BDB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2 至 3 周</w:t>
            </w:r>
          </w:p>
        </w:tc>
      </w:tr>
      <w:tr w14:paraId="71DE60D1">
        <w:trPr>
          <w:jc w:val="center"/>
        </w:trPr>
        <w:tc>
          <w:tcPr>
            <w:tcW w:w="2160" w:type="dxa"/>
          </w:tcPr>
          <w:p w14:paraId="46C918FD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阶段三：模范模块</w:t>
            </w:r>
          </w:p>
        </w:tc>
        <w:tc>
          <w:tcPr>
            <w:tcW w:w="2160" w:type="dxa"/>
          </w:tcPr>
          <w:p w14:paraId="3C17400C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完整迁移角色（role）与数据集（dataSet）两模块，沉淀 usePagingTable 等通用件</w:t>
            </w:r>
          </w:p>
        </w:tc>
        <w:tc>
          <w:tcPr>
            <w:tcW w:w="2160" w:type="dxa"/>
          </w:tcPr>
          <w:p w14:paraId="5A11B842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两模块功能与旧版一致，可回滚</w:t>
            </w:r>
          </w:p>
        </w:tc>
        <w:tc>
          <w:tcPr>
            <w:tcW w:w="2160" w:type="dxa"/>
          </w:tcPr>
          <w:p w14:paraId="042D22BF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2 周</w:t>
            </w:r>
          </w:p>
        </w:tc>
      </w:tr>
      <w:tr w14:paraId="77935311">
        <w:trPr>
          <w:jc w:val="center"/>
        </w:trPr>
        <w:tc>
          <w:tcPr>
            <w:tcW w:w="2160" w:type="dxa"/>
          </w:tcPr>
          <w:p w14:paraId="0933B507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阶段四：批量迁移</w:t>
            </w:r>
          </w:p>
        </w:tc>
        <w:tc>
          <w:tcPr>
            <w:tcW w:w="2160" w:type="dxa"/>
          </w:tcPr>
          <w:p w14:paraId="3201FFC3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数据源、图表、用户、授权、分析项目、驱动、文件源等逐模块替换</w:t>
            </w:r>
          </w:p>
        </w:tc>
        <w:tc>
          <w:tcPr>
            <w:tcW w:w="2160" w:type="dxa"/>
          </w:tcPr>
          <w:p w14:paraId="7F472A47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菜单中常规模块全量切换 SPA</w:t>
            </w:r>
          </w:p>
        </w:tc>
        <w:tc>
          <w:tcPr>
            <w:tcW w:w="2160" w:type="dxa"/>
          </w:tcPr>
          <w:p w14:paraId="4E88114D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4 至 6 周</w:t>
            </w:r>
          </w:p>
        </w:tc>
      </w:tr>
      <w:tr w14:paraId="693BC928">
        <w:trPr>
          <w:jc w:val="center"/>
        </w:trPr>
        <w:tc>
          <w:tcPr>
            <w:tcW w:w="2160" w:type="dxa"/>
          </w:tcPr>
          <w:p w14:paraId="7A86B9D7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阶段五：复杂模块</w:t>
            </w:r>
          </w:p>
        </w:tc>
        <w:tc>
          <w:tcPr>
            <w:tcW w:w="2160" w:type="dxa"/>
          </w:tcPr>
          <w:p w14:paraId="42A7B857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数据交换（导入导出）、SQL 工作台、URL 构建器、看板设计器</w:t>
            </w:r>
          </w:p>
        </w:tc>
        <w:tc>
          <w:tcPr>
            <w:tcW w:w="2160" w:type="dxa"/>
          </w:tcPr>
          <w:p w14:paraId="24384288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与旧版等价，重点回归</w:t>
            </w:r>
          </w:p>
        </w:tc>
        <w:tc>
          <w:tcPr>
            <w:tcW w:w="2160" w:type="dxa"/>
          </w:tcPr>
          <w:p w14:paraId="3653B823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4 至 6 周</w:t>
            </w:r>
          </w:p>
        </w:tc>
      </w:tr>
      <w:tr w14:paraId="005E31D0">
        <w:trPr>
          <w:jc w:val="center"/>
        </w:trPr>
        <w:tc>
          <w:tcPr>
            <w:tcW w:w="2160" w:type="dxa"/>
          </w:tcPr>
          <w:p w14:paraId="146D570F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阶段六：收敛下线</w:t>
            </w:r>
          </w:p>
        </w:tc>
        <w:tc>
          <w:tcPr>
            <w:tcW w:w="2160" w:type="dxa"/>
          </w:tcPr>
          <w:p w14:paraId="506D6618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删除 FreeMarker 依赖与模板；处理看板对外嵌入兼容；部署切换</w:t>
            </w:r>
          </w:p>
        </w:tc>
        <w:tc>
          <w:tcPr>
            <w:tcW w:w="2160" w:type="dxa"/>
          </w:tcPr>
          <w:p w14:paraId="0A43E344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旧 FreeMarker 入口下线，前后端完全分离</w:t>
            </w:r>
          </w:p>
        </w:tc>
        <w:tc>
          <w:tcPr>
            <w:tcW w:w="2160" w:type="dxa"/>
          </w:tcPr>
          <w:p w14:paraId="45FEBA76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1 至 2 周</w:t>
            </w:r>
          </w:p>
        </w:tc>
      </w:tr>
      <w:tr w14:paraId="3AD0A8A0">
        <w:trPr>
          <w:jc w:val="center"/>
        </w:trPr>
        <w:tc>
          <w:tcPr>
            <w:tcW w:w="2160" w:type="dxa"/>
          </w:tcPr>
          <w:p w14:paraId="4FBD5C73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阶段七（可选）</w:t>
            </w:r>
          </w:p>
        </w:tc>
        <w:tc>
          <w:tcPr>
            <w:tcW w:w="2160" w:type="dxa"/>
          </w:tcPr>
          <w:p w14:paraId="59CD284B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演进 JWT、独立域名与 CDN、CI 前端构建、国际化多语言</w:t>
            </w:r>
          </w:p>
        </w:tc>
        <w:tc>
          <w:tcPr>
            <w:tcW w:w="2160" w:type="dxa"/>
          </w:tcPr>
          <w:p w14:paraId="7F28B2AD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纯前后端分离 + 多语言</w:t>
            </w:r>
          </w:p>
        </w:tc>
        <w:tc>
          <w:tcPr>
            <w:tcW w:w="2160" w:type="dxa"/>
          </w:tcPr>
          <w:p w14:paraId="37A7A29B">
            <w:pPr>
              <w:spacing w:after="0" w:line="312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视需求而定</w:t>
            </w:r>
          </w:p>
        </w:tc>
      </w:tr>
    </w:tbl>
    <w:p w14:paraId="4A1F1A5B">
      <w:pPr>
        <w:spacing w:line="240" w:lineRule="auto"/>
      </w:pPr>
    </w:p>
    <w:p w14:paraId="3CF928F8"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总体量级粗估为 3 至 6 个月（2 至 4 人，视是否同步推进看板与可视化部分而定）。</w:t>
      </w:r>
    </w:p>
    <w:p w14:paraId="366177B5">
      <w:pPr>
        <w:spacing w:before="120" w:after="60" w:line="360" w:lineRule="auto"/>
        <w:jc w:val="left"/>
      </w:pPr>
      <w:r>
        <w:rPr>
          <w:rFonts w:ascii="Times New Roman" w:hAnsi="Times New Roman" w:eastAsia="宋体"/>
          <w:b/>
          <w:sz w:val="24"/>
        </w:rPr>
        <w:t>构建与部署</w:t>
      </w:r>
    </w:p>
    <w:p w14:paraId="02F7E8B9">
      <w:pPr>
        <w:spacing w:line="360" w:lineRule="auto"/>
      </w:pPr>
      <w:r>
        <w:rPr>
          <w:rFonts w:ascii="Times New Roman" w:hAnsi="Times New Roman" w:eastAsia="仿宋"/>
          <w:b w:val="0"/>
          <w:sz w:val="24"/>
        </w:rPr>
        <w:t>· 前端构建接入：前端作为独立工程，建议独立 Git 仓库或目录与独立 CI；如需随 Maven 一键打包，可用 frontend-maven-plugin 在 datagear-webapp 构建时执行 npm ci 与 npm run build，并拷入 WAR 或静态目录；</w:t>
      </w:r>
    </w:p>
    <w:p w14:paraId="0C98FDA7">
      <w:pPr>
        <w:spacing w:line="360" w:lineRule="auto"/>
      </w:pPr>
      <w:r>
        <w:rPr>
          <w:rFonts w:ascii="Times New Roman" w:hAnsi="Times New Roman" w:eastAsia="仿宋"/>
          <w:b w:val="0"/>
          <w:sz w:val="24"/>
        </w:rPr>
        <w:t>· 开发：datagear-web-ui 启动 Vite 开发服务器，proxy 转发到后端；</w:t>
      </w:r>
    </w:p>
    <w:p w14:paraId="7E436D7C">
      <w:pPr>
        <w:spacing w:line="360" w:lineRule="auto"/>
      </w:pPr>
      <w:r>
        <w:rPr>
          <w:rFonts w:ascii="Times New Roman" w:hAnsi="Times New Roman" w:eastAsia="仿宋"/>
          <w:b w:val="0"/>
          <w:sz w:val="24"/>
        </w:rPr>
        <w:t>· 生产：npm run build 产物由 nginx 托管 + /api 反代（或并入 Spring Boot static）。</w:t>
      </w:r>
    </w:p>
    <w:p w14:paraId="5D6FE420">
      <w:pPr>
        <w:spacing w:before="120" w:after="60" w:line="360" w:lineRule="auto"/>
        <w:jc w:val="left"/>
      </w:pPr>
      <w:r>
        <w:rPr>
          <w:rFonts w:ascii="Times New Roman" w:hAnsi="Times New Roman" w:eastAsia="宋体"/>
          <w:b/>
          <w:sz w:val="24"/>
        </w:rPr>
        <w:t>下一步建议</w:t>
      </w:r>
    </w:p>
    <w:p w14:paraId="79C1D894">
      <w:pPr>
        <w:spacing w:line="360" w:lineRule="auto"/>
      </w:pPr>
      <w:r>
        <w:rPr>
          <w:rFonts w:ascii="Times New Roman" w:hAnsi="Times New Roman" w:eastAsia="仿宋"/>
          <w:b w:val="0"/>
          <w:sz w:val="24"/>
        </w:rPr>
        <w:t>· 先完成阶段一骨架：搭建 Vite 工程并打通登录，验证“Session + 同源代理”路线可行，以最小成本证伪或证实整个方案的最大不确定点；</w:t>
      </w:r>
    </w:p>
    <w:p w14:paraId="1411F7C8">
      <w:pPr>
        <w:spacing w:line="360" w:lineRule="auto"/>
      </w:pPr>
      <w:r>
        <w:rPr>
          <w:rFonts w:ascii="Times New Roman" w:hAnsi="Times New Roman" w:eastAsia="仿宋"/>
          <w:b w:val="0"/>
          <w:sz w:val="24"/>
        </w:rPr>
        <w:t>· 冻结 API 契约文档：以现有 OperationMessage 与 PagingData 为准，编写 api.md；</w:t>
      </w:r>
    </w:p>
    <w:p w14:paraId="55823CA0">
      <w:pPr>
        <w:spacing w:line="360" w:lineRule="auto"/>
      </w:pPr>
      <w:r>
        <w:rPr>
          <w:rFonts w:ascii="Times New Roman" w:hAnsi="Times New Roman" w:eastAsia="仿宋"/>
          <w:b w:val="0"/>
          <w:sz w:val="24"/>
        </w:rPr>
        <w:t>· 选一个模块做全链路样板（建议 role），形成可复制的迁移模板后再铺开。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B764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仿宋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5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6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37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38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39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4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6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37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8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9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40">
    <w:name w:val="Header Char"/>
    <w:basedOn w:val="132"/>
    <w:link w:val="25"/>
    <w:uiPriority w:val="99"/>
  </w:style>
  <w:style w:type="character" w:customStyle="1" w:styleId="141">
    <w:name w:val="Footer Char"/>
    <w:basedOn w:val="132"/>
    <w:link w:val="24"/>
    <w:uiPriority w:val="99"/>
  </w:style>
  <w:style w:type="paragraph" w:styleId="14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3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2"/>
    <w:link w:val="19"/>
    <w:uiPriority w:val="99"/>
  </w:style>
  <w:style w:type="character" w:customStyle="1" w:styleId="147">
    <w:name w:val="Body Text 2 Char"/>
    <w:basedOn w:val="132"/>
    <w:link w:val="28"/>
    <w:uiPriority w:val="99"/>
  </w:style>
  <w:style w:type="character" w:customStyle="1" w:styleId="148">
    <w:name w:val="Body Text 3 Char"/>
    <w:basedOn w:val="132"/>
    <w:link w:val="17"/>
    <w:uiPriority w:val="99"/>
    <w:rPr>
      <w:sz w:val="16"/>
      <w:szCs w:val="16"/>
    </w:rPr>
  </w:style>
  <w:style w:type="character" w:customStyle="1" w:styleId="149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2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JackCheng</cp:lastModifiedBy>
  <dcterms:modified xsi:type="dcterms:W3CDTF">2026-09-02T00:51:23Z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A4BA17018ED69A018B02976A2B31135E_42</vt:lpwstr>
  </property>
</Properties>
</file>