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前端 Vue 化（前后端分离）改造方案 v2 · 彻底去 FreeMarker 版</w:t>
      </w:r>
    </w:p>
    <w:p>
      <w:pPr>
        <w:pStyle w:val="IntenseQuote"/>
      </w:pPr>
      <w:r>
        <w:t>v2 修订说明：</w:t>
      </w:r>
    </w:p>
    <w:p>
      <w:pPr>
        <w:pStyle w:val="IntenseQuote"/>
      </w:pPr>
      <w:r>
        <w:t>1. 目标升级——彻底移除 web 层全部 FreeMarker，前端 100% 切换为 Vite 工程化 SPA；</w:t>
      </w:r>
    </w:p>
    <w:p>
      <w:pPr>
        <w:pStyle w:val="IntenseQuote"/>
      </w:pPr>
      <w:r>
        <w:t>2. 并入对 v1 的代码级核查勘误（控制器 32 个、po 框架实际 234KB、前端依赖为本地 vendored 而非 CDN 等）；</w:t>
      </w:r>
    </w:p>
    <w:p>
      <w:pPr>
        <w:pStyle w:val="IntenseQuote"/>
      </w:pPr>
      <w:r>
        <w:t>3. 明确 FreeMarker 在仓库中的两处用途及各自处置方式（§3）；</w:t>
      </w:r>
    </w:p>
    <w:p>
      <w:pPr>
        <w:pStyle w:val="IntenseQuote"/>
      </w:pPr>
      <w:r>
        <w:t>4. 重点深化前端改造方案（§6）：页面范式、组合函数、路由与多标签、状态、i18n 迁移脚本、主题、代码分割、重型模块专项策略。</w:t>
      </w:r>
    </w:p>
    <w:p>
      <w:pPr>
        <w:pStyle w:val="Heading2"/>
      </w:pPr>
      <w:r>
        <w:t>1. 现状盘点（核查修正版）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现状（经代码核查）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Spring Boot 2.7.18、Java 8、MyBatis、**可执行 war 双形态打包**（`java -jar` 内嵌启动 + 外置 Tomcat，datagear-webapp）</w:t>
            </w:r>
          </w:p>
        </w:tc>
      </w:tr>
      <w:tr>
        <w:tc>
          <w:tcPr>
            <w:tcW w:type="dxa" w:w="4320"/>
          </w:tcPr>
          <w:p>
            <w:r>
              <w:t>视图层</w:t>
            </w:r>
          </w:p>
        </w:tc>
        <w:tc>
          <w:tcPr>
            <w:tcW w:type="dxa" w:w="4320"/>
          </w:tcPr>
          <w:p>
            <w:r>
              <w:t>FreeMarker，**136 个 .ftl 模板**（位于 **datagear-web** 模块 `src/main/resources/org/datagear/web/templates/`，非 webapp）</w:t>
            </w:r>
          </w:p>
        </w:tc>
      </w:tr>
      <w:tr>
        <w:tc>
          <w:tcPr>
            <w:tcW w:type="dxa" w:w="4320"/>
          </w:tcPr>
          <w:p>
            <w:r>
              <w:t>控制器</w:t>
            </w:r>
          </w:p>
        </w:tc>
        <w:tc>
          <w:tcPr>
            <w:tcW w:type="dxa" w:w="4320"/>
          </w:tcPr>
          <w:p>
            <w:r>
              <w:t>**32 个 @Controller**（org.datagear.web.controller），视图方法与 JSON 接口混合（约 45% : 55%）；含 3 个旧公开 URL 兼容控制器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Vue 3.2.47 + PrimeVue 3.34.1 + PrimeFlex + PrimeIcons + jQuery 3.7.1 + jquery-validation + CodeMirror 5.64 + ECharts 5.6 + clipboard/marked，**全部本地 vendored**（static/lib/），无任何 CDN</w:t>
            </w:r>
          </w:p>
        </w:tc>
      </w:tr>
      <w:tr>
        <w:tc>
          <w:tcPr>
            <w:tcW w:type="dxa" w:w="4320"/>
          </w:tcPr>
          <w:p>
            <w:r>
              <w:t>页面框架</w:t>
            </w:r>
          </w:p>
        </w:tc>
        <w:tc>
          <w:tcPr>
            <w:tcW w:type="dxa" w:w="4320"/>
          </w:tcPr>
          <w:p>
            <w:r>
              <w:t>自制 po（page object）框架：主体在 `static/script/pages/include/page.js`（**146KB，约 148 个 po.* 方法**）+ `static/script/util.js`（87KB jQuery 工具集），**合计 ~234KB**</w:t>
            </w:r>
          </w:p>
        </w:tc>
      </w:tr>
      <w:tr>
        <w:tc>
          <w:tcPr>
            <w:tcW w:type="dxa" w:w="4320"/>
          </w:tcPr>
          <w:p>
            <w:r>
              <w:t>页面组织</w:t>
            </w:r>
          </w:p>
        </w:tc>
        <w:tc>
          <w:tcPr>
            <w:tcW w:type="dxa" w:w="4320"/>
          </w:tcPr>
          <w:p>
            <w:r>
              <w:t>main.ftl 用 AJAX 拉取整页 HTML 注入面板、弹窗就地挂载——**同一 DOM 多 Vue 应用并存**，靠 pid/ppid 命名空间隔离</w:t>
            </w:r>
          </w:p>
        </w:tc>
      </w:tr>
      <w:tr>
        <w:tc>
          <w:tcPr>
            <w:tcW w:type="dxa" w:w="4320"/>
          </w:tcPr>
          <w:p>
            <w:r>
              <w:t>国际化</w:t>
            </w:r>
          </w:p>
        </w:tc>
        <w:tc>
          <w:tcPr>
            <w:tcW w:type="dxa" w:w="4320"/>
          </w:tcPr>
          <w:p>
            <w:r>
              <w:t>`&lt;@spring.message&gt;` 在 119 个 ftl 中出现 **1873 次** + JS 侧 `po.i18n.*` 注入 **167 处**；message.properties 单文件 1333 行（仅中文）</w:t>
            </w:r>
          </w:p>
        </w:tc>
      </w:tr>
      <w:tr>
        <w:tc>
          <w:tcPr>
            <w:tcW w:type="dxa" w:w="4320"/>
          </w:tcPr>
          <w:p>
            <w:r>
              <w:t>安全</w:t>
            </w:r>
          </w:p>
        </w:tc>
        <w:tc>
          <w:tcPr>
            <w:tcW w:type="dxa" w:w="4320"/>
          </w:tcPr>
          <w:p>
            <w:r>
              <w:t>Spring Security：表单登录（成功为 302→JSON 端点混合体）、Session + remember-me（365 天）、校验码、IP+用户名双重登录锁定、CSRF 已禁用、frameOptions 已禁用（为 iframe 嵌入）、CORS 可配置、**匿名用户从数据库装配默认角色**</w:t>
            </w:r>
          </w:p>
        </w:tc>
      </w:tr>
      <w:tr>
        <w:tc>
          <w:tcPr>
            <w:tcW w:type="dxa" w:w="4320"/>
          </w:tcPr>
          <w:p>
            <w:r>
              <w:t>数据接口</w:t>
            </w:r>
          </w:p>
        </w:tc>
        <w:tc>
          <w:tcPr>
            <w:tcW w:type="dxa" w:w="4320"/>
          </w:tcPr>
          <w:p>
            <w:r>
              <w:t>已存在大量 JSON 接口，但 OperationMessage（**非泛型**）未全量统一：存在裸 List、裸 Map、void 流式（Zip 导出）、HTML 片段端点</w:t>
            </w:r>
          </w:p>
        </w:tc>
      </w:tr>
      <w:tr>
        <w:tc>
          <w:tcPr>
            <w:tcW w:type="dxa" w:w="4320"/>
          </w:tcPr>
          <w:p>
            <w:r>
              <w:t>实时性</w:t>
            </w:r>
          </w:p>
        </w:tc>
        <w:tc>
          <w:tcPr>
            <w:tcW w:type="dxa" w:w="4320"/>
          </w:tcPr>
          <w:p>
            <w:r>
              <w:t>**无 WebSocket/SSE**，看板心跳为轮询端点，无实时推送迁移风险</w:t>
            </w:r>
          </w:p>
        </w:tc>
      </w:tr>
    </w:tbl>
    <w:p>
      <w:pPr>
        <w:pStyle w:val="Heading2"/>
      </w:pPr>
      <w:r>
        <w:t>2. FreeMarker 在仓库中的两处用途（关键事实）</w:t>
      </w:r>
    </w:p>
    <w:p>
      <w:r>
        <w:t>全仓 freemarker 依赖仅两处 pom 声明、两类用途：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性质</w:t>
            </w:r>
          </w:p>
        </w:tc>
      </w:tr>
      <w:tr>
        <w:tc>
          <w:tcPr>
            <w:tcW w:type="dxa" w:w="2160"/>
          </w:tcPr>
          <w:p>
            <w:r>
              <w:t>①</w:t>
            </w:r>
          </w:p>
        </w:tc>
        <w:tc>
          <w:tcPr>
            <w:tcW w:type="dxa" w:w="2160"/>
          </w:tcPr>
          <w:p>
            <w:r>
              <w:t>datagear-webapp/pom.xml `spring-boot-starter-freemarker` + datagear-web 视图四件套（FreeMarkerViewResolver / FreeMarkerConfigurer / CustomFreeMarkerView / WriteJsonTemplateDirectiveModel）+ 136 个 .ftl</w:t>
            </w:r>
          </w:p>
        </w:tc>
        <w:tc>
          <w:tcPr>
            <w:tcW w:type="dxa" w:w="2160"/>
          </w:tcPr>
          <w:p>
            <w:r>
              <w:t>**页面视图渲染**</w:t>
            </w:r>
          </w:p>
        </w:tc>
        <w:tc>
          <w:tcPr>
            <w:tcW w:type="dxa" w:w="2160"/>
          </w:tcPr>
          <w:p>
            <w:r>
              <w:t>本次改造要消灭的对象</w:t>
            </w:r>
          </w:p>
        </w:tc>
      </w:tr>
      <w:tr>
        <w:tc>
          <w:tcPr>
            <w:tcW w:type="dxa" w:w="2160"/>
          </w:tcPr>
          <w:p>
            <w:r>
              <w:t>②</w:t>
            </w:r>
          </w:p>
        </w:tc>
        <w:tc>
          <w:tcPr>
            <w:tcW w:type="dxa" w:w="2160"/>
          </w:tcPr>
          <w:p>
            <w:r>
              <w:t>datagear-analysis/pom.xml `org.freemarker:freemarker` + `analysis/support/datasettpl/` 包（DataSetFmkTemplateResolver、SqlDataSetFmkTemplateResolver、各 OutputFormat）</w:t>
            </w:r>
          </w:p>
        </w:tc>
        <w:tc>
          <w:tcPr>
            <w:tcW w:type="dxa" w:w="2160"/>
          </w:tcPr>
          <w:p>
            <w:r>
              <w:t>**数据集模板语言**：用户在 SQL 数据集、HTTP 数据集（URL/请求头/请求体）、CSV/JSON/XML 值数据集、Excel sheet 名中直接书写 FreeMarker 语法（`${param}`、`&lt;#if&gt;` 等）实现动态参数</w:t>
            </w:r>
          </w:p>
        </w:tc>
        <w:tc>
          <w:tcPr>
            <w:tcW w:type="dxa" w:w="2160"/>
          </w:tcPr>
          <w:p>
            <w:r>
              <w:t>**用户可见的产品功能**，存量用户数据集里已含 freemarker 语法</w:t>
            </w:r>
          </w:p>
        </w:tc>
      </w:tr>
    </w:tbl>
    <w:p>
      <w:pPr>
        <w:pStyle w:val="IntenseQuote"/>
      </w:pPr>
      <w:r>
        <w:t>注：v1 审阅中"看板引擎依赖 freemarker"的表述需修正——代码核查确认看板渲染引擎（HtmlTplDashboardWidget）不直接 import freemarker，analysis 模块的 freemarker 全部服务于数据集模板语言。</w:t>
      </w:r>
    </w:p>
    <w:p>
      <w:pPr>
        <w:pStyle w:val="Heading2"/>
      </w:pPr>
      <w:r>
        <w:t>3. "彻底移除 FreeMarker"处置矩阵（v2 核心决策）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处置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web 层视图体系（①）</w:t>
            </w:r>
          </w:p>
        </w:tc>
        <w:tc>
          <w:tcPr>
            <w:tcW w:type="dxa" w:w="2880"/>
          </w:tcPr>
          <w:p>
            <w:r>
              <w:t>**全部删除**：webapp pom 移除 starter；删除视图四件套与相关注册；删除 136 个 .ftl；删除 static 下由 npm 工程接管的前端资源</w:t>
            </w:r>
          </w:p>
        </w:tc>
        <w:tc>
          <w:tcPr>
            <w:tcW w:type="dxa" w:w="2880"/>
          </w:tcPr>
          <w:p>
            <w:r>
              <w:t>随 SPA 逐模块替换完成后在收敛阶段执行</w:t>
            </w:r>
          </w:p>
        </w:tc>
      </w:tr>
      <w:tr>
        <w:tc>
          <w:tcPr>
            <w:tcW w:type="dxa" w:w="2880"/>
          </w:tcPr>
          <w:p>
            <w:r>
              <w:t>数据集模板语言（②）</w:t>
            </w:r>
          </w:p>
        </w:tc>
        <w:tc>
          <w:tcPr>
            <w:tcW w:type="dxa" w:w="2880"/>
          </w:tcPr>
          <w:p>
            <w:r>
              <w:t>**保留 freemarker jar，定位为"数据集模板引擎"依赖**；同步做两件隔离工作：(a) 在 `datasettpl` 包抽象 `TemplateResolver` SPI（接口已存在，补齐默认实现的装配隔离），使引擎可插拔；(b) 文档明确"FreeMarker 是数据集模板语法，与视图层无关"</w:t>
            </w:r>
          </w:p>
        </w:tc>
        <w:tc>
          <w:tcPr>
            <w:tcW w:type="dxa" w:w="2880"/>
          </w:tcPr>
          <w:p>
            <w:r>
              <w:t>用户存量数据集内含 freemarker 语法，任何替换引擎都必须兼容该语法 = 重写一个 freemarker，**评估为不可行，不推荐**</w:t>
            </w:r>
          </w:p>
        </w:tc>
      </w:tr>
      <w:tr>
        <w:tc>
          <w:tcPr>
            <w:tcW w:type="dxa" w:w="2880"/>
          </w:tcPr>
          <w:p>
            <w:r>
              <w:t>看板 viewer / 嵌入端点</w:t>
            </w:r>
          </w:p>
        </w:tc>
        <w:tc>
          <w:tcPr>
            <w:tcW w:type="dxa" w:w="2880"/>
          </w:tcPr>
          <w:p>
            <w:r>
              <w:t>**零改动冻结**：`/dv/**`、`/cv/**`、3 个 Compat 控制器（`/chart/show/**`、`/dashboard/show/**`、`/analysis/**`）、`/checkCode`、analysisapi/analysislib、图表插件运行时（150 个 zip 插件）、心跳轮询</w:t>
            </w:r>
          </w:p>
        </w:tc>
        <w:tc>
          <w:tcPr>
            <w:tcW w:type="dxa" w:w="2880"/>
          </w:tcPr>
          <w:p>
            <w:r>
              <w:t>本就不走 FreeMarker 视图；对外嵌入契约不可破</w:t>
            </w:r>
          </w:p>
        </w:tc>
      </w:tr>
    </w:tbl>
    <w:p>
      <w:r>
        <w:t>结论性表述（写入方案目标）：本次改造达成 "视图层 100% 去 FreeMarker、前端 100% Vite 工程化"；后端仅保留 freemarker 作为数据集模板引擎这一数据功能依赖（与前端无关、与视图无关），并通过 SPI 隔离为可替换实现。</w:t>
      </w:r>
    </w:p>
    <w:p>
      <w:pPr>
        <w:pStyle w:val="Heading2"/>
      </w:pPr>
      <w:r>
        <w:t>4. 目标架构与技术选型</w:t>
      </w:r>
    </w:p>
    <w:p>
      <w:r>
        <w:t>目标形态：浏览器端 Vue 3 SPA（Vite + TypeScript + Vue Router 4 + Pinia + PrimeVue 3 + Axios + vue-i18n）调用后端 Spring Boot 纯 REST API（/api 前缀 JSON）；后端不再承担任何页面渲染职责，仅保留：校验码、文件上传下载、看板运行时/嵌入端点（冻结面）、analysisapi/analysislib 与插件资源托管、静态资源托管。</w:t>
      </w:r>
    </w:p>
    <w:p>
      <w:pPr>
        <w:pStyle w:val="ListBullet"/>
      </w:pPr>
      <w:r>
        <w:t>UI 库保持 PrimeVue 3（npm 版锁定 3.34.x + PrimeFlex + PrimeIcons），不引入 Element Plus 等新库；</w:t>
      </w:r>
    </w:p>
    <w:p>
      <w:pPr>
        <w:pStyle w:val="ListBullet"/>
      </w:pPr>
      <w:r>
        <w:t>认证阶段一：Session + Cookie 同源（开发期 Vite proxy，生产期 nginx 同域或 Spring 托管）；阶段七可选演进 JWT。JWT 化时必须等价复刻：匿名用户数据库角色装配、看板分享密码 Session 校验态、;jsessionid= URL 会话（iframe 嵌入绕第三方 Cookie 限制的兜底）；</w:t>
      </w:r>
    </w:p>
    <w:p>
      <w:pPr>
        <w:pStyle w:val="ListBullet"/>
      </w:pPr>
      <w:r>
        <w:t>部署形态保持双形态：可执行 war 与外置 Tomcat 均须验证前端产物可用。</w:t>
      </w:r>
    </w:p>
    <w:p>
      <w:pPr>
        <w:pStyle w:val="Heading2"/>
      </w:pPr>
      <w:r>
        <w:t>5. 后端改造方案（v2 深化）</w:t>
      </w:r>
    </w:p>
    <w:p>
      <w:pPr>
        <w:pStyle w:val="Heading3"/>
      </w:pPr>
      <w:r>
        <w:t>5.1 API 契约统一（阶段零盘点 → 阶段二实施）</w:t>
      </w:r>
    </w:p>
    <w:p>
      <w:pPr>
        <w:pStyle w:val="ListNumber"/>
      </w:pPr>
      <w:r>
        <w:t>阶段零先产出《端点契约盘点表》：脚本扫描 32 个控制器，逐端点标注 路径/方法/返回形态/权限角色/Session 依赖/迁移分类（REST 化 / 冻结 / 废弃）。</w:t>
      </w:r>
    </w:p>
    <w:p>
      <w:pPr>
        <w:pStyle w:val="ListNumber"/>
      </w:pPr>
      <w:r>
        <w:t>OperationMessage 泛型化为 OperationMessage&lt;T&gt;，统一作为 /api 顶层包装；同步盘点并改造裸返回端点（已知：数据交换 uploadImportFile 裸 List、看板 heartbeat 裸 Map、getLogContent HTML 片段——逐一给出 JSON 化或保留豁免的决议）。</w:t>
      </w:r>
    </w:p>
    <w:p>
      <w:pPr>
        <w:pStyle w:val="ListNumber"/>
      </w:pPr>
      <w:r>
        <w:t>新增元数据接口：每个表单/列表页补 GET /api/{module}/meta（列定义、默认值、isReadonlyAction、模块权限），替代 &lt;@writeJson var=formModel/&gt;（53 个模板在用）。</w:t>
      </w:r>
    </w:p>
    <w:p>
      <w:pPr>
        <w:pStyle w:val="ListNumber"/>
      </w:pPr>
      <w:r>
        <w:t>认证微调（最小改动）：登录成功/失败目前是 302→JSON 端点混合体，axios 跟随重定向可兼容；如 POC 发现行为不佳，将 AuthenticationSuccessHandlerExt/失败处理器改为直接输出 JSON（改动小，预案写好）。</w:t>
      </w:r>
    </w:p>
    <w:p>
      <w:pPr>
        <w:pStyle w:val="ListNumber"/>
      </w:pPr>
      <w:r>
        <w:t>废弃 Session flash 消息（WebUtils.setOperationMessage(HttpSession) 版），改由响应体直接承载。</w:t>
      </w:r>
    </w:p>
    <w:p>
      <w:pPr>
        <w:pStyle w:val="ListNumber"/>
      </w:pPr>
      <w:r>
        <w:t>分析项目感知显式化：AnalysisProjectAwareSupport 目前靠请求参数/会话感知，API 化时改为显式请求头/参数契约，由 Pinia store 统一注入。</w:t>
      </w:r>
    </w:p>
    <w:p>
      <w:pPr>
        <w:pStyle w:val="ListNumber"/>
      </w:pPr>
      <w:r>
        <w:t>权限元数据接口：GET /api/auth/me 返回用户、角色、模块可见权限（替代 main.ftl 的 modulePermissions 模板注入）。</w:t>
      </w:r>
    </w:p>
    <w:p>
      <w:pPr>
        <w:pStyle w:val="ListNumber"/>
      </w:pPr>
      <w:r>
        <w:t>错误页与异常：API 错误一律 JSON；DeliverContentTypeExceptionHandlerExceptionResolver 保留按 content-type 分流；页面 404/500 由 SPA 路由兜底 + 回退。</w:t>
      </w:r>
    </w:p>
    <w:p>
      <w:pPr>
        <w:pStyle w:val="ListNumber"/>
      </w:pPr>
      <w:r>
        <w:t>保留不动的机制：theme/locale 拦截器随模板删除而废弃（SPA 本地状态接管）；ClearCss/JsCommentResourceTransformer、ServerTimeJsController、DetectNewVersionScriptResolver（新版本检测）保留在后端静态链上；frameOptions 维持禁用（嵌入需要）。</w:t>
      </w:r>
    </w:p>
    <w:p>
      <w:pPr>
        <w:pStyle w:val="Heading3"/>
      </w:pPr>
      <w:r>
        <w:t>5.2 收敛期删除清单（阶段六执行）</w:t>
      </w:r>
    </w:p>
    <w:p>
      <w:pPr>
        <w:pStyle w:val="ListBullet"/>
      </w:pPr>
      <w:r>
        <w:t>datagear-webapp/pom.xml：spring-boot-starter-freemarker；DataGearApplication 中 FreeMarkerAutoConfiguration 排除项可一并清理；</w:t>
      </w:r>
    </w:p>
    <w:p>
      <w:pPr>
        <w:pStyle w:val="ListBullet"/>
      </w:pPr>
      <w:r>
        <w:t>datagear-web：WebMvcConfigurerConfigSupport 中视图解析器/FreeMarkerConfigurer 注册、CustomFreeMarkerView、WriteJsonTemplateDirectiveModel、freemarker/ 包；</w:t>
      </w:r>
    </w:p>
    <w:p>
      <w:pPr>
        <w:pStyle w:val="ListBullet"/>
      </w:pPr>
      <w:r>
        <w:t>templates/ 全部 136 个 .ftl；</w:t>
      </w:r>
    </w:p>
    <w:p>
      <w:pPr>
        <w:pStyle w:val="ListBullet"/>
      </w:pPr>
      <w:r>
        <w:t>static 下由 npm 接管的前端资源（vue/primevue/jquery/codemirror 等 lib）；保留：analysisapi（1.0/2.0）、analysislib（echarts、geojson 39 图等 7.8MB）、builtInChartPlugins（150 zip）、theme 覆盖层 CSS（或迁入前端工程，二选一，建议迁入）；</w:t>
      </w:r>
    </w:p>
    <w:p>
      <w:pPr>
        <w:pStyle w:val="ListBullet"/>
      </w:pPr>
      <w:r>
        <w:t>不删：datagear-analysis 的 freemarker 依赖与 datasettpl 包（见 §3）。</w:t>
      </w:r>
    </w:p>
    <w:p>
      <w:pPr>
        <w:pStyle w:val="Heading2"/>
      </w:pPr>
      <w:r>
        <w:t>6. 前端工程深化方案（v2 重点）</w:t>
      </w:r>
    </w:p>
    <w:p>
      <w:pPr>
        <w:pStyle w:val="Heading3"/>
      </w:pPr>
      <w:r>
        <w:t>6.1 工程骨架与构建集成</w:t>
      </w:r>
    </w:p>
    <w:p>
      <w:r>
        <w:rPr>
          <w:rFonts w:ascii="Consolas" w:hAnsi="Consolas"/>
        </w:rPr>
        <w:t>datagear-web-ui/</w:t>
      </w:r>
    </w:p>
    <w:p>
      <w:r>
        <w:rPr>
          <w:rFonts w:ascii="Consolas" w:hAnsi="Consolas"/>
        </w:rPr>
        <w:t>├─ package.json / vite.config.ts / tsconfig.json / .env.development / .env.production</w:t>
      </w:r>
    </w:p>
    <w:p>
      <w:r>
        <w:rPr>
          <w:rFonts w:ascii="Consolas" w:hAnsi="Consolas"/>
        </w:rPr>
        <w:t>├─ index.html</w:t>
      </w:r>
    </w:p>
    <w:p>
      <w:r>
        <w:rPr>
          <w:rFonts w:ascii="Consolas" w:hAnsi="Consolas"/>
        </w:rPr>
        <w:t>└─ src/</w:t>
      </w:r>
    </w:p>
    <w:p>
      <w:r>
        <w:rPr>
          <w:rFonts w:ascii="Consolas" w:hAnsi="Consolas"/>
        </w:rPr>
        <w:t xml:space="preserve">   ├─ main.ts / App.vue</w:t>
      </w:r>
    </w:p>
    <w:p>
      <w:r>
        <w:rPr>
          <w:rFonts w:ascii="Consolas" w:hAnsi="Consolas"/>
        </w:rPr>
        <w:t xml:space="preserve">   ├─ api/            # 与后端控制器一一对应（role.ts、dataSet.ts…），全量 TS 类型</w:t>
      </w:r>
    </w:p>
    <w:p>
      <w:r>
        <w:rPr>
          <w:rFonts w:ascii="Consolas" w:hAnsi="Consolas"/>
        </w:rPr>
        <w:t xml:space="preserve">   ├─ router/         # 路由表 + 菜单元数据 + 多标签页 KeepAlive 配置</w:t>
      </w:r>
    </w:p>
    <w:p>
      <w:r>
        <w:rPr>
          <w:rFonts w:ascii="Consolas" w:hAnsi="Consolas"/>
        </w:rPr>
        <w:t xml:space="preserve">   ├─ stores/         # auth / theme / locale / analysisProject / permissions / tabs</w:t>
      </w:r>
    </w:p>
    <w:p>
      <w:r>
        <w:rPr>
          <w:rFonts w:ascii="Consolas" w:hAnsi="Consolas"/>
        </w:rPr>
        <w:t xml:space="preserve">   ├─ locales/        # vue-i18n 语言包（脚本自 message.properties 生成）</w:t>
      </w:r>
    </w:p>
    <w:p>
      <w:r>
        <w:rPr>
          <w:rFonts w:ascii="Consolas" w:hAnsi="Consolas"/>
        </w:rPr>
        <w:t xml:space="preserve">   ├─ components/     # 通用组件（替代 include/*.ftl 的 32 个公共模板）</w:t>
      </w:r>
    </w:p>
    <w:p>
      <w:r>
        <w:rPr>
          <w:rFonts w:ascii="Consolas" w:hAnsi="Consolas"/>
        </w:rPr>
        <w:t xml:space="preserve">   ├─ composables/    # po 框架能力的 Composition API 重写（§6.3）</w:t>
      </w:r>
    </w:p>
    <w:p>
      <w:r>
        <w:rPr>
          <w:rFonts w:ascii="Consolas" w:hAnsi="Consolas"/>
        </w:rPr>
        <w:t xml:space="preserve">   ├─ layouts/        # 主布局（侧菜单 + 多标签页 + 头部）</w:t>
      </w:r>
    </w:p>
    <w:p>
      <w:r>
        <w:rPr>
          <w:rFonts w:ascii="Consolas" w:hAnsi="Consolas"/>
        </w:rPr>
        <w:t xml:space="preserve">   ├─ views/          # 按模块分目录，对应 templates/* 与 32 控制器</w:t>
      </w:r>
    </w:p>
    <w:p>
      <w:r>
        <w:rPr>
          <w:rFonts w:ascii="Consolas" w:hAnsi="Consolas"/>
        </w:rPr>
        <w:t xml:space="preserve">   ├─ plugins/        # PrimeVue 全局注册、确认框、Toast</w:t>
      </w:r>
    </w:p>
    <w:p>
      <w:r>
        <w:rPr>
          <w:rFonts w:ascii="Consolas" w:hAnsi="Consolas"/>
        </w:rPr>
        <w:t xml:space="preserve">   └─ utils/          # axios 实例、OperationMessage 解析、文件下载、存储</w:t>
      </w:r>
    </w:p>
    <w:p>
      <w:r>
        <w:t>构建集成：frontend-maven-plugin 挂在 datagear-web 模块（资源实际所在地），npm ci &amp;&amp; npm run build 产物拷入静态资源目录；CI 同时验证可执行 war 与外置 Tomcat 两种形态。</w:t>
      </w:r>
    </w:p>
    <w:p>
      <w:pPr>
        <w:pStyle w:val="Heading3"/>
      </w:pPr>
      <w:r>
        <w:t>6.2 三种页面范式（替代 po.open 弹窗体系，阶段三定型）</w:t>
      </w:r>
    </w:p>
    <w:p>
      <w:r>
        <w:t>现状"AJAX 拉整页 HTML 注入面板 + 弹窗就地挂载独立 Vue app"无法平移，必须在模范模块阶段一次性定型：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范式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适用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实现</w:t>
            </w:r>
          </w:p>
        </w:tc>
      </w:tr>
      <w:tr>
        <w:tc>
          <w:tcPr>
            <w:tcW w:type="dxa" w:w="2880"/>
          </w:tcPr>
          <w:p>
            <w:r>
              <w:t>**A. 列表页 ListView**</w:t>
            </w:r>
          </w:p>
        </w:tc>
        <w:tc>
          <w:tcPr>
            <w:tcW w:type="dxa" w:w="2880"/>
          </w:tcPr>
          <w:p>
            <w:r>
              <w:t>manage 页</w:t>
            </w:r>
          </w:p>
        </w:tc>
        <w:tc>
          <w:tcPr>
            <w:tcW w:type="dxa" w:w="2880"/>
          </w:tcPr>
          <w:p>
            <w:r>
              <w:t>路由页面 + `usePagingTable` + 搜索表单组件；新增/编辑以范式 B 弹出</w:t>
            </w:r>
          </w:p>
        </w:tc>
      </w:tr>
      <w:tr>
        <w:tc>
          <w:tcPr>
            <w:tcW w:type="dxa" w:w="2880"/>
          </w:tcPr>
          <w:p>
            <w:r>
              <w:t>**B. 表单对话框 FormDialog**</w:t>
            </w:r>
          </w:p>
        </w:tc>
        <w:tc>
          <w:tcPr>
            <w:tcW w:type="dxa" w:w="2880"/>
          </w:tcPr>
          <w:p>
            <w:r>
              <w:t>add/edit/view（轻量表单，如 role、user）</w:t>
            </w:r>
          </w:p>
        </w:tc>
        <w:tc>
          <w:tcPr>
            <w:tcW w:type="dxa" w:w="2880"/>
          </w:tcPr>
          <w:p>
            <w:r>
              <w:t>路由不动，Dialog 内嵌**本地组件**（不再加载远端 HTML）；通过 props 传 id、事件回传刷新</w:t>
            </w:r>
          </w:p>
        </w:tc>
      </w:tr>
      <w:tr>
        <w:tc>
          <w:tcPr>
            <w:tcW w:type="dxa" w:w="2880"/>
          </w:tcPr>
          <w:p>
            <w:r>
              <w:t>**C. 独立表单页 FormPage**</w:t>
            </w:r>
          </w:p>
        </w:tc>
        <w:tc>
          <w:tcPr>
            <w:tcW w:type="dxa" w:w="2880"/>
          </w:tcPr>
          <w:p>
            <w:r>
              <w:t>重度表单（dataSet 表单、chart 表单、看板设计器、sqlpad、数据交换向导）</w:t>
            </w:r>
          </w:p>
        </w:tc>
        <w:tc>
          <w:tcPr>
            <w:tcW w:type="dxa" w:w="2880"/>
          </w:tcPr>
          <w:p>
            <w:r>
              <w:t>独立路由 + KeepAlive 多标签页，对应现状"新开面板"语义</w:t>
            </w:r>
          </w:p>
        </w:tc>
      </w:tr>
    </w:tbl>
    <w:p>
      <w:r>
        <w:t>多标签页（tabs store + KeepAlive include 名单）复刻现状多 panel 共存语义，支持"关闭其他/左侧/右侧/新窗口打开"（替代 po.tabview* 系列）。</w:t>
      </w:r>
    </w:p>
    <w:p>
      <w:pPr>
        <w:pStyle w:val="Heading3"/>
      </w:pPr>
      <w:r>
        <w:t>6.3 组合函数 API 设计（po 框架 234KB 的替代，按优先级）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组合函数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替代的 po/util 能力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`usePagingTable()`</w:t>
            </w:r>
          </w:p>
        </w:tc>
        <w:tc>
          <w:tcPr>
            <w:tcW w:type="dxa" w:w="2880"/>
          </w:tcPr>
          <w:p>
            <w:r>
              <w:t>setupAjaxTable：PrimeVue DataTable 懒加载分页/排序/多选 ↔ PagingData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`useCrudActions()`</w:t>
            </w:r>
          </w:p>
        </w:tc>
        <w:tc>
          <w:tcPr>
            <w:tcW w:type="dxa" w:w="2880"/>
          </w:tcPr>
          <w:p>
            <w:r>
              <w:t>handleAdd/Edit/View/DeleteAction：按范式 A/B 分发、删除确认、批量删除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`useOperationMessage()` / axios 拦截器</w:t>
            </w:r>
          </w:p>
        </w:tc>
        <w:tc>
          <w:tcPr>
            <w:tcW w:type="dxa" w:w="2880"/>
          </w:tcPr>
          <w:p>
            <w:r>
              <w:t>OperationMessage 解包、fail 弹错、401 跳登录、redirectUrl 跳转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`useAuth()` / auth store</w:t>
            </w:r>
          </w:p>
        </w:tc>
        <w:tc>
          <w:tcPr>
            <w:tcW w:type="dxa" w:w="2880"/>
          </w:tcPr>
          <w:p>
            <w:r>
              <w:t>isReadonlyAction、modulePermissions、当前用户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`useSearchForm()`</w:t>
            </w:r>
          </w:p>
        </w:tc>
        <w:tc>
          <w:tcPr>
            <w:tcW w:type="dxa" w:w="2880"/>
          </w:tcPr>
          <w:p>
            <w:r>
              <w:t>page_search_form 骨架：折叠、重置、条件装配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`useFormDialog()` / `useFormPage()`</w:t>
            </w:r>
          </w:p>
        </w:tc>
        <w:tc>
          <w:tcPr>
            <w:tcW w:type="dxa" w:w="2880"/>
          </w:tcPr>
          <w:p>
            <w:r>
              <w:t>page_form/page_simple_form 骨架：校验、提交、脏检查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`useConfirm()` `useToast()`</w:t>
            </w:r>
          </w:p>
        </w:tc>
        <w:tc>
          <w:tcPr>
            <w:tcW w:type="dxa" w:w="2880"/>
          </w:tcPr>
          <w:p>
            <w:r>
              <w:t>$.confirm（动态 ConfirmDialog）、提示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`useTheme()` / `useLocale()`</w:t>
            </w:r>
          </w:p>
        </w:tc>
        <w:tc>
          <w:tcPr>
            <w:tcW w:type="dxa" w:w="2880"/>
          </w:tcPr>
          <w:p>
            <w:r>
              <w:t>change_theme_data.ftl 换 link href；LOCALE 参数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`useCodeEditor()` / `useSqlEditor()`</w:t>
            </w:r>
          </w:p>
        </w:tc>
        <w:tc>
          <w:tcPr>
            <w:tcW w:type="dxa" w:w="2880"/>
          </w:tcPr>
          <w:p>
            <w:r>
              <w:t>createCodeEditor/createSqlEditor + 服务端 SQL 补全（CodeMirror 5 锁定，后续再评估升 6）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`useFileUpload()` / `useDownload()`</w:t>
            </w:r>
          </w:p>
        </w:tc>
        <w:tc>
          <w:tcPr>
            <w:tcW w:type="dxa" w:w="2880"/>
          </w:tcPr>
          <w:p>
            <w:r>
              <w:t>page_fileupload、Content-Disposition 下载、上传进度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`usePalette()`</w:t>
            </w:r>
          </w:p>
        </w:tc>
        <w:tc>
          <w:tcPr>
            <w:tcW w:type="dxa" w:w="2880"/>
          </w:tcPr>
          <w:p>
            <w:r>
              <w:t>调色板 setupPalette/showPalettePanel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`useSteps()`</w:t>
            </w:r>
          </w:p>
        </w:tc>
        <w:tc>
          <w:tcPr>
            <w:tcW w:type="dxa" w:w="2880"/>
          </w:tcPr>
          <w:p>
            <w:r>
              <w:t>page_steps 向导步条（数据交换用）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`useDataSetBind()`</w:t>
            </w:r>
          </w:p>
        </w:tc>
        <w:tc>
          <w:tcPr>
            <w:tcW w:type="dxa" w:w="2880"/>
          </w:tcPr>
          <w:p>
            <w:r>
              <w:t>inflateDataSetBind/validateDataSetBindDataSign/restoreDataSetFields（图表/看板表单）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`useImportKeys()`</w:t>
            </w:r>
          </w:p>
        </w:tc>
        <w:tc>
          <w:tcPr>
            <w:tcW w:type="dxa" w:w="2880"/>
          </w:tcPr>
          <w:p>
            <w:r>
              <w:t>数据交换列映射工具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`useIframeNestCode()`</w:t>
            </w:r>
          </w:p>
        </w:tc>
        <w:tc>
          <w:tcPr>
            <w:tcW w:type="dxa" w:w="2880"/>
          </w:tcPr>
          <w:p>
            <w:r>
              <w:t>buildIframeNestCode 嵌入码复制</w:t>
            </w:r>
          </w:p>
        </w:tc>
      </w:tr>
    </w:tbl>
    <w:p>
      <w:r>
        <w:t>明确不迁移：pid/ppid 页面命名空间、$.open 远端 HTML 弹窗、$.inflatePageObj——由范式与组件体系替代。</w:t>
      </w:r>
    </w:p>
    <w:p>
      <w:pPr>
        <w:pStyle w:val="Heading3"/>
      </w:pPr>
      <w:r>
        <w:t>6.4 路由与菜单</w:t>
      </w:r>
    </w:p>
    <w:p>
      <w:pPr>
        <w:pStyle w:val="ListBullet"/>
      </w:pPr>
      <w:r>
        <w:t>路由表按模块组织，meta 携带：菜单分组、权限标识、KeepAlive 策略、范式类型；</w:t>
      </w:r>
    </w:p>
    <w:p>
      <w:pPr>
        <w:pStyle w:val="ListBullet"/>
      </w:pPr>
      <w:r>
        <w:t>菜单数据来自 GET /api/auth/me 的模块权限（替代 main.ftl 模板注入），前端按权限过滤渲染；</w:t>
      </w:r>
    </w:p>
    <w:p>
      <w:pPr>
        <w:pStyle w:val="ListBullet"/>
      </w:pPr>
      <w:r>
        <w:t>32 个控制器 → 路由映射在阶段零盘点表中逐一定义；select 类页面（角色选择等）统一为"选择对话框"组件而非路由。</w:t>
      </w:r>
    </w:p>
    <w:p>
      <w:pPr>
        <w:pStyle w:val="Heading3"/>
      </w:pPr>
      <w:r>
        <w:t>6.5 状态管理（Pinia stores）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当前用户、角色、登录/登出动作、401 处理</w:t>
            </w:r>
          </w:p>
        </w:tc>
      </w:tr>
      <w:tr>
        <w:tc>
          <w:tcPr>
            <w:tcW w:type="dxa" w:w="4320"/>
          </w:tcPr>
          <w:p>
            <w:r>
              <w:t>permissions</w:t>
            </w:r>
          </w:p>
        </w:tc>
        <w:tc>
          <w:tcPr>
            <w:tcW w:type="dxa" w:w="4320"/>
          </w:tcPr>
          <w:p>
            <w:r>
              <w:t>模块可见性、isReadonlyAction、数据级权限缓存</w:t>
            </w:r>
          </w:p>
        </w:tc>
      </w:tr>
      <w:tr>
        <w:tc>
          <w:tcPr>
            <w:tcW w:type="dxa" w:w="4320"/>
          </w:tcPr>
          <w:p>
            <w:r>
              <w:t>analysisProject</w:t>
            </w:r>
          </w:p>
        </w:tc>
        <w:tc>
          <w:tcPr>
            <w:tcW w:type="dxa" w:w="4320"/>
          </w:tcPr>
          <w:p>
            <w:r>
              <w:t>当前分析项目、切换动作（与后端显式契约对齐）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blue/blueDark 切换，换 link href + 本地持久化</w:t>
            </w:r>
          </w:p>
        </w:tc>
      </w:tr>
      <w:tr>
        <w:tc>
          <w:tcPr>
            <w:tcW w:type="dxa" w:w="4320"/>
          </w:tcPr>
          <w:p>
            <w:r>
              <w:t>locale</w:t>
            </w:r>
          </w:p>
        </w:tc>
        <w:tc>
          <w:tcPr>
            <w:tcW w:type="dxa" w:w="4320"/>
          </w:tcPr>
          <w:p>
            <w:r>
              <w:t>语言切换，与后端校验/错误消息的 locale 约定对齐</w:t>
            </w:r>
          </w:p>
        </w:tc>
      </w:tr>
      <w:tr>
        <w:tc>
          <w:tcPr>
            <w:tcW w:type="dxa" w:w="4320"/>
          </w:tcPr>
          <w:p>
            <w:r>
              <w:t>tabs</w:t>
            </w:r>
          </w:p>
        </w:tc>
        <w:tc>
          <w:tcPr>
            <w:tcW w:type="dxa" w:w="4320"/>
          </w:tcPr>
          <w:p>
            <w:r>
              <w:t>多标签页：打开/激活/关闭/关闭其他、KeepAlive include 计算</w:t>
            </w:r>
          </w:p>
        </w:tc>
      </w:tr>
    </w:tbl>
    <w:p>
      <w:pPr>
        <w:pStyle w:val="Heading3"/>
      </w:pPr>
      <w:r>
        <w:t>6.6 axios 层</w:t>
      </w:r>
    </w:p>
    <w:p>
      <w:pPr>
        <w:pStyle w:val="ListBullet"/>
      </w:pPr>
      <w:r>
        <w:t>请求：携带 X-Requested-With、locale/theme 参数（沿用现有拦截器语义直至后端拦截器下线）、分析项目头；</w:t>
      </w:r>
    </w:p>
    <w:p>
      <w:pPr>
        <w:pStyle w:val="ListBullet"/>
      </w:pPr>
      <w:r>
        <w:t>响应：解包 OperationMessage&lt;T&gt;；type=fail 统一 Toast + 拒绝 promise；HTTP 401 清 auth 跳登录；data.redirectUrl 跳转；</w:t>
      </w:r>
    </w:p>
    <w:p>
      <w:pPr>
        <w:pStyle w:val="ListBullet"/>
      </w:pPr>
      <w:r>
        <w:t>文件：上传走 multipart（进度回调）；下载走 blob + Content-Disposition 文件名解析（复用现有导出/下载端点，含 Zip 流式端点）。</w:t>
      </w:r>
    </w:p>
    <w:p>
      <w:pPr>
        <w:pStyle w:val="Heading3"/>
      </w:pPr>
      <w:r>
        <w:t>6.7 i18n 迁移（一次性脚本 + 校验）</w:t>
      </w:r>
    </w:p>
    <w:p>
      <w:pPr>
        <w:pStyle w:val="ListNumber"/>
      </w:pPr>
      <w:r>
        <w:t>脚本：message.properties（1333 行）→ locales/zh-CN.json（层级 key 拍平或按 . 分组）；</w:t>
      </w:r>
    </w:p>
    <w:p>
      <w:pPr>
        <w:pStyle w:val="ListNumber"/>
      </w:pPr>
      <w:r>
        <w:t>模板侧 1873 处 &lt;@spring.message code='x'/&gt; 在迁移页面时手工替换为 t('x')，脚本生成已迁移 key 覆盖率报告（每个模块页面替换后跑一遍，未覆盖 key 列清单）；</w:t>
      </w:r>
    </w:p>
    <w:p>
      <w:pPr>
        <w:pStyle w:val="ListNumber"/>
      </w:pPr>
      <w:r>
        <w:t>JS 侧 167 处 po.i18n.* = "&lt;@spring.message/&gt;" 文案归入对应模块的语言包命名空间（dashboard 设计器占 112 处，单独一组 dashboard.*）；</w:t>
      </w:r>
    </w:p>
    <w:p>
      <w:pPr>
        <w:pStyle w:val="ListNumber"/>
      </w:pPr>
      <w:r>
        <w:t>后端 message.properties 保留服务服务端异常/校验消息，前端不再直接消费；</w:t>
      </w:r>
    </w:p>
    <w:p>
      <w:pPr>
        <w:pStyle w:val="ListNumber"/>
      </w:pPr>
      <w:r>
        <w:t>结构预留多语言（en-US 平铺即可补译）。</w:t>
      </w:r>
    </w:p>
    <w:p>
      <w:pPr>
        <w:pStyle w:val="Heading3"/>
      </w:pPr>
      <w:r>
        <w:t>6.8 主题</w:t>
      </w:r>
    </w:p>
    <w:p>
      <w:r>
        <w:t>复刻现状"换 link href"机制（非 CSS 变量）：PrimeVue 预制主题（saga-blue / vela-blue）+ 自建 style.css 覆盖层，两套资源进前端工程，useTheme() 切换两个 &lt;link&gt; 的 href 并持久化；change_theme_data.ftl 与 /changeThemeData/ 端点随模板下线。</w:t>
      </w:r>
    </w:p>
    <w:p>
      <w:pPr>
        <w:pStyle w:val="Heading3"/>
      </w:pPr>
      <w:r>
        <w:t>6.9 代码分割与加载优化（迁移红利，写进验收）</w:t>
      </w:r>
    </w:p>
    <w:p>
      <w:r>
        <w:t>现状每个管理页全量加载 ~700KB JS（含 120KB dashboardDesign.js + 整套 analysisapi）。SPA 化后：</w:t>
      </w:r>
    </w:p>
    <w:p>
      <w:pPr>
        <w:pStyle w:val="ListBullet"/>
      </w:pPr>
      <w:r>
        <w:t>路由级动态 import；看板设计器、sqlpad、数据交换向导为异步 chunk；</w:t>
      </w:r>
    </w:p>
    <w:p>
      <w:pPr>
        <w:pStyle w:val="ListBullet"/>
      </w:pPr>
      <w:r>
        <w:t>analysisapi/analysislib 不进 npm，继续由后端 static 托管，设计器/预览页按需 &lt;script&gt; 注入（复用现有加载器）；</w:t>
      </w:r>
    </w:p>
    <w:p>
      <w:pPr>
        <w:pStyle w:val="ListBullet"/>
      </w:pPr>
      <w:r>
        <w:t>首屏目标：登录 + 主框架 + 一个列表页 &lt; 300KB gzip。</w:t>
      </w:r>
    </w:p>
    <w:p>
      <w:pPr>
        <w:pStyle w:val="Heading3"/>
      </w:pPr>
      <w:r>
        <w:t>6.10 重型模块专项策略（阶段五，按 5a/5b/5c 拆分）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子阶段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体量事实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策略</w:t>
            </w:r>
          </w:p>
        </w:tc>
      </w:tr>
      <w:tr>
        <w:tc>
          <w:tcPr>
            <w:tcW w:type="dxa" w:w="2160"/>
          </w:tcPr>
          <w:p>
            <w:r>
              <w:t>5a</w:t>
            </w:r>
          </w:p>
        </w:tc>
        <w:tc>
          <w:tcPr>
            <w:tcW w:type="dxa" w:w="2160"/>
          </w:tcPr>
          <w:p>
            <w:r>
              <w:t>数据交换（11+11 模板）+ URL 构建器</w:t>
            </w:r>
          </w:p>
        </w:tc>
        <w:tc>
          <w:tcPr>
            <w:tcW w:type="dxa" w:w="2160"/>
          </w:tcPr>
          <w:p>
            <w:r>
              <w:t>列映射 importKeys、子任务 start/suspend/resume/stop、**进度存 Session**（改进度轮询接口）、Zip 流式下载、裸 List 返回待统一</w:t>
            </w:r>
          </w:p>
        </w:tc>
        <w:tc>
          <w:tcPr>
            <w:tcW w:type="dxa" w:w="2160"/>
          </w:tcPr>
          <w:p>
            <w:r>
              <w:t>范式 C 向导页；`useSteps` + `useImportKeys`；先配合后端把 Session 进度改 JSON 轮询</w:t>
            </w:r>
          </w:p>
        </w:tc>
      </w:tr>
      <w:tr>
        <w:tc>
          <w:tcPr>
            <w:tcW w:type="dxa" w:w="2160"/>
          </w:tcPr>
          <w:p>
            <w:r>
              <w:t>5b</w:t>
            </w:r>
          </w:p>
        </w:tc>
        <w:tc>
          <w:tcPr>
            <w:tcW w:type="dxa" w:w="2160"/>
          </w:tcPr>
          <w:p>
            <w:r>
              <w:t>SQL 工作台 sqlpad（单 ftl 1316 行）+ dtbsSourceData</w:t>
            </w:r>
          </w:p>
        </w:tc>
        <w:tc>
          <w:tcPr>
            <w:tcW w:type="dxa" w:w="2160"/>
          </w:tcPr>
          <w:p>
            <w:r>
              <w:t>浏览器端完整 SQL 客户端：编辑器+服务端补全+执行+结果网格+历史；库表在线增删改、LOB/二进制列、HEX 工具</w:t>
            </w:r>
          </w:p>
        </w:tc>
        <w:tc>
          <w:tcPr>
            <w:tcW w:type="dxa" w:w="2160"/>
          </w:tcPr>
          <w:p>
            <w:r>
              <w:t>范式 C；`useSqlEditor` 先行（P2）；结果网格复用 usePagingTable 变体</w:t>
            </w:r>
          </w:p>
        </w:tc>
      </w:tr>
      <w:tr>
        <w:tc>
          <w:tcPr>
            <w:tcW w:type="dxa" w:w="2160"/>
          </w:tcPr>
          <w:p>
            <w:r>
              <w:t>5c</w:t>
            </w:r>
          </w:p>
        </w:tc>
        <w:tc>
          <w:tcPr>
            <w:tcW w:type="dxa" w:w="2160"/>
          </w:tcPr>
          <w:p>
            <w:r>
              <w:t>看板设计器（ftl ~3600 行 + dashboardDesign.js 120KB/437 函数）</w:t>
            </w:r>
          </w:p>
        </w:tc>
        <w:tc>
          <w:tcPr>
            <w:tcW w:type="dxa" w:w="2160"/>
          </w:tcPr>
          <w:p>
            <w:r>
              <w:t>属性面板单文件 2984 行；iframe 内就地支取编辑；拖拽插入图表</w:t>
            </w:r>
          </w:p>
        </w:tc>
        <w:tc>
          <w:tcPr>
            <w:tcW w:type="dxa" w:w="2160"/>
          </w:tcPr>
          <w:p>
            <w:r>
              <w:t>**两步走**：第一步"包装迁移"——设计器外壳 SPA 化，iframe 内编辑与 dashboardDesign.js 原样包装复用（保持 visual-editor-iframe 机制）；第二步视收益逐步把属性面板重写为 Vue 组件。**不做一次性重写**</w:t>
            </w:r>
          </w:p>
        </w:tc>
      </w:tr>
    </w:tbl>
    <w:p>
      <w:pPr>
        <w:pStyle w:val="Heading3"/>
      </w:pPr>
      <w:r>
        <w:t>6.11 不迁移清单（冻结面，与迁移清单同等重要）</w:t>
      </w:r>
    </w:p>
    <w:p>
      <w:r>
        <w:t>/dv/、/cv/、3 个 Compat 控制器旧公开 URL、/checkCode/、analysisapi 1.0/2.0、analysislib、builtInChartPlugins 运行时、看板心跳/数据端点、;jsessionid= 支持、frameOptions 禁用、数据集模板语言（freemarker，见 §3）。</w:t>
      </w:r>
    </w:p>
    <w:p>
      <w:pPr>
        <w:pStyle w:val="Heading2"/>
      </w:pPr>
      <w:r>
        <w:t>7. 实施计划（v2）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产出与验收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预估</w:t>
            </w:r>
          </w:p>
        </w:tc>
      </w:tr>
      <w:tr>
        <w:tc>
          <w:tcPr>
            <w:tcW w:type="dxa" w:w="2160"/>
          </w:tcPr>
          <w:p>
            <w:r>
              <w:t>**零：契约盘点**</w:t>
            </w:r>
          </w:p>
        </w:tc>
        <w:tc>
          <w:tcPr>
            <w:tcW w:type="dxa" w:w="2160"/>
          </w:tcPr>
          <w:p>
            <w:r>
              <w:t>扫描 32 控制器产出《端点契约盘点表》；写 api.md（响应体/错误码/分页/401 约定）与《不迁移清单》；OperationMessage 泛型化决议</w:t>
            </w:r>
          </w:p>
        </w:tc>
        <w:tc>
          <w:tcPr>
            <w:tcW w:type="dxa" w:w="2160"/>
          </w:tcPr>
          <w:p>
            <w:r>
              <w:t>盘点表评审通过</w:t>
            </w:r>
          </w:p>
        </w:tc>
        <w:tc>
          <w:tcPr>
            <w:tcW w:type="dxa" w:w="2160"/>
          </w:tcPr>
          <w:p>
            <w:r>
              <w:t>**3–5 天（新增）**</w:t>
            </w:r>
          </w:p>
        </w:tc>
      </w:tr>
      <w:tr>
        <w:tc>
          <w:tcPr>
            <w:tcW w:type="dxa" w:w="2160"/>
          </w:tcPr>
          <w:p>
            <w:r>
              <w:t>一：骨架</w:t>
            </w:r>
          </w:p>
        </w:tc>
        <w:tc>
          <w:tcPr>
            <w:tcW w:type="dxa" w:w="2160"/>
          </w:tcPr>
          <w:p>
            <w:r>
              <w:t>建 datagear-web-ui（Vite+TS+Router+Pinia+PrimeVue+Axios+vue-i18n）；打通登录、/api 代理、主布局+菜单、401 拦截；**POC 证伪 5 点**（Session 登录链路 / 302→JSON 兼容 / DataTable 懒加载↔PagingData / i18n 脚本 / 双主题换 link）</w:t>
            </w:r>
          </w:p>
        </w:tc>
        <w:tc>
          <w:tcPr>
            <w:tcW w:type="dxa" w:w="2160"/>
          </w:tcPr>
          <w:p>
            <w:r>
              <w:t>登录进主框架、菜单可点</w:t>
            </w:r>
          </w:p>
        </w:tc>
        <w:tc>
          <w:tcPr>
            <w:tcW w:type="dxa" w:w="2160"/>
          </w:tcPr>
          <w:p>
            <w:r>
              <w:t>1 周</w:t>
            </w:r>
          </w:p>
        </w:tc>
      </w:tr>
      <w:tr>
        <w:tc>
          <w:tcPr>
            <w:tcW w:type="dxa" w:w="2160"/>
          </w:tcPr>
          <w:p>
            <w:r>
              <w:t>二：后端 API 化</w:t>
            </w:r>
          </w:p>
        </w:tc>
        <w:tc>
          <w:tcPr>
            <w:tcW w:type="dxa" w:w="2160"/>
          </w:tcPr>
          <w:p>
            <w:r>
              <w:t>响应体统一（含裸返回改造）、meta 接口、/api 前缀、auth/me、分析项目显式化、登录 handler 预案</w:t>
            </w:r>
          </w:p>
        </w:tc>
        <w:tc>
          <w:tcPr>
            <w:tcW w:type="dxa" w:w="2160"/>
          </w:tcPr>
          <w:p>
            <w:r>
              <w:t>常规模块 CRUD/分页/meta 可用</w:t>
            </w:r>
          </w:p>
        </w:tc>
        <w:tc>
          <w:tcPr>
            <w:tcW w:type="dxa" w:w="2160"/>
          </w:tcPr>
          <w:p>
            <w:r>
              <w:t>**3–4 周**</w:t>
            </w:r>
          </w:p>
        </w:tc>
      </w:tr>
      <w:tr>
        <w:tc>
          <w:tcPr>
            <w:tcW w:type="dxa" w:w="2160"/>
          </w:tcPr>
          <w:p>
            <w:r>
              <w:t>三：模范模块</w:t>
            </w:r>
          </w:p>
        </w:tc>
        <w:tc>
          <w:tcPr>
            <w:tcW w:type="dxa" w:w="2160"/>
          </w:tcPr>
          <w:p>
            <w:r>
              <w:t>role + dataSet 全链路；**三种页面范式定型**；P0/P1 组合函数沉淀</w:t>
            </w:r>
          </w:p>
        </w:tc>
        <w:tc>
          <w:tcPr>
            <w:tcW w:type="dxa" w:w="2160"/>
          </w:tcPr>
          <w:p>
            <w:r>
              <w:t>两模块与旧版逐项一致、可回滚</w:t>
            </w:r>
          </w:p>
        </w:tc>
        <w:tc>
          <w:tcPr>
            <w:tcW w:type="dxa" w:w="2160"/>
          </w:tcPr>
          <w:p>
            <w:r>
              <w:t>2 周</w:t>
            </w:r>
          </w:p>
        </w:tc>
      </w:tr>
      <w:tr>
        <w:tc>
          <w:tcPr>
            <w:tcW w:type="dxa" w:w="2160"/>
          </w:tcPr>
          <w:p>
            <w:r>
              <w:t>四：批量迁移</w:t>
            </w:r>
          </w:p>
        </w:tc>
        <w:tc>
          <w:tcPr>
            <w:tcW w:type="dxa" w:w="2160"/>
          </w:tcPr>
          <w:p>
            <w:r>
              <w:t>数据源、图表、用户、授权、分析项目、驱动、文件源等</w:t>
            </w:r>
          </w:p>
        </w:tc>
        <w:tc>
          <w:tcPr>
            <w:tcW w:type="dxa" w:w="2160"/>
          </w:tcPr>
          <w:p>
            <w:r>
              <w:t>常规模块全量切 SPA</w:t>
            </w:r>
          </w:p>
        </w:tc>
        <w:tc>
          <w:tcPr>
            <w:tcW w:type="dxa" w:w="2160"/>
          </w:tcPr>
          <w:p>
            <w:r>
              <w:t>4–6 周</w:t>
            </w:r>
          </w:p>
        </w:tc>
      </w:tr>
      <w:tr>
        <w:tc>
          <w:tcPr>
            <w:tcW w:type="dxa" w:w="2160"/>
          </w:tcPr>
          <w:p>
            <w:r>
              <w:t>五：复杂模块</w:t>
            </w:r>
          </w:p>
        </w:tc>
        <w:tc>
          <w:tcPr>
            <w:tcW w:type="dxa" w:w="2160"/>
          </w:tcPr>
          <w:p>
            <w:r>
              <w:t>**5a 数据交换+URL 构建器；5b sqlpad+dtbsSourceData；5c 看板设计器（包装迁移）**</w:t>
            </w:r>
          </w:p>
        </w:tc>
        <w:tc>
          <w:tcPr>
            <w:tcW w:type="dxa" w:w="2160"/>
          </w:tcPr>
          <w:p>
            <w:r>
              <w:t>各子阶段独立验收</w:t>
            </w:r>
          </w:p>
        </w:tc>
        <w:tc>
          <w:tcPr>
            <w:tcW w:type="dxa" w:w="2160"/>
          </w:tcPr>
          <w:p>
            <w:r>
              <w:t>**8–12 周**</w:t>
            </w:r>
          </w:p>
        </w:tc>
      </w:tr>
      <w:tr>
        <w:tc>
          <w:tcPr>
            <w:tcW w:type="dxa" w:w="2160"/>
          </w:tcPr>
          <w:p>
            <w:r>
              <w:t>六：收敛下线</w:t>
            </w:r>
          </w:p>
        </w:tc>
        <w:tc>
          <w:tcPr>
            <w:tcW w:type="dxa" w:w="2160"/>
          </w:tcPr>
          <w:p>
            <w:r>
              <w:t>执行 §5.2 删除清单；嵌入方冒烟（iframe/密码分享/匿名/jsessionid）；双形态打包验证</w:t>
            </w:r>
          </w:p>
        </w:tc>
        <w:tc>
          <w:tcPr>
            <w:tcW w:type="dxa" w:w="2160"/>
          </w:tcPr>
          <w:p>
            <w:r>
              <w:t>视图层 FreeMarker 全删、前端全 Vite</w:t>
            </w:r>
          </w:p>
        </w:tc>
        <w:tc>
          <w:tcPr>
            <w:tcW w:type="dxa" w:w="2160"/>
          </w:tcPr>
          <w:p>
            <w:r>
              <w:t>1–2 周</w:t>
            </w:r>
          </w:p>
        </w:tc>
      </w:tr>
      <w:tr>
        <w:tc>
          <w:tcPr>
            <w:tcW w:type="dxa" w:w="2160"/>
          </w:tcPr>
          <w:p>
            <w:r>
              <w:t>七（可选）</w:t>
            </w:r>
          </w:p>
        </w:tc>
        <w:tc>
          <w:tcPr>
            <w:tcW w:type="dxa" w:w="2160"/>
          </w:tcPr>
          <w:p>
            <w:r>
              <w:t>JWT 演进（含匿名角色/jsessionid 等价物）、独立域名 CDN、多语言</w:t>
            </w:r>
          </w:p>
        </w:tc>
        <w:tc>
          <w:tcPr>
            <w:tcW w:type="dxa" w:w="2160"/>
          </w:tcPr>
          <w:p>
            <w:r>
              <w:t>视需求</w:t>
            </w:r>
          </w:p>
        </w:tc>
        <w:tc>
          <w:tcPr>
            <w:tcW w:type="dxa" w:w="2160"/>
          </w:tcPr>
          <w:p>
            <w:r>
              <w:t>视需求</w:t>
            </w:r>
          </w:p>
        </w:tc>
      </w:tr>
    </w:tbl>
    <w:p>
      <w:r>
        <w:t>总量：4–7 个月（2–4 人）；压缩手段为 5c 看板设计器专人并行。</w:t>
      </w:r>
    </w:p>
    <w:p>
      <w:pPr>
        <w:pStyle w:val="Heading2"/>
      </w:pPr>
      <w:r>
        <w:t>8. 验收与回归策略</w:t>
      </w:r>
    </w:p>
    <w:p>
      <w:pPr>
        <w:pStyle w:val="ListBullet"/>
      </w:pPr>
      <w:r>
        <w:t>里程碑门槛：M1 POC 5 证伪点全过；M2 模范模块功能逐项一致 + 范式文档化；M3 常规模块切完 + 接口 diff 测试（同操作打新旧接口比对响应）通过；M4 5a/5b/5c 各自验收；M5 旧入口下线 + 嵌入冒烟通过 + 首屏 &lt; 300KB gzip。</w:t>
      </w:r>
    </w:p>
    <w:p>
      <w:pPr>
        <w:pStyle w:val="ListBullet"/>
      </w:pPr>
      <w:r>
        <w:t>双轨机制：新旧入口并存期按菜单灰度；模块切换后旧模板保留一个迭代再删。</w:t>
      </w:r>
    </w:p>
    <w:p>
      <w:pPr>
        <w:pStyle w:val="ListBullet"/>
      </w:pPr>
      <w:r>
        <w:t>每模块一份页面级回归 checklist；阶段三起跑接口 diff。</w:t>
      </w:r>
    </w:p>
    <w:p>
      <w:pPr>
        <w:pStyle w:val="Heading2"/>
      </w:pPr>
      <w:r>
        <w:t>9. 风险登记册（Top 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缓解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多 Vue 应用嵌套架构平移失败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阶段三定型三范式，不定型不进入阶段四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看板设计器重写失控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包装迁移优先，属性面板分步重写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存量数据集 freemarker 语法被误伤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§3 隔离决策；datasettpl 不进改造范围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嵌入方契约破坏（旧 URL/jsessionid/匿名角色）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不迁移清单 + M5 嵌入冒烟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裸返回端点漏改导致契约不一致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阶段零盘点表兜底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i18n 漏翻（1873+167 处）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覆盖率脚本报告逐模块清零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Session 依赖漏网（9 项清单）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盘点表逐项标注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工期蔓延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5a/5b/5c 拆分独立排期；5c 可并行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