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proofErr w:type="spellStart"/>
            <w:r>
              <w:t>A</w:t>
            </w:r>
            <w:r w:rsidR="002D5A15">
              <w:t>anlyics</w:t>
            </w:r>
            <w:proofErr w:type="spellEnd"/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3D4429" w:rsidP="00A90237">
            <w:pPr>
              <w:pStyle w:val="FPTableLeft"/>
            </w:pPr>
            <w:r>
              <w:rPr>
                <w:sz w:val="32"/>
              </w:rPr>
              <w:t>14</w:t>
            </w:r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B35C75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B35C75">
        <w:rPr>
          <w:noProof/>
        </w:rPr>
        <w:t>1</w:t>
      </w:r>
      <w:r w:rsidR="00B35C75">
        <w:rPr>
          <w:noProof/>
        </w:rPr>
        <w:tab/>
        <w:t>ADA – Exam Paper Submission</w:t>
      </w:r>
      <w:r w:rsidR="00B35C75">
        <w:rPr>
          <w:noProof/>
        </w:rPr>
        <w:tab/>
      </w:r>
      <w:r w:rsidR="00B35C75">
        <w:rPr>
          <w:noProof/>
        </w:rPr>
        <w:fldChar w:fldCharType="begin"/>
      </w:r>
      <w:r w:rsidR="00B35C75">
        <w:rPr>
          <w:noProof/>
        </w:rPr>
        <w:instrText xml:space="preserve"> PAGEREF _Toc43127711 \h </w:instrText>
      </w:r>
      <w:r w:rsidR="00B35C75">
        <w:rPr>
          <w:noProof/>
        </w:rPr>
      </w:r>
      <w:r w:rsidR="00B35C75">
        <w:rPr>
          <w:noProof/>
        </w:rPr>
        <w:fldChar w:fldCharType="separate"/>
      </w:r>
      <w:r w:rsidR="00B35C75">
        <w:rPr>
          <w:noProof/>
        </w:rPr>
        <w:t>3</w:t>
      </w:r>
      <w:r w:rsidR="00B35C75"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bookmarkStart w:id="0" w:name="_GoBack"/>
      <w:bookmarkEnd w:id="0"/>
    </w:p>
    <w:p w:rsidR="003D4429" w:rsidRDefault="003D4429" w:rsidP="003D4429">
      <w:pPr>
        <w:pStyle w:val="Heading1"/>
      </w:pPr>
      <w:bookmarkStart w:id="1" w:name="_Toc43127711"/>
      <w:r>
        <w:lastRenderedPageBreak/>
        <w:t>ADA – Exam Paper Submission</w:t>
      </w:r>
      <w:bookmarkEnd w:id="1"/>
    </w:p>
    <w:p w:rsidR="003D4429" w:rsidRDefault="003D4429" w:rsidP="003D4429">
      <w:pPr>
        <w:pStyle w:val="Heading2"/>
      </w:pPr>
      <w:bookmarkStart w:id="2" w:name="_Toc43127712"/>
      <w:r>
        <w:t>Course Details</w:t>
      </w:r>
      <w:bookmarkEnd w:id="2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(B8IT109_1920_SME3_BHD08DNW)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E84CEA">
      <w:pPr>
        <w:pStyle w:val="Heading2"/>
      </w:pPr>
      <w:bookmarkStart w:id="3" w:name="_Toc43127713"/>
      <w:r>
        <w:t>Exam Declaration</w:t>
      </w:r>
      <w:bookmarkEnd w:id="3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3D4429" w:rsidRPr="003D4429" w:rsidRDefault="003D4429" w:rsidP="003D4429"/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  <w:r>
        <w:br w:type="page"/>
      </w:r>
    </w:p>
    <w:p w:rsidR="00186441" w:rsidRDefault="003B3E47" w:rsidP="00186441">
      <w:pPr>
        <w:pStyle w:val="Heading1"/>
      </w:pPr>
      <w:bookmarkStart w:id="4" w:name="_Toc43127714"/>
      <w:r>
        <w:lastRenderedPageBreak/>
        <w:t>Question One</w:t>
      </w:r>
      <w:bookmarkEnd w:id="4"/>
    </w:p>
    <w:p w:rsidR="00BD0919" w:rsidRDefault="003B3E47" w:rsidP="00A32475">
      <w:pPr>
        <w:pStyle w:val="Heading2"/>
      </w:pPr>
      <w:bookmarkStart w:id="5" w:name="_Toc43127715"/>
      <w:r>
        <w:t>Question 1 – from PDF</w:t>
      </w:r>
      <w:bookmarkEnd w:id="5"/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6" w:name="_Toc43127716"/>
      <w:r>
        <w:lastRenderedPageBreak/>
        <w:t>Output From RStudio Cloud Console</w:t>
      </w:r>
      <w:bookmarkEnd w:id="6"/>
    </w:p>
    <w:p w:rsidR="008618E5" w:rsidRDefault="008618E5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AF71A3" w:rsidRDefault="00AF71A3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F71A3" w:rsidRDefault="00AF71A3" w:rsidP="00D93BE7">
      <w:pPr>
        <w:pStyle w:val="HTMLPreformatted"/>
        <w:shd w:val="clear" w:color="auto" w:fill="FFFFFF"/>
        <w:wordWrap w:val="0"/>
        <w:ind w:left="1134"/>
      </w:pP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7" w:name="_Toc43127717"/>
      <w:r>
        <w:lastRenderedPageBreak/>
        <w:t>Question Two</w:t>
      </w:r>
      <w:bookmarkEnd w:id="7"/>
    </w:p>
    <w:p w:rsidR="00A82212" w:rsidRDefault="00240EE1" w:rsidP="00921320">
      <w:pPr>
        <w:pStyle w:val="Heading2"/>
      </w:pPr>
      <w:bookmarkStart w:id="8" w:name="_Toc43127718"/>
      <w:r>
        <w:t>Question 2 – from PDF</w:t>
      </w:r>
      <w:bookmarkEnd w:id="8"/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9" w:name="_Toc43127719"/>
      <w:r>
        <w:lastRenderedPageBreak/>
        <w:t>Output from RStudio Cloud Console</w:t>
      </w:r>
      <w:bookmarkEnd w:id="9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0" w:name="_Toc43127720"/>
      <w:r>
        <w:lastRenderedPageBreak/>
        <w:t>Question Three</w:t>
      </w:r>
      <w:bookmarkEnd w:id="10"/>
    </w:p>
    <w:p w:rsidR="00240EE1" w:rsidRDefault="00240EE1" w:rsidP="00240EE1">
      <w:pPr>
        <w:pStyle w:val="Heading2"/>
      </w:pPr>
      <w:bookmarkStart w:id="11" w:name="_Toc43127721"/>
      <w:r>
        <w:t xml:space="preserve">Question </w:t>
      </w:r>
      <w:r w:rsidR="00460E02">
        <w:t>3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3127722"/>
      <w:r>
        <w:lastRenderedPageBreak/>
        <w:t>Output from RStudio Cloud Console</w:t>
      </w:r>
      <w:bookmarkEnd w:id="12"/>
      <w:r>
        <w:t xml:space="preserve">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3" w:name="_Toc43127723"/>
      <w:r>
        <w:lastRenderedPageBreak/>
        <w:t>Question Four</w:t>
      </w:r>
      <w:bookmarkEnd w:id="13"/>
    </w:p>
    <w:p w:rsidR="00240EE1" w:rsidRDefault="00240EE1" w:rsidP="00240EE1">
      <w:pPr>
        <w:pStyle w:val="Heading2"/>
      </w:pPr>
      <w:bookmarkStart w:id="14" w:name="_Toc43127724"/>
      <w:r>
        <w:t xml:space="preserve">Question </w:t>
      </w:r>
      <w:r w:rsidR="00460E02">
        <w:t>4</w:t>
      </w:r>
      <w:r>
        <w:t xml:space="preserve"> – from PDF</w:t>
      </w:r>
      <w:bookmarkEnd w:id="14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5" w:name="_Toc43127725"/>
      <w:r>
        <w:lastRenderedPageBreak/>
        <w:t>Output from RStudio Cloud Console</w:t>
      </w:r>
      <w:bookmarkEnd w:id="15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A50DC7" w:rsidRDefault="00A50DC7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9DE" w:rsidRDefault="002D29DE">
      <w:r>
        <w:separator/>
      </w:r>
    </w:p>
  </w:endnote>
  <w:endnote w:type="continuationSeparator" w:id="0">
    <w:p w:rsidR="002D29DE" w:rsidRDefault="002D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F5313">
          <w:pPr>
            <w:pStyle w:val="Footer"/>
          </w:pPr>
          <w:r>
            <w:t>B8IT109 Advanced Data Analyti</w:t>
          </w:r>
          <w:r w:rsidR="001F5313">
            <w:t>c</w:t>
          </w:r>
          <w:r>
            <w:t xml:space="preserve">s  </w:t>
          </w:r>
          <w:r w:rsidR="001F5313">
            <w:t>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5C75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B35C7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F83116">
          <w:pPr>
            <w:pStyle w:val="Footer"/>
          </w:pPr>
          <w:r>
            <w:t xml:space="preserve">B8IT109 Advanced Data Analytics – </w:t>
          </w:r>
          <w:r w:rsidR="001F5313">
            <w:t>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5C75">
            <w:rPr>
              <w:noProof/>
            </w:rPr>
            <w:t>11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B35C7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9DE" w:rsidRDefault="002D29DE">
      <w:r>
        <w:separator/>
      </w:r>
    </w:p>
  </w:footnote>
  <w:footnote w:type="continuationSeparator" w:id="0">
    <w:p w:rsidR="002D29DE" w:rsidRDefault="002D2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</w:t>
          </w:r>
          <w:r w:rsidR="001F5313">
            <w:t>DA</w:t>
          </w:r>
          <w:r>
            <w:t xml:space="preserve"> </w:t>
          </w:r>
          <w:r w:rsidR="001F5313">
            <w:t xml:space="preserve">Exam Submission </w:t>
          </w:r>
          <w:r>
            <w:t xml:space="preserve">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262" w:rsidRDefault="005B3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29DE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3A3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DC7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AF71A3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C75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71B94A72-72E2-45FE-9FFF-3F9210BD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Exam</vt:lpstr>
    </vt:vector>
  </TitlesOfParts>
  <Company>BAE Systems Applied Intelligence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5</cp:revision>
  <cp:lastPrinted>2007-06-14T13:02:00Z</cp:lastPrinted>
  <dcterms:created xsi:type="dcterms:W3CDTF">2020-06-15T14:28:00Z</dcterms:created>
  <dcterms:modified xsi:type="dcterms:W3CDTF">2020-06-15T14:34:00Z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