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85cf4b9c04d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Easily Add Significance Testing to your Market Basket Analysis in  SAS® Enterprise Miner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Complete guide to Association Rules (1/2)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From Data and Information Analysis to Knowledge Engineering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2007 Innovations in Information Technologies (IIT)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551386531b4a11" /><Relationship Type="http://schemas.openxmlformats.org/officeDocument/2006/relationships/numbering" Target="/word/numbering.xml" Id="Rcdcab932289c454c" /><Relationship Type="http://schemas.openxmlformats.org/officeDocument/2006/relationships/settings" Target="/word/settings.xml" Id="R62967a22a1854130" /></Relationships>
</file>