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e3faebca00465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YouTube CEO Says Google Sees Free Speech as Core Value in Russia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YouTube says it’s better at removing videos that violate its rules, but those rules are in flux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YouTube puts human content moderators back to work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After sending content moderators home, YouTube doubled its video removals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—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#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Meta's New AI System to Help Tackle Harmful Content | Meta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Four: Headquarters (Published 2020)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One: Wonderland (Published 2020)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YouTube Community Guidelines and policies - How YouTube Works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#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2232d4b74f4e98" /><Relationship Type="http://schemas.openxmlformats.org/officeDocument/2006/relationships/numbering" Target="/word/numbering.xml" Id="R27d6e6ed796547e7" /><Relationship Type="http://schemas.openxmlformats.org/officeDocument/2006/relationships/settings" Target="/word/settings.xml" Id="R3ca925a9415d44c9" /></Relationships>
</file>