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c4fa4a582347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How the DOD is developing its AI ethics guidance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Pentagon adopts ethical principles for artificial intelligence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UK opposes international ban on developing 'killer robots'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Autonomous Weapons Systems Safety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‘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’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Arms Control Today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evolution of disruptive  technologies and lethal autonomous  weapons systems: considerations  from the military field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There's No Turning Back on AI in the Military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Killer Robots: Growing Support for a Ban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Robots Aren't Better Soldiers than Humans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'Killer robots': autonomous weapons pose moral dilemma | DW | 14.11.2017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d55a7fb5994135" /><Relationship Type="http://schemas.openxmlformats.org/officeDocument/2006/relationships/numbering" Target="/word/numbering.xml" Id="Rc821865511a44a4d" /><Relationship Type="http://schemas.openxmlformats.org/officeDocument/2006/relationships/settings" Target="/word/settings.xml" Id="R278249ee45bd4c28" /></Relationships>
</file>