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1a36b48e144d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Beer Embedding Visualization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Quick visualization &amp; analysis of Homebrew Recipes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2021 8th Swiss Conference on Data Science (SDS)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Hops, skip &amp; a Jump: The regional uniqueness of beer styles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Beer Recipe Exploratory Analysis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10e9a89f6e4faa" /><Relationship Type="http://schemas.openxmlformats.org/officeDocument/2006/relationships/numbering" Target="/word/numbering.xml" Id="R7127e05e44c7463b" /><Relationship Type="http://schemas.openxmlformats.org/officeDocument/2006/relationships/settings" Target="/word/settings.xml" Id="Rac546d9b453e4933" /></Relationships>
</file>