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240" w:type="dxa"/>
              <w:bottom w:w="240" w:type="dxa"/>
              <w:start w:w="240" w:type="dxa"/>
              <w:end w:w="240" w:type="dxa"/>
              <w:left w:w="240" w:type="dxa"/>
              <w:right w:w="240" w:type="dxa"/>
            </w:tcMar>
          </w:tcPr>
          <w:p>
            <w:pPr>
              <w:spacing w:after="40"/>
            </w:pPr>
            <w:r>
              <w:rPr>
                <w:b/>
                <w:color w:val="AEB9DA"/>
                <w:sz w:val="21"/>
              </w:rPr>
              <w:t>EPIC TEST SUITE  •  DXV-FRE</w:t>
            </w:r>
          </w:p>
          <w:p>
            <w:pPr>
              <w:spacing w:after="40"/>
            </w:pPr>
            <w:r>
              <w:rPr>
                <w:b/>
                <w:color w:val="FFFFFF"/>
                <w:sz w:val="44"/>
              </w:rPr>
              <w:t>DXV — Data Exchange Vault</w:t>
            </w:r>
          </w:p>
          <w:p>
            <w:r>
              <w:rPr>
                <w:i/>
                <w:color w:val="C9D2EC"/>
                <w:sz w:val="24"/>
              </w:rPr>
              <w:t>AML Data Ingestion · Feedback (Quarantine Export)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Pipeline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 Key</w:t>
            </w:r>
          </w:p>
        </w:tc>
        <w:tc>
          <w:tcPr>
            <w:tcW w:type="dxa" w:w="266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1.0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66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Software Test Engineering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User Stories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10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Total Test Cases</w:t>
            </w:r>
          </w:p>
        </w:tc>
        <w:tc>
          <w:tcPr>
            <w:tcW w:type="dxa" w:w="266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62</w:t>
            </w:r>
          </w:p>
        </w:tc>
      </w:tr>
      <w:tr>
        <w:tc>
          <w:tcPr>
            <w:tcW w:type="dxa" w:w="230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Total Test Steps</w:t>
            </w:r>
          </w:p>
        </w:tc>
        <w:tc>
          <w:tcPr>
            <w:tcW w:type="dxa" w:w="2880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175</w:t>
            </w:r>
          </w:p>
        </w:tc>
        <w:tc>
          <w:tcPr>
            <w:tcW w:type="dxa" w:w="2448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Generated</w:t>
            </w:r>
          </w:p>
        </w:tc>
        <w:tc>
          <w:tcPr>
            <w:tcW w:type="dxa" w:w="2664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2026-06-11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Suite Summary</w:t>
      </w:r>
    </w:p>
    <w:p>
      <w:pPr>
        <w:jc w:val="both"/>
      </w:pPr>
      <w:r>
        <w:rPr>
          <w:sz w:val="21"/>
        </w:rPr>
        <w:t>Integration test suite for the DXV failed-record-export pipeline stage. This stage exports validation failures from Iceberg quarantine tables to MinIO as delimiter-separated files, together with acquisition success / error envelope flag files, using the same data contract and process_date as the wider AML flow. The suite below decomposes the stage into discrete functional and non-functional areas, each captured as an Agile User Story with executable, data-driven test cases.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In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Covered by this suite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Pipeline invocation, parameter resolution and configuration precedence.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Reading Iceberg quarantine tables and per-table iteration / skip behaviour.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Output path resolution, normalisation and ORG_UNIT prefixing.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Generation of the three data exports (clean bad, aggregated, detailed).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Envelope flag-file semantics (acq_success vs envelope_error).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Export format, delimiter and header handling (csv/txt/pipe/gs).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RFFilespec headerless alignment.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Storage behaviour, .keep markers and *.zip.flag naming conventions.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Downstream DXV integration and ingest-key alignment.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Non-functional qualities: performance, reliability, security, compatibility.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Out of Scope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Explicitly excluded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Upstream data-validation logic that places rows into quarantine.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DXV-side archiving and routing of picked-up files.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Outbound PGP encryption implementation (only its file-selection contract).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Provisioning of MinIO / Iceberg infrastructure.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Test Environment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5184"/>
        <w:gridCol w:w="5184"/>
      </w:tblGrid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3C4A66"/>
                <w:sz w:val="19"/>
              </w:rPr>
              <w:t>Object store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MinIO (flow-wide bucket + credentials)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3C4A66"/>
                <w:sz w:val="19"/>
              </w:rPr>
              <w:t>Table format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Apache Iceberg quarantine tables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3C4A66"/>
                <w:sz w:val="19"/>
              </w:rPr>
              <w:t>Runner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pipeline.run_pipeline("failed-record-export", ...)</w:t>
            </w:r>
          </w:p>
        </w:tc>
      </w:tr>
      <w:tr>
        <w:tc>
          <w:tcPr>
            <w:tcW w:type="dxa" w:w="3312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3C4A66"/>
                <w:sz w:val="19"/>
              </w:rPr>
              <w:t>Key env vars</w:t>
            </w:r>
          </w:p>
        </w:tc>
        <w:tc>
          <w:tcPr>
            <w:tcW w:type="dxa" w:w="6984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ORG_UNIT (optional), WORKSPACE_ID, CATALOG</w:t>
            </w:r>
          </w:p>
        </w:tc>
      </w:tr>
      <w:tr>
        <w:tc>
          <w:tcPr>
            <w:tcW w:type="dxa" w:w="3312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3C4A66"/>
                <w:sz w:val="19"/>
              </w:rPr>
              <w:t>Process date</w:t>
            </w:r>
          </w:p>
        </w:tc>
        <w:tc>
          <w:tcPr>
            <w:tcW w:type="dxa" w:w="6984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process_date in YYYYMMDD</w:t>
            </w:r>
          </w:p>
        </w:tc>
      </w:tr>
    </w:tbl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User Story Index &amp; Traceability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656"/>
            <w:shd w:val="clear" w:color="auto" w:fill="1F2A56"/>
            <w:tcMar>
              <w:top w:w="55" w:type="dxa"/>
              <w:bottom w:w="55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type="dxa" w:w="4104"/>
            <w:shd w:val="clear" w:color="auto" w:fill="1F2A56"/>
            <w:tcMar>
              <w:top w:w="55" w:type="dxa"/>
              <w:bottom w:w="55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Functional Area / Title</w:t>
            </w:r>
          </w:p>
        </w:tc>
        <w:tc>
          <w:tcPr>
            <w:tcW w:type="dxa" w:w="2808"/>
            <w:shd w:val="clear" w:color="auto" w:fill="1F2A56"/>
            <w:tcMar>
              <w:top w:w="55" w:type="dxa"/>
              <w:bottom w:w="55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Epic Theme</w:t>
            </w:r>
          </w:p>
        </w:tc>
        <w:tc>
          <w:tcPr>
            <w:tcW w:type="dxa" w:w="864"/>
            <w:shd w:val="clear" w:color="auto" w:fill="1F2A56"/>
            <w:tcMar>
              <w:top w:w="55" w:type="dxa"/>
              <w:bottom w:w="55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TCs</w:t>
            </w:r>
          </w:p>
        </w:tc>
        <w:tc>
          <w:tcPr>
            <w:tcW w:type="dxa" w:w="864"/>
            <w:shd w:val="clear" w:color="auto" w:fill="1F2A56"/>
            <w:tcMar>
              <w:top w:w="55" w:type="dxa"/>
              <w:bottom w:w="55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</w:t>
            </w:r>
          </w:p>
        </w:tc>
      </w:tr>
      <w:tr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DXV-FRE-001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Invoke the failed-record-export pipeline with correct parameter resolution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Pipeline Orchestration &amp; Configuration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DXV-FRE-002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Read Iceberg quarantine tables and iterate contract tables safely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Quarantine Source Acquisition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DXV-FRE-003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Resolve, normalise and prefix output object paths correctly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Output Layout &amp; Object Keys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DXV-FRE-004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Generate clean-bad, aggregated and detailed export files correctly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Data Export Content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DXV-FRE-005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Emit the correct acquisition success / error envelope flag per run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Feedback Flags &amp; Envelope Semantics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DXV-FRE-006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Apply export file_format, separator and header rules correctly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Writer Format &amp; Delimiters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DXV-FRE-007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Align headerless export shape with RFFilespec ingest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RFFilespec / Headerless Compatibility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Medi</w:t>
            </w:r>
          </w:p>
        </w:tc>
      </w:tr>
      <w:tr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DXV-FRE-008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Write .keep prefix markers and apply *.zip.flag naming conventions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Object-Store Behaviour &amp; Naming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DXV-FRE-009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Integrate exports with DXV pickup and align resubmit keys with ingest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Downstream Integration &amp; Round-Trip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074"/>
            <w:shd w:val="clear" w:color="auto" w:fill="EEF1F8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  <w:tr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b/>
                <w:color w:val="2E3C74"/>
                <w:sz w:val="18"/>
              </w:rPr>
              <w:t>DXV-FRE-010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sz w:val="18"/>
              </w:rPr>
              <w:t>Validate non-functional qualities of the quarantine export stage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C4A66"/>
                <w:sz w:val="17"/>
              </w:rPr>
              <w:t>Non-Functional Quality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074"/>
            <w:shd w:val="clear" w:color="auto" w:fill="FFFFFF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How to Use This Suite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296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Each User Story is delivered as a standalone Word (.docx) document and a parallel Markdown (.md) file with identical content. The Markdown files carry YAML front matter and are intended for automated import into Atlassian JIRA Cloud.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Execute the test cases in the order presented within each story. 'Happy Path' cases establish baseline behaviour; 'Negative', 'Boundary', 'Security' and 'Non-Functional' cases probe edges, failure handling and quality attributes.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Substitute the example test-data values (process_date, table names, paths, thresholds) with values appropriate to your environment and SLAs before execution.</w:t>
            </w:r>
          </w:p>
        </w:tc>
      </w:tr>
    </w:tbl>
    <w:p>
      <w:pPr>
        <w:spacing w:after="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Source: feedback-quarantine-export.md  —  generated 2026-06-11.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>
      <w:rPr>
        <w:color w:val="6B7280"/>
        <w:sz w:val="16"/>
      </w:rPr>
      <w:t>DXV Feedback (Quarantine Export) — Test Suite Overview   •   DXV-FRE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