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368"/>
            <w:shd w:val="clear" w:color="auto" w:fill="1F2A56"/>
            <w:tcMar>
              <w:top w:w="180" w:type="dxa"/>
              <w:bottom w:w="180" w:type="dxa"/>
              <w:start w:w="220" w:type="dxa"/>
              <w:end w:w="220" w:type="dxa"/>
              <w:left w:w="220" w:type="dxa"/>
              <w:right w:w="22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AEB9DA"/>
                <w:sz w:val="20"/>
              </w:rPr>
              <w:t>USER STORY  •  DXV-FRE-005</w:t>
            </w:r>
          </w:p>
          <w:p>
            <w:pPr>
              <w:spacing w:before="0" w:after="40"/>
            </w:pPr>
            <w:r>
              <w:rPr>
                <w:rFonts w:ascii="Calibri" w:hAnsi="Calibri"/>
                <w:b/>
                <w:color w:val="FFFFFF"/>
                <w:sz w:val="36"/>
              </w:rPr>
              <w:t>Emit the correct acquisition success / error envelope flag per run</w:t>
            </w:r>
          </w:p>
          <w:p>
            <w:pPr>
              <w:spacing w:before="0"/>
            </w:pPr>
            <w:r>
              <w:rPr>
                <w:i/>
                <w:color w:val="C9D2EC"/>
                <w:sz w:val="19"/>
              </w:rPr>
              <w:t>Epic: Feedback Flags &amp; Envelope Semantics   |   DXV Feedback (Quarantine Export)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Story Key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EEF1F8"/>
          </w:tcPr>
          <w:p>
            <w:pPr>
              <w:spacing w:after="0"/>
            </w:pPr>
            <w:r>
              <w:rPr>
                <w:color w:val="23272F"/>
                <w:sz w:val="19"/>
              </w:rPr>
              <w:t>DXV-FRE-005</w:t>
            </w:r>
          </w:p>
        </w:tc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2088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EEF1F8"/>
          </w:tcPr>
          <w:p>
            <w:pPr>
              <w:spacing w:after="0"/>
            </w:pPr>
            <w:r>
              <w:rPr>
                <w:b/>
                <w:color w:val="B3261E"/>
                <w:sz w:val="17"/>
                <w:shd w:val="clear" w:color="auto" w:fill="FCE9E9"/>
              </w:rPr>
              <w:t xml:space="preserve">  Highest  </w:t>
            </w:r>
          </w:p>
        </w:tc>
      </w:tr>
      <w:tr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Epic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F6F8FC"/>
          </w:tcPr>
          <w:p>
            <w:pPr>
              <w:spacing w:after="0"/>
            </w:pPr>
            <w:r>
              <w:rPr>
                <w:color w:val="23272F"/>
                <w:sz w:val="19"/>
              </w:rPr>
              <w:t>Feedback Flags &amp; Envelope Semantics</w:t>
            </w:r>
          </w:p>
        </w:tc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Story Points</w:t>
            </w:r>
          </w:p>
        </w:tc>
        <w:tc>
          <w:tcPr>
            <w:tcW w:type="dxa" w:w="2088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F6F8FC"/>
          </w:tcPr>
          <w:p>
            <w:pPr>
              <w:spacing w:after="0"/>
            </w:pPr>
            <w:r>
              <w:rPr>
                <w:color w:val="23272F"/>
                <w:sz w:val="19"/>
              </w:rPr>
              <w:t>5</w:t>
            </w:r>
          </w:p>
        </w:tc>
      </w:tr>
      <w:tr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Components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EEF1F8"/>
          </w:tcPr>
          <w:p>
            <w:pPr>
              <w:spacing w:after="0"/>
            </w:pPr>
            <w:r>
              <w:rPr>
                <w:color w:val="23272F"/>
                <w:sz w:val="19"/>
              </w:rPr>
              <w:t>failed-record-export</w:t>
            </w:r>
          </w:p>
        </w:tc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Issue Type</w:t>
            </w:r>
          </w:p>
        </w:tc>
        <w:tc>
          <w:tcPr>
            <w:tcW w:type="dxa" w:w="2088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EEF1F8"/>
          </w:tcPr>
          <w:p>
            <w:pPr>
              <w:spacing w:after="0"/>
            </w:pPr>
            <w:r>
              <w:rPr>
                <w:color w:val="23272F"/>
                <w:sz w:val="19"/>
              </w:rPr>
              <w:t>Story</w:t>
            </w:r>
          </w:p>
        </w:tc>
      </w:tr>
      <w:tr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Labels</w:t>
            </w:r>
          </w:p>
        </w:tc>
        <w:tc>
          <w:tcPr>
            <w:tcW w:type="dxa" w:w="4320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F6F8FC"/>
          </w:tcPr>
          <w:p>
            <w:pPr>
              <w:spacing w:after="0"/>
            </w:pPr>
            <w:r>
              <w:rPr>
                <w:color w:val="23272F"/>
                <w:sz w:val="19"/>
              </w:rPr>
              <w:t>dxv, failed-record-export, flags, envelope, integration</w:t>
            </w:r>
          </w:p>
        </w:tc>
        <w:tc>
          <w:tcPr>
            <w:tcW w:type="dxa" w:w="1944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2E3C74"/>
          </w:tcPr>
          <w:p>
            <w:pPr>
              <w:spacing w:after="0"/>
            </w:pPr>
            <w:r>
              <w:rPr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2088"/>
            <w:tcMar>
              <w:top w:w="60" w:type="dxa"/>
              <w:bottom w:w="60" w:type="dxa"/>
              <w:start w:w="120" w:type="dxa"/>
              <w:end w:w="120" w:type="dxa"/>
              <w:left w:w="120" w:type="dxa"/>
              <w:right w:w="120" w:type="dxa"/>
            </w:tcMar>
            <w:vAlign w:val="center"/>
            <w:shd w:val="clear" w:color="auto" w:fill="F6F8FC"/>
          </w:tcPr>
          <w:p>
            <w:pPr>
              <w:spacing w:after="0"/>
            </w:pPr>
            <w:r>
              <w:rPr>
                <w:color w:val="23272F"/>
                <w:sz w:val="19"/>
              </w:rPr>
              <w:t>Ready for Test</w:t>
            </w:r>
          </w:p>
        </w:tc>
      </w:tr>
    </w:tbl>
    <w:p>
      <w:pPr>
        <w:spacing w:after="4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User 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AF1FB"/>
            <w:tcBorders>
              <w:left w:val="single" w:sz="24" w:space="0" w:color="2E6FD6"/>
            </w:tcBorders>
            <w:tcMar>
              <w:top w:w="120" w:type="dxa"/>
              <w:bottom w:w="120" w:type="dxa"/>
              <w:start w:w="180" w:type="dxa"/>
              <w:end w:w="160" w:type="dxa"/>
              <w:left w:w="180" w:type="dxa"/>
              <w:right w:w="160" w:type="dxa"/>
            </w:tcMar>
          </w:tcPr>
          <w:p>
            <w:pPr>
              <w:spacing w:after="80"/>
            </w:pPr>
            <w:r>
              <w:rPr>
                <w:color w:val="2A2F3A"/>
                <w:sz w:val="20"/>
              </w:rPr>
              <w:t>As a file-based automation owner</w:t>
            </w:r>
          </w:p>
          <w:p>
            <w:pPr>
              <w:spacing w:after="80"/>
            </w:pPr>
            <w:r>
              <w:rPr>
                <w:color w:val="2A2F3A"/>
                <w:sz w:val="20"/>
              </w:rPr>
              <w:t>I want exactly one envelope flag file per run that states whether the acquisition succeeded cleanly or had validation failures</w:t>
            </w:r>
          </w:p>
          <w:p>
            <w:pPr>
              <w:spacing w:after="0"/>
            </w:pPr>
            <w:r>
              <w:rPr>
                <w:color w:val="2A2F3A"/>
                <w:sz w:val="20"/>
              </w:rPr>
              <w:t>so that downstream DXV file-based automation can trigger the correct branch (success vs error handling) from a single, predictable trigger file.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Description</w:t>
      </w:r>
    </w:p>
    <w:p>
      <w:pPr>
        <w:spacing w:after="120"/>
        <w:jc w:val="both"/>
      </w:pPr>
      <w:r>
        <w:rPr>
          <w:sz w:val="21"/>
        </w:rPr>
        <w:t>Every run produces exactly one envelope flag. When NO quarantine rows were exported (i.e. no table had failures), the stage writes acq_success_{YYYYMMDD}.zip.flag. When ANY table had failures, it instead writes envelope_error_{YYYYMMDD}.zip.flag. The two are mutually exclusive — one flag per run — using DXV-compatible naming.</w:t>
      </w:r>
    </w:p>
    <w:p>
      <w:pPr>
        <w:spacing w:after="120"/>
        <w:jc w:val="both"/>
      </w:pPr>
      <w:r>
        <w:rPr>
          <w:sz w:val="21"/>
        </w:rPr>
        <w:t>The envelope_error flag body is text, with one failure summary per line in the form: {table_name}_{DDMMYYYY}, {reason}, {count}. The first column is the logical table name plus the processing date in DDMMYYYY (e.g. customer_13032026 for 13 March 2026). The reason comes from the validation result (error_type and field_name, space-separated). If validation_errors cannot be exploded for a table, a single fallback line uses the row count instead.</w:t>
      </w:r>
    </w:p>
    <w:p>
      <w:pPr>
        <w:spacing w:after="120"/>
        <w:jc w:val="both"/>
      </w:pPr>
      <w:r>
        <w:rPr>
          <w:sz w:val="21"/>
        </w:rPr>
        <w:t>The acq_success flag body is a single newline, kept that way for DXV-style trigger compatibility. The exact payload should be treated as part of the integration contract with downstream pickup. Both flags are written under the feedback root for the date.</w:t>
      </w: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Key Terms &amp; Behaviour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5184"/>
        <w:gridCol w:w="5184"/>
      </w:tblGrid>
      <w:tr>
        <w:tc>
          <w:tcPr>
            <w:tcW w:type="dxa" w:w="3312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acq_success flag</w:t>
            </w:r>
          </w:p>
        </w:tc>
        <w:tc>
          <w:tcPr>
            <w:tcW w:type="dxa" w:w="698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acq_success_{YYYYMMDD}.zip.flag — written when NO quarantine rows exported.</w:t>
            </w:r>
          </w:p>
        </w:tc>
      </w:tr>
      <w:tr>
        <w:tc>
          <w:tcPr>
            <w:tcW w:type="dxa" w:w="3312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envelope_error flag</w:t>
            </w:r>
          </w:p>
        </w:tc>
        <w:tc>
          <w:tcPr>
            <w:tcW w:type="dxa" w:w="6984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envelope_error_{YYYYMMDD}.zip.flag — written when ANY table had failures.</w:t>
            </w:r>
          </w:p>
        </w:tc>
      </w:tr>
      <w:tr>
        <w:tc>
          <w:tcPr>
            <w:tcW w:type="dxa" w:w="3312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One per run</w:t>
            </w:r>
          </w:p>
        </w:tc>
        <w:tc>
          <w:tcPr>
            <w:tcW w:type="dxa" w:w="698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The two flags are mutually exclusive; exactly one is emitted.</w:t>
            </w:r>
          </w:p>
        </w:tc>
      </w:tr>
      <w:tr>
        <w:tc>
          <w:tcPr>
            <w:tcW w:type="dxa" w:w="3312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error line format</w:t>
            </w:r>
          </w:p>
        </w:tc>
        <w:tc>
          <w:tcPr>
            <w:tcW w:type="dxa" w:w="6984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{table_name}_{DDMMYYYY}, {reason}, {count}</w:t>
            </w:r>
          </w:p>
        </w:tc>
      </w:tr>
      <w:tr>
        <w:tc>
          <w:tcPr>
            <w:tcW w:type="dxa" w:w="3312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Date in line</w:t>
            </w:r>
          </w:p>
        </w:tc>
        <w:tc>
          <w:tcPr>
            <w:tcW w:type="dxa" w:w="698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DDMMYYYY (e.g. customer_13032026), distinct from the YYYYMMDD in the filename.</w:t>
            </w:r>
          </w:p>
        </w:tc>
      </w:tr>
      <w:tr>
        <w:tc>
          <w:tcPr>
            <w:tcW w:type="dxa" w:w="3312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Reason</w:t>
            </w:r>
          </w:p>
        </w:tc>
        <w:tc>
          <w:tcPr>
            <w:tcW w:type="dxa" w:w="6984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sz w:val="19"/>
              </w:rPr>
              <w:t>error_type and field_name, space-separated; fallback line uses count when errors cannot be exploded.</w:t>
            </w:r>
          </w:p>
        </w:tc>
      </w:tr>
      <w:tr>
        <w:tc>
          <w:tcPr>
            <w:tcW w:type="dxa" w:w="3312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acq_success body</w:t>
            </w:r>
          </w:p>
        </w:tc>
        <w:tc>
          <w:tcPr>
            <w:tcW w:type="dxa" w:w="698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A single newline (exact payload is part of the integration contract).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Acceptance Criteria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CF7EE"/>
            <w:tcBorders>
              <w:left w:val="single" w:sz="24" w:space="0" w:color="2E9E4F"/>
            </w:tcBorders>
            <w:tcMar>
              <w:top w:w="120" w:type="dxa"/>
              <w:bottom w:w="130" w:type="dxa"/>
              <w:start w:w="180" w:type="dxa"/>
              <w:end w:w="160" w:type="dxa"/>
              <w:left w:w="180" w:type="dxa"/>
              <w:right w:w="160" w:type="dxa"/>
            </w:tcMar>
          </w:tcPr>
          <w:p>
            <w:pPr>
              <w:spacing w:after="120"/>
            </w:pPr>
            <w:r>
              <w:rPr>
                <w:b/>
                <w:color w:val="2E9E4F"/>
                <w:sz w:val="21"/>
              </w:rPr>
              <w:t>Definition of Done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1.  </w:t>
            </w:r>
            <w:r>
              <w:rPr>
                <w:color w:val="2A2F3A"/>
                <w:sz w:val="20"/>
              </w:rPr>
              <w:t>A run with zero exported quarantine rows writes acq_success_{YYYYMMDD}.zip.flag and no envelope_error flag.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2.  </w:t>
            </w:r>
            <w:r>
              <w:rPr>
                <w:color w:val="2A2F3A"/>
                <w:sz w:val="20"/>
              </w:rPr>
              <w:t>A run where at least one table had failures writes envelope_error_{YYYYMMDD}.zip.flag and no acq_success flag.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3.  </w:t>
            </w:r>
            <w:r>
              <w:rPr>
                <w:color w:val="2A2F3A"/>
                <w:sz w:val="20"/>
              </w:rPr>
              <w:t>Never are both flags present for the same run.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4.  </w:t>
            </w:r>
            <w:r>
              <w:rPr>
                <w:color w:val="2A2F3A"/>
                <w:sz w:val="20"/>
              </w:rPr>
              <w:t>Each envelope_error line is '{table_name}_{DDMMYYYY}, {reason}, {count}' with the date in DDMMYYYY.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5.  </w:t>
            </w:r>
            <w:r>
              <w:rPr>
                <w:color w:val="2A2F3A"/>
                <w:sz w:val="20"/>
              </w:rPr>
              <w:t>A table whose errors cannot be exploded contributes a single fallback line using the row count.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6.  </w:t>
            </w:r>
            <w:r>
              <w:rPr>
                <w:color w:val="2A2F3A"/>
                <w:sz w:val="20"/>
              </w:rPr>
              <w:t>The acq_success flag body is exactly a single newline.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2E9E4F"/>
                <w:sz w:val="20"/>
              </w:rPr>
              <w:t xml:space="preserve">7.  </w:t>
            </w:r>
            <w:r>
              <w:rPr>
                <w:color w:val="2A2F3A"/>
                <w:sz w:val="20"/>
              </w:rPr>
              <w:t>Flag filename uses YYYYMMDD while the in-body first column uses DDMMYYYY.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Recommended Test Data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5184"/>
        <w:gridCol w:w="5184"/>
      </w:tblGrid>
      <w:tr>
        <w:tc>
          <w:tcPr>
            <w:tcW w:type="dxa" w:w="3312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process_date</w:t>
            </w:r>
          </w:p>
        </w:tc>
        <w:tc>
          <w:tcPr>
            <w:tcW w:type="dxa" w:w="698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20260313  (filename uses 20260313)</w:t>
            </w:r>
          </w:p>
        </w:tc>
      </w:tr>
      <w:tr>
        <w:tc>
          <w:tcPr>
            <w:tcW w:type="dxa" w:w="3312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In-body date</w:t>
            </w:r>
          </w:p>
        </w:tc>
        <w:tc>
          <w:tcPr>
            <w:tcW w:type="dxa" w:w="6984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13032026  (DDMMYYYY for 13 March 2026)</w:t>
            </w:r>
          </w:p>
        </w:tc>
      </w:tr>
      <w:tr>
        <w:tc>
          <w:tcPr>
            <w:tcW w:type="dxa" w:w="3312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Success flag name</w:t>
            </w:r>
          </w:p>
        </w:tc>
        <w:tc>
          <w:tcPr>
            <w:tcW w:type="dxa" w:w="698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acq_success_20260313.zip.flag</w:t>
            </w:r>
          </w:p>
        </w:tc>
      </w:tr>
      <w:tr>
        <w:tc>
          <w:tcPr>
            <w:tcW w:type="dxa" w:w="3312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Error flag name</w:t>
            </w:r>
          </w:p>
        </w:tc>
        <w:tc>
          <w:tcPr>
            <w:tcW w:type="dxa" w:w="6984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envelope_error_20260313.zip.flag</w:t>
            </w:r>
          </w:p>
        </w:tc>
      </w:tr>
      <w:tr>
        <w:tc>
          <w:tcPr>
            <w:tcW w:type="dxa" w:w="3312"/>
            <w:shd w:val="clear" w:color="auto" w:fill="E8ECF6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Error line example</w:t>
            </w:r>
          </w:p>
        </w:tc>
        <w:tc>
          <w:tcPr>
            <w:tcW w:type="dxa" w:w="6984"/>
            <w:shd w:val="clear" w:color="auto" w:fill="FFFFFF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customer_13032026, null_check customer_id, 12</w:t>
            </w:r>
          </w:p>
        </w:tc>
      </w:tr>
      <w:tr>
        <w:tc>
          <w:tcPr>
            <w:tcW w:type="dxa" w:w="3312"/>
            <w:shd w:val="clear" w:color="auto" w:fill="F2F5FB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3C4A66"/>
                <w:sz w:val="19"/>
              </w:rPr>
              <w:t>Fallback line example</w:t>
            </w:r>
          </w:p>
        </w:tc>
        <w:tc>
          <w:tcPr>
            <w:tcW w:type="dxa" w:w="6984"/>
            <w:shd w:val="clear" w:color="auto" w:fill="FAFBFE"/>
            <w:tcMar>
              <w:top w:w="50" w:type="dxa"/>
              <w:bottom w:w="50" w:type="dxa"/>
              <w:start w:w="120" w:type="dxa"/>
              <w:end w:w="12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account_13032026, 7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2E3C74"/>
          <w:sz w:val="26"/>
        </w:rPr>
        <w:t>Global Preconditions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FDF3E7"/>
            <w:tcBorders>
              <w:left w:val="single" w:sz="24" w:space="0" w:color="D9822B"/>
            </w:tcBorders>
            <w:tcMar>
              <w:top w:w="120" w:type="dxa"/>
              <w:bottom w:w="130" w:type="dxa"/>
              <w:start w:w="180" w:type="dxa"/>
              <w:end w:w="160" w:type="dxa"/>
              <w:left w:w="180" w:type="dxa"/>
              <w:right w:w="160" w:type="dxa"/>
            </w:tcMar>
          </w:tcPr>
          <w:p>
            <w:pPr>
              <w:spacing w:after="120"/>
            </w:pPr>
            <w:r>
              <w:rPr>
                <w:b/>
                <w:color w:val="D9822B"/>
                <w:sz w:val="21"/>
              </w:rPr>
              <w:t>Environment &amp; Setup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D9822B"/>
                <w:sz w:val="20"/>
              </w:rPr>
              <w:t xml:space="preserve">•  </w:t>
            </w:r>
            <w:r>
              <w:rPr>
                <w:color w:val="2A2F3A"/>
                <w:sz w:val="20"/>
              </w:rPr>
              <w:t>Quarantine sources are seeded to match the success/error scenario under test.</w:t>
            </w:r>
          </w:p>
          <w:p>
            <w:pPr>
              <w:spacing w:after="60"/>
              <w:ind w:left="259" w:hanging="259"/>
            </w:pPr>
            <w:r>
              <w:rPr>
                <w:b/>
                <w:color w:val="D9822B"/>
                <w:sz w:val="20"/>
              </w:rPr>
              <w:t xml:space="preserve">•  </w:t>
            </w:r>
            <w:r>
              <w:rPr>
                <w:color w:val="2A2F3A"/>
                <w:sz w:val="20"/>
              </w:rPr>
              <w:t>The feedback root key prefix for the date is known so the flag can be located.</w:t>
            </w:r>
          </w:p>
        </w:tc>
      </w:tr>
    </w:tbl>
    <w:p>
      <w:pPr>
        <w:spacing w:after="0"/>
      </w:pPr>
    </w:p>
    <w:p>
      <w:pPr>
        <w:spacing w:before="200" w:after="80"/>
        <w:pBdr>
          <w:bottom w:val="single" w:sz="10" w:space="4" w:color="C9D0E0"/>
        </w:pBdr>
      </w:pPr>
      <w:r>
        <w:rPr>
          <w:rFonts w:ascii="Calibri" w:hAnsi="Calibri"/>
          <w:b/>
          <w:color w:val="1F2A56"/>
          <w:sz w:val="26"/>
        </w:rPr>
        <w:t>Test Cases</w:t>
      </w:r>
    </w:p>
    <w:p>
      <w:pPr>
        <w:spacing w:before="40" w:after="160"/>
      </w:pPr>
      <w:r>
        <w:rPr>
          <w:b/>
          <w:color w:val="3C4A66"/>
          <w:sz w:val="19"/>
        </w:rPr>
        <w:t xml:space="preserve">Coverage:  </w:t>
      </w:r>
      <w:r>
        <w:rPr>
          <w:color w:val="23272F"/>
          <w:sz w:val="19"/>
        </w:rPr>
        <w:t xml:space="preserve">6 test case(s)   </w:t>
      </w:r>
      <w:r>
        <w:rPr>
          <w:b/>
          <w:color w:val="1E7E34"/>
          <w:sz w:val="17"/>
          <w:shd w:val="clear" w:color="auto" w:fill="E6F4EA"/>
        </w:rPr>
        <w:t xml:space="preserve">  Happy Path x2  </w:t>
      </w:r>
      <w:r>
        <w:rPr>
          <w:sz w:val="16"/>
        </w:rPr>
        <w:t xml:space="preserve"> </w:t>
      </w:r>
      <w:r>
        <w:rPr>
          <w:b/>
          <w:color w:val="B26A00"/>
          <w:sz w:val="17"/>
          <w:shd w:val="clear" w:color="auto" w:fill="FFF4E5"/>
        </w:rPr>
        <w:t xml:space="preserve">  Boundary x3  </w:t>
      </w:r>
      <w:r>
        <w:rPr>
          <w:sz w:val="16"/>
        </w:rPr>
        <w:t xml:space="preserve"> </w:t>
      </w:r>
      <w:r>
        <w:rPr>
          <w:b/>
          <w:color w:val="B3261E"/>
          <w:sz w:val="17"/>
          <w:shd w:val="clear" w:color="auto" w:fill="FCE9E9"/>
        </w:rPr>
        <w:t xml:space="preserve">  Negative x1  </w:t>
      </w:r>
      <w:r>
        <w:rPr>
          <w:sz w:val="16"/>
        </w:rPr>
        <w:t xml:space="preserve"> 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TC-001  </w:t>
            </w:r>
            <w:r>
              <w:rPr>
                <w:b/>
                <w:color w:val="23272F"/>
                <w:sz w:val="22"/>
              </w:rPr>
              <w:t>Happy path — acq_success when no failures</w:t>
            </w:r>
          </w:p>
          <w:p>
            <w:pPr>
              <w:spacing w:before="40" w:after="0"/>
            </w:pPr>
            <w:r>
              <w:rPr>
                <w:b/>
                <w:color w:val="1E7E34"/>
                <w:sz w:val="17"/>
                <w:shd w:val="clear" w:color="auto" w:fill="E6F4EA"/>
              </w:rPr>
              <w:t xml:space="preserve">  HAPPY PATH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B3261E"/>
                <w:sz w:val="17"/>
                <w:shd w:val="clear" w:color="auto" w:fill="FCE9E9"/>
              </w:rPr>
              <w:t xml:space="preserve">  PRIORITY: HIGHEST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A clean run writes only the acquisition-success flag.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Ensure no quarantine rows will be exported.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No quarantine tables / all empty for 20260313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No failures present.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the export.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process_date=20260313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Run completes.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3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Locate the flag under the feedback root.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landing/acquisition/feedback/20260313/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acq_success_20260313.zip.flag exists; envelope_error_20260313.zip.flag does NOT.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4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Inspect the success flag body.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Read object bytes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Body is exactly a single newline character.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TC-002  </w:t>
            </w:r>
            <w:r>
              <w:rPr>
                <w:b/>
                <w:color w:val="23272F"/>
                <w:sz w:val="22"/>
              </w:rPr>
              <w:t>Happy path — envelope_error when failures exist</w:t>
            </w:r>
          </w:p>
          <w:p>
            <w:pPr>
              <w:spacing w:before="40" w:after="0"/>
            </w:pPr>
            <w:r>
              <w:rPr>
                <w:b/>
                <w:color w:val="1E7E34"/>
                <w:sz w:val="17"/>
                <w:shd w:val="clear" w:color="auto" w:fill="E6F4EA"/>
              </w:rPr>
              <w:t xml:space="preserve">  HAPPY PATH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B3261E"/>
                <w:sz w:val="17"/>
                <w:shd w:val="clear" w:color="auto" w:fill="FCE9E9"/>
              </w:rPr>
              <w:t xml:space="preserve">  PRIORITY: HIGHEST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A run with failures writes only the envelope-error flag with correct line format.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Seed a table with explodable errors.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customer: 12 rows null_check/customer_id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Quarantine populated.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the export.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process_date=20260313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Run completes.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3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Locate the flag.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landing/acquisition/feedback/20260313/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envelope_error_20260313.zip.flag exists; acq_success does NOT.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4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Inspect the error line.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Read object text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Line: 'customer_13032026, null_check customer_id, 12' (DDMMYYYY date; reason space-separated; correct count).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TC-003  </w:t>
            </w:r>
            <w:r>
              <w:rPr>
                <w:b/>
                <w:color w:val="23272F"/>
                <w:sz w:val="22"/>
              </w:rPr>
              <w:t>Boundary — multiple tables produce multiple lines</w:t>
            </w:r>
          </w:p>
          <w:p>
            <w:pPr>
              <w:spacing w:before="40" w:after="0"/>
            </w:pPr>
            <w:r>
              <w:rPr>
                <w:b/>
                <w:color w:val="B26A00"/>
                <w:sz w:val="17"/>
                <w:shd w:val="clear" w:color="auto" w:fill="FFF4E5"/>
              </w:rPr>
              <w:t xml:space="preserve">  BOUNDARY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C2410C"/>
                <w:sz w:val="17"/>
                <w:shd w:val="clear" w:color="auto" w:fill="FFF1E6"/>
              </w:rPr>
              <w:t xml:space="preserve">  PRIORITY: HIGH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Each failing table contributes its own summary line(s) to one envelope_error flag.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Seed multiple failing tables.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customer (12 null_check/customer_id), transaction (4 range/amount)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Two tables populated.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the export.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process_date=20260313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Run completes.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3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Inspect the flag body lines.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Read object text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Contains 'customer_13032026, null_check customer_id, 12' and 'transaction_13032026, range amount, 4'.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TC-004  </w:t>
            </w:r>
            <w:r>
              <w:rPr>
                <w:b/>
                <w:color w:val="23272F"/>
                <w:sz w:val="22"/>
              </w:rPr>
              <w:t>Boundary — fallback line when errors cannot be exploded</w:t>
            </w:r>
          </w:p>
          <w:p>
            <w:pPr>
              <w:spacing w:before="40" w:after="0"/>
            </w:pPr>
            <w:r>
              <w:rPr>
                <w:b/>
                <w:color w:val="B26A00"/>
                <w:sz w:val="17"/>
                <w:shd w:val="clear" w:color="auto" w:fill="FFF4E5"/>
              </w:rPr>
              <w:t xml:space="preserve">  BOUNDARY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C2410C"/>
                <w:sz w:val="17"/>
                <w:shd w:val="clear" w:color="auto" w:fill="FFF1E6"/>
              </w:rPr>
              <w:t xml:space="preserve">  PRIORITY: HIGH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A table with empty/null errors contributes a single fallback line using the row count.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Seed a failing table whose errors are all empty/null.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account: 7 rows, validation_errors = [] / null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Quarantine populated; not explodable.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the export.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process_date=20260313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Run completes; this counts as a failure for envelope purposes.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3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Inspect the fallback line.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Read object text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Single fallback line for account uses the row count, e.g. 'account_13032026, 7' (count instead of reason).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TC-005  </w:t>
            </w:r>
            <w:r>
              <w:rPr>
                <w:b/>
                <w:color w:val="23272F"/>
                <w:sz w:val="22"/>
              </w:rPr>
              <w:t>Negative — never both flags for one run</w:t>
            </w:r>
          </w:p>
          <w:p>
            <w:pPr>
              <w:spacing w:before="40" w:after="0"/>
            </w:pPr>
            <w:r>
              <w:rPr>
                <w:b/>
                <w:color w:val="B3261E"/>
                <w:sz w:val="17"/>
                <w:shd w:val="clear" w:color="auto" w:fill="FCE9E9"/>
              </w:rPr>
              <w:t xml:space="preserve">  NEGATIVE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B3261E"/>
                <w:sz w:val="17"/>
                <w:shd w:val="clear" w:color="auto" w:fill="FCE9E9"/>
              </w:rPr>
              <w:t xml:space="preserve">  PRIORITY: HIGHEST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The two flags are mutually exclusive in all scenarios.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a mixed scenario (some failures, some clean tables).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customer has failures; account is clean/missing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Run completes.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Enumerate flag objects for the date.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List landing/acquisition/feedback/20260313/*.flag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Exactly one flag present (envelope_error, because at least one table failed); acq_success absent.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10368"/>
      </w:tblGrid>
      <w:tr>
        <w:tc>
          <w:tcPr>
            <w:tcW w:type="dxa" w:w="10296"/>
            <w:shd w:val="clear" w:color="auto" w:fill="EDF0F7"/>
            <w:tcBorders>
              <w:left w:val="single" w:sz="30" w:space="0" w:color="1F2A56"/>
            </w:tcBorders>
            <w:tcMar>
              <w:top w:w="90" w:type="dxa"/>
              <w:bottom w:w="90" w:type="dxa"/>
              <w:start w:w="160" w:type="dxa"/>
              <w:end w:w="150" w:type="dxa"/>
              <w:left w:w="160" w:type="dxa"/>
              <w:right w:w="150" w:type="dxa"/>
            </w:tcMar>
          </w:tcPr>
          <w:p>
            <w:pPr>
              <w:spacing w:after="40"/>
            </w:pPr>
            <w:r>
              <w:rPr>
                <w:b/>
                <w:color w:val="1F2A56"/>
                <w:sz w:val="22"/>
              </w:rPr>
              <w:t xml:space="preserve">TC-006  </w:t>
            </w:r>
            <w:r>
              <w:rPr>
                <w:b/>
                <w:color w:val="23272F"/>
                <w:sz w:val="22"/>
              </w:rPr>
              <w:t>Boundary — date encoding split (filename vs body)</w:t>
            </w:r>
          </w:p>
          <w:p>
            <w:pPr>
              <w:spacing w:before="40" w:after="0"/>
            </w:pPr>
            <w:r>
              <w:rPr>
                <w:b/>
                <w:color w:val="B26A00"/>
                <w:sz w:val="17"/>
                <w:shd w:val="clear" w:color="auto" w:fill="FFF4E5"/>
              </w:rPr>
              <w:t xml:space="preserve">  BOUNDARY  </w:t>
            </w:r>
            <w:r>
              <w:rPr>
                <w:sz w:val="17"/>
              </w:rPr>
              <w:t xml:space="preserve">   </w:t>
            </w:r>
            <w:r>
              <w:rPr>
                <w:b/>
                <w:color w:val="8D6E00"/>
                <w:sz w:val="17"/>
                <w:shd w:val="clear" w:color="auto" w:fill="FFF8E1"/>
              </w:rPr>
              <w:t xml:space="preserve">  PRIORITY: MEDIUM  </w:t>
            </w:r>
          </w:p>
          <w:p>
            <w:pPr>
              <w:spacing w:before="80" w:after="0"/>
            </w:pPr>
            <w:r>
              <w:rPr>
                <w:b/>
                <w:color w:val="6B7280"/>
                <w:sz w:val="18"/>
              </w:rPr>
              <w:t xml:space="preserve">Objective:  </w:t>
            </w:r>
            <w:r>
              <w:rPr>
                <w:i/>
                <w:color w:val="3A3F4A"/>
                <w:sz w:val="19"/>
              </w:rPr>
              <w:t>Filename uses YYYYMMDD while the in-body first column uses DDMMYYYY.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  <w:tblLayout w:type="fixed"/>
        <w:tblBorders>
          <w:top w:val="single" w:sz="4" w:space="0" w:color="C9D0E0"/>
          <w:left w:val="single" w:sz="4" w:space="0" w:color="C9D0E0"/>
          <w:bottom w:val="single" w:sz="4" w:space="0" w:color="C9D0E0"/>
          <w:right w:val="single" w:sz="4" w:space="0" w:color="C9D0E0"/>
          <w:insideH w:val="single" w:sz="4" w:space="0" w:color="C9D0E0"/>
          <w:insideV w:val="single" w:sz="4" w:space="0" w:color="C9D0E0"/>
        </w:tblBorders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type="dxa" w:w="605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3384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Step / Action</w:t>
            </w:r>
          </w:p>
        </w:tc>
        <w:tc>
          <w:tcPr>
            <w:tcW w:type="dxa" w:w="3096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Test Data (format / value)</w:t>
            </w:r>
          </w:p>
        </w:tc>
        <w:tc>
          <w:tcPr>
            <w:tcW w:type="dxa" w:w="3211"/>
            <w:shd w:val="clear" w:color="auto" w:fill="1F2A56"/>
            <w:tcMar>
              <w:top w:w="60" w:type="dxa"/>
              <w:bottom w:w="60" w:type="dxa"/>
              <w:start w:w="100" w:type="dxa"/>
              <w:end w:w="100" w:type="dxa"/>
              <w:left w:w="100" w:type="dxa"/>
              <w:right w:w="10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color w:val="FFFFFF"/>
                <w:sz w:val="18"/>
              </w:rPr>
              <w:t>Expected Result</w:t>
            </w:r>
          </w:p>
        </w:tc>
      </w:tr>
      <w:tr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1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Run with a date whose digit pattern makes the two formats obviously different.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process_date=20260901 (1 Sep 2026 -&gt; body 01092026)</w:t>
            </w:r>
          </w:p>
        </w:tc>
        <w:tc>
          <w:tcPr>
            <w:tcW w:type="dxa" w:w="2592"/>
            <w:shd w:val="clear" w:color="auto" w:fill="EEF1F8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Run completes with failures present.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  <w:jc w:val="center"/>
            </w:pPr>
            <w:r>
              <w:rPr>
                <w:b/>
                <w:color w:val="2E3C74"/>
                <w:sz w:val="19"/>
              </w:rPr>
              <w:t>2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sz w:val="18"/>
              </w:rPr>
              <w:t>Compare filename and body date encodings.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rFonts w:ascii="Consolas" w:hAnsi="Consolas"/>
                <w:color w:val="394150"/>
                <w:sz w:val="17"/>
              </w:rPr>
              <w:t>Filename vs first column</w:t>
            </w:r>
          </w:p>
        </w:tc>
        <w:tc>
          <w:tcPr>
            <w:tcW w:type="dxa" w:w="2592"/>
            <w:shd w:val="clear" w:color="auto" w:fill="FFFFFF"/>
            <w:tcMar>
              <w:top w:w="55" w:type="dxa"/>
              <w:bottom w:w="55" w:type="dxa"/>
              <w:start w:w="100" w:type="dxa"/>
              <w:end w:w="100" w:type="dxa"/>
              <w:left w:w="100" w:type="dxa"/>
              <w:right w:w="100" w:type="dxa"/>
            </w:tcMar>
            <w:vAlign w:val="top"/>
          </w:tcPr>
          <w:p>
            <w:pPr>
              <w:spacing w:after="0"/>
            </w:pPr>
            <w:r>
              <w:rPr>
                <w:color w:val="1E3A24"/>
                <w:sz w:val="18"/>
              </w:rPr>
              <w:t>Filename: envelope_error_20260901.zip.flag; body column: &lt;table&gt;_01092026 — encodings differ as documented.</w:t>
            </w:r>
          </w:p>
        </w:tc>
      </w:tr>
    </w:tbl>
    <w:p>
      <w:pPr>
        <w:spacing w:after="40"/>
      </w:pPr>
    </w:p>
    <w:p>
      <w:pPr>
        <w:spacing w:before="200"/>
        <w:pBdr>
          <w:top w:val="single" w:sz="6" w:space="4" w:color="C9D0E0"/>
        </w:pBdr>
      </w:pPr>
      <w:r>
        <w:rPr>
          <w:i/>
          <w:color w:val="6B7280"/>
          <w:sz w:val="16"/>
        </w:rPr>
        <w:t>Generated for the DXV Feedback (Quarantine Export) integration test suite — 2026-06-11.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008" w:right="936" w:bottom="1008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6" w:space="4" w:color="C9D0E0"/>
      </w:pBdr>
    </w:pPr>
    <w:r/>
    <w:r>
      <w:rPr>
        <w:color w:val="6B7280"/>
        <w:sz w:val="16"/>
      </w:rPr>
      <w:t xml:space="preserve">DXV-FRE-005  •  Emit the correct acquisition success / error envelope flag per run   </w:t>
    </w:r>
    <w:r>
      <w:rPr>
        <w:color w:val="6B7280"/>
        <w:sz w:val="16"/>
      </w:rPr>
      <w:t xml:space="preserve">        Page </w:t>
    </w:r>
    <w:r>
      <w:fldChar w:fldCharType="begin"/>
    </w:r>
    <w:r>
      <w:instrText xml:space="preserve">PAGE</w:instrText>
    </w:r>
    <w:r>
      <w:fldChar w:fldCharType="end"/>
    </w:r>
    <w:r>
      <w:rPr>
        <w:color w:val="6B7280"/>
        <w:sz w:val="16"/>
      </w:rPr>
      <w:t xml:space="preserve"> of </w:t>
    </w:r>
    <w:r>
      <w:fldChar w:fldCharType="begin"/>
    </w:r>
    <w:r>
      <w:instrText xml:space="preserve">NUMPAGES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9AA3B2"/>
        <w:sz w:val="16"/>
      </w:rPr>
      <w:t>DXV — Data Exchange Vault   |   Feedback (Quarantine Export) Test Suite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23272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