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10368"/>
      </w:tblGrid>
      <w:tr>
        <w:tc>
          <w:tcPr>
            <w:tcW w:type="dxa" w:w="10368"/>
            <w:shd w:val="clear" w:color="auto" w:fill="1F2A56"/>
            <w:tcMar>
              <w:top w:w="180" w:type="dxa"/>
              <w:bottom w:w="180" w:type="dxa"/>
              <w:start w:w="220" w:type="dxa"/>
              <w:end w:w="220" w:type="dxa"/>
              <w:left w:w="220" w:type="dxa"/>
              <w:right w:w="2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AEB9DA"/>
                <w:sz w:val="20"/>
              </w:rPr>
              <w:t>USER STORY  •  DXV-FRE-003</w:t>
            </w:r>
          </w:p>
          <w:p>
            <w:pPr>
              <w:spacing w:before="0" w:after="40"/>
            </w:pPr>
            <w:r>
              <w:rPr>
                <w:rFonts w:ascii="Calibri" w:hAnsi="Calibri"/>
                <w:b/>
                <w:color w:val="FFFFFF"/>
                <w:sz w:val="36"/>
              </w:rPr>
              <w:t>Resolve, normalise and prefix output object paths correctly</w:t>
            </w:r>
          </w:p>
          <w:p>
            <w:pPr>
              <w:spacing w:before="0"/>
            </w:pPr>
            <w:r>
              <w:rPr>
                <w:i/>
                <w:color w:val="C9D2EC"/>
                <w:sz w:val="19"/>
              </w:rPr>
              <w:t>Epic: Output Layout &amp; Object Keys   |   DXV Feedback (Quarantine Export)</w:t>
            </w:r>
          </w:p>
        </w:tc>
      </w:tr>
    </w:tbl>
    <w:p>
      <w:pPr>
        <w:spacing w:after="40"/>
      </w:pPr>
    </w:p>
    <w:tbl>
      <w:tblPr>
        <w:jc w:val="center"/>
        <w:tblLook w:firstColumn="1" w:firstRow="1" w:lastColumn="0" w:lastRow="0" w:noHBand="0" w:noVBand="1" w:val="04A0"/>
        <w:tblLayout w:type="fixed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W w:w="10296" w:type="dxa"/>
      </w:tblPr>
      <w:tblGrid>
        <w:gridCol w:w="1944"/>
        <w:gridCol w:w="4320"/>
        <w:gridCol w:w="1944"/>
        <w:gridCol w:w="2088"/>
      </w:tblGrid>
      <w:tr>
        <w:tc>
          <w:tcPr>
            <w:tcW w:w="1944" w:type="dxa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2E3C7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Story Key</w:t>
            </w:r>
          </w:p>
        </w:tc>
        <w:tc>
          <w:tcPr>
            <w:tcW w:w="4320" w:type="dxa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EEF1F8"/>
          </w:tcPr>
          <w:p>
            <w:pPr>
              <w:spacing w:after="0"/>
            </w:pPr>
            <w:r>
              <w:rPr>
                <w:color w:val="23272F"/>
                <w:sz w:val="19"/>
              </w:rPr>
              <w:t>DXV-FRE-003</w:t>
            </w:r>
          </w:p>
        </w:tc>
        <w:tc>
          <w:tcPr>
            <w:tcW w:w="1944" w:type="dxa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2E3C7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w="2088" w:type="dxa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EEF1F8"/>
          </w:tcPr>
          <w:p>
            <w:pPr>
              <w:spacing w:after="0"/>
            </w:pPr>
            <w:r>
              <w:rPr>
                <w:b/>
                <w:color w:val="C2410C"/>
                <w:sz w:val="17"/>
                <w:shd w:val="clear" w:color="auto" w:fill="FFF1E6"/>
              </w:rPr>
              <w:t xml:space="preserve">  High  </w:t>
            </w:r>
          </w:p>
        </w:tc>
      </w:tr>
      <w:tr>
        <w:tc>
          <w:tcPr>
            <w:tcW w:w="1944" w:type="dxa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2E3C7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Epic</w:t>
            </w:r>
          </w:p>
        </w:tc>
        <w:tc>
          <w:tcPr>
            <w:tcW w:w="4320" w:type="dxa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F6F8FC"/>
          </w:tcPr>
          <w:p>
            <w:pPr>
              <w:spacing w:after="0"/>
            </w:pPr>
            <w:r>
              <w:rPr>
                <w:color w:val="23272F"/>
                <w:sz w:val="19"/>
              </w:rPr>
              <w:t>Output Layout &amp; Object Keys</w:t>
            </w:r>
          </w:p>
        </w:tc>
        <w:tc>
          <w:tcPr>
            <w:tcW w:w="1944" w:type="dxa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2E3C7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Story Points</w:t>
            </w:r>
          </w:p>
        </w:tc>
        <w:tc>
          <w:tcPr>
            <w:tcW w:w="2088" w:type="dxa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F6F8FC"/>
          </w:tcPr>
          <w:p>
            <w:pPr>
              <w:spacing w:after="0"/>
            </w:pPr>
            <w:r>
              <w:rPr>
                <w:color w:val="23272F"/>
                <w:sz w:val="19"/>
              </w:rPr>
              <w:t>5</w:t>
            </w:r>
          </w:p>
        </w:tc>
      </w:tr>
      <w:tr>
        <w:tc>
          <w:tcPr>
            <w:tcW w:w="1944" w:type="dxa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2E3C7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Components</w:t>
            </w:r>
          </w:p>
        </w:tc>
        <w:tc>
          <w:tcPr>
            <w:tcW w:w="4320" w:type="dxa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EEF1F8"/>
          </w:tcPr>
          <w:p>
            <w:pPr>
              <w:spacing w:after="0"/>
            </w:pPr>
            <w:r>
              <w:rPr>
                <w:color w:val="23272F"/>
                <w:sz w:val="19"/>
              </w:rPr>
              <w:t>failed-record-export</w:t>
            </w:r>
          </w:p>
        </w:tc>
        <w:tc>
          <w:tcPr>
            <w:tcW w:w="1944" w:type="dxa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2E3C7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Issue Type</w:t>
            </w:r>
          </w:p>
        </w:tc>
        <w:tc>
          <w:tcPr>
            <w:tcW w:w="2088" w:type="dxa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EEF1F8"/>
          </w:tcPr>
          <w:p>
            <w:pPr>
              <w:spacing w:after="0"/>
            </w:pPr>
            <w:r>
              <w:rPr>
                <w:color w:val="23272F"/>
                <w:sz w:val="19"/>
              </w:rPr>
              <w:t>Story</w:t>
            </w:r>
          </w:p>
        </w:tc>
      </w:tr>
      <w:tr>
        <w:tc>
          <w:tcPr>
            <w:tcW w:w="1944" w:type="dxa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2E3C7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Labels</w:t>
            </w:r>
          </w:p>
        </w:tc>
        <w:tc>
          <w:tcPr>
            <w:tcW w:w="4320" w:type="dxa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F6F8FC"/>
          </w:tcPr>
          <w:p>
            <w:pPr>
              <w:spacing w:after="0"/>
            </w:pPr>
            <w:r>
              <w:rPr>
                <w:color w:val="23272F"/>
                <w:sz w:val="19"/>
              </w:rPr>
              <w:t>dxv, failed-record-export, minio, paths, org-unit, integration</w:t>
            </w:r>
          </w:p>
        </w:tc>
        <w:tc>
          <w:tcPr>
            <w:tcW w:w="1944" w:type="dxa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2E3C7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w="2088" w:type="dxa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F6F8FC"/>
          </w:tcPr>
          <w:p>
            <w:pPr>
              <w:spacing w:after="0"/>
            </w:pPr>
            <w:r>
              <w:rPr>
                <w:color w:val="23272F"/>
                <w:sz w:val="19"/>
              </w:rPr>
              <w:t>Ready for Test</w:t>
            </w:r>
          </w:p>
        </w:tc>
      </w:tr>
    </w:tbl>
    <w:p>
      <w:pPr>
        <w:spacing w:after="40"/>
      </w:pPr>
    </w:p>
    <w:p>
      <w:pPr>
        <w:spacing w:before="200" w:after="80"/>
        <w:pBdr>
          <w:bottom w:val="single" w:sz="10" w:space="4" w:color="C9D0E0"/>
        </w:pBdr>
      </w:pPr>
      <w:r>
        <w:rPr>
          <w:rFonts w:ascii="Calibri" w:hAnsi="Calibri"/>
          <w:b/>
          <w:color w:val="2E3C74"/>
          <w:sz w:val="26"/>
        </w:rPr>
        <w:t>User Story</w:t>
      </w:r>
    </w:p>
    <w:tbl>
      <w:tblPr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W w:w="10296" w:type="dxa"/>
      </w:tblPr>
      <w:tblGrid>
        <w:gridCol w:w="10296"/>
      </w:tblGrid>
      <w:tr>
        <w:tc>
          <w:tcPr>
            <w:tcW w:w="10296" w:type="dxa"/>
            <w:shd w:val="clear" w:color="auto" w:fill="EAF1FB"/>
            <w:tcBorders>
              <w:left w:val="single" w:sz="24" w:space="0" w:color="2E6FD6"/>
            </w:tcBorders>
            <w:tcMar>
              <w:top w:w="120" w:type="dxa"/>
              <w:bottom w:w="120" w:type="dxa"/>
              <w:start w:w="180" w:type="dxa"/>
              <w:end w:w="160" w:type="dxa"/>
              <w:left w:w="180" w:type="dxa"/>
              <w:right w:w="160" w:type="dxa"/>
            </w:tcMar>
          </w:tcPr>
          <w:p>
            <w:pPr>
              <w:spacing w:after="80"/>
            </w:pPr>
            <w:r>
              <w:rPr>
                <w:color w:val="2A2F3A"/>
                <w:sz w:val="20"/>
              </w:rPr>
              <w:t>As a platform integration engineer</w:t>
            </w:r>
          </w:p>
          <w:p>
            <w:pPr>
              <w:spacing w:after="80"/>
            </w:pPr>
            <w:r>
              <w:rPr>
                <w:color w:val="2A2F3A"/>
                <w:sz w:val="20"/>
              </w:rPr>
              <w:t>I want the exporter to place every object under predictable, normalised roots and to prepend the ORG_UNIT segment when configured</w:t>
            </w:r>
          </w:p>
          <w:p>
            <w:pPr>
              <w:spacing w:after="0"/>
            </w:pPr>
            <w:r>
              <w:rPr>
                <w:color w:val="2A2F3A"/>
                <w:sz w:val="20"/>
              </w:rPr>
              <w:t>so that downstream DXV / SFTP tooling can reliably watch and pick up files using stable, lowercase, slash-clean keys that match typical DXV / NROD layouts.</w:t>
            </w:r>
          </w:p>
        </w:tc>
      </w:tr>
    </w:tbl>
    <w:p>
      <w:pPr>
        <w:spacing w:after="0"/>
      </w:pPr>
    </w:p>
    <w:p>
      <w:pPr>
        <w:spacing w:before="200" w:after="80"/>
        <w:pBdr>
          <w:bottom w:val="single" w:sz="10" w:space="4" w:color="C9D0E0"/>
        </w:pBdr>
      </w:pPr>
      <w:r>
        <w:rPr>
          <w:rFonts w:ascii="Calibri" w:hAnsi="Calibri"/>
          <w:b/>
          <w:color w:val="2E3C74"/>
          <w:sz w:val="26"/>
        </w:rPr>
        <w:t>Description</w:t>
      </w:r>
    </w:p>
    <w:p>
      <w:pPr>
        <w:spacing w:after="120"/>
        <w:jc w:val="both"/>
      </w:pPr>
      <w:r>
        <w:rPr>
          <w:sz w:val="21"/>
        </w:rPr>
        <w:t>Output objects are written under three configurable roots: bad_records_location (clean rows for resubmit), feedback_location (flags/triggers) and report_location (aggregated + detailed reports). The built-in defaults are landing/acquisition/bad, landing/acquisition/feedback and landing/acquisition/feedback/reporting respectively.</w:t>
      </w:r>
    </w:p>
    <w:p>
      <w:pPr>
        <w:spacing w:after="120"/>
        <w:jc w:val="both"/>
      </w:pPr>
      <w:r>
        <w:rPr>
          <w:sz w:val="21"/>
        </w:rPr>
        <w:t>Configured roots are normalised before use: leading/trailing slashes are stripped and the value is lowercased, so behaviour matches typical DXV / NROD SFTP layouts. Full object keys are under the bucket.</w:t>
      </w:r>
    </w:p>
    <w:p>
      <w:pPr>
        <w:spacing w:after="120"/>
        <w:jc w:val="both"/>
      </w:pPr>
      <w:r>
        <w:rPr>
          <w:sz w:val="21"/>
        </w:rPr>
        <w:t>If the ORG_UNIT environment variable is set, the exporter prepends {ORG_UNIT}/ to the path before the configured roots. If ORG_UNIT is unset, the roots sit directly under the bucket. Object name patterns embed process_date and table_name (for example {bad_records_location}/{process_date}/{table_name}_{process_date}.{ext}).</w:t>
      </w:r>
    </w:p>
    <w:p>
      <w:pPr>
        <w:spacing w:before="200" w:after="80"/>
        <w:pBdr>
          <w:bottom w:val="single" w:sz="10" w:space="4" w:color="C9D0E0"/>
        </w:pBdr>
      </w:pPr>
      <w:r>
        <w:rPr>
          <w:rFonts w:ascii="Calibri" w:hAnsi="Calibri"/>
          <w:b/>
          <w:color w:val="2E3C74"/>
          <w:sz w:val="26"/>
        </w:rPr>
        <w:t>Key Terms &amp; Behaviour</w:t>
      </w:r>
    </w:p>
    <w:tbl>
      <w:tblPr>
        <w:jc w:val="center"/>
        <w:tblLook w:firstColumn="1" w:firstRow="1" w:lastColumn="0" w:lastRow="0" w:noHBand="0" w:noVBand="1" w:val="04A0"/>
        <w:tblLayout w:type="fixed"/>
        <w:tblBorders>
          <w:top w:val="single" w:sz="4" w:space="0" w:color="C9D0E0"/>
          <w:left w:val="single" w:sz="4" w:space="0" w:color="C9D0E0"/>
          <w:bottom w:val="single" w:sz="4" w:space="0" w:color="C9D0E0"/>
          <w:right w:val="single" w:sz="4" w:space="0" w:color="C9D0E0"/>
          <w:insideH w:val="single" w:sz="4" w:space="0" w:color="C9D0E0"/>
          <w:insideV w:val="single" w:sz="4" w:space="0" w:color="C9D0E0"/>
        </w:tblBorders>
        <w:tblW w:w="10296" w:type="dxa"/>
      </w:tblPr>
      <w:tblGrid>
        <w:gridCol w:w="3312"/>
        <w:gridCol w:w="6984"/>
      </w:tblGrid>
      <w:tr>
        <w:tc>
          <w:tcPr>
            <w:tcW w:w="3312" w:type="dxa"/>
            <w:shd w:val="clear" w:color="auto" w:fill="E8ECF6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3C4A66"/>
                <w:sz w:val="19"/>
              </w:rPr>
              <w:t>Default bad root</w:t>
            </w:r>
          </w:p>
        </w:tc>
        <w:tc>
          <w:tcPr>
            <w:tcW w:w="6984" w:type="dxa"/>
            <w:shd w:val="clear" w:color="auto" w:fill="FFFFFF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landing/acquisition/bad</w:t>
            </w:r>
          </w:p>
        </w:tc>
      </w:tr>
      <w:tr>
        <w:tc>
          <w:tcPr>
            <w:tcW w:w="3312" w:type="dxa"/>
            <w:shd w:val="clear" w:color="auto" w:fill="F2F5F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3C4A66"/>
                <w:sz w:val="19"/>
              </w:rPr>
              <w:t>Default feedback root</w:t>
            </w:r>
          </w:p>
        </w:tc>
        <w:tc>
          <w:tcPr>
            <w:tcW w:w="6984" w:type="dxa"/>
            <w:shd w:val="clear" w:color="auto" w:fill="FAFBFE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landing/acquisition/feedback</w:t>
            </w:r>
          </w:p>
        </w:tc>
      </w:tr>
      <w:tr>
        <w:tc>
          <w:tcPr>
            <w:tcW w:w="3312" w:type="dxa"/>
            <w:shd w:val="clear" w:color="auto" w:fill="E8ECF6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3C4A66"/>
                <w:sz w:val="19"/>
              </w:rPr>
              <w:t>Default report root</w:t>
            </w:r>
          </w:p>
        </w:tc>
        <w:tc>
          <w:tcPr>
            <w:tcW w:w="6984" w:type="dxa"/>
            <w:shd w:val="clear" w:color="auto" w:fill="FFFFFF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landing/acquisition/feedback/reporting</w:t>
            </w:r>
          </w:p>
        </w:tc>
      </w:tr>
      <w:tr>
        <w:tc>
          <w:tcPr>
            <w:tcW w:w="3312" w:type="dxa"/>
            <w:shd w:val="clear" w:color="auto" w:fill="F2F5F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3C4A66"/>
                <w:sz w:val="19"/>
              </w:rPr>
              <w:t>Normalisation</w:t>
            </w:r>
          </w:p>
        </w:tc>
        <w:tc>
          <w:tcPr>
            <w:tcW w:w="6984" w:type="dxa"/>
            <w:shd w:val="clear" w:color="auto" w:fill="FAFBFE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Strip leading/trailing slashes and lowercase the configured roots.</w:t>
            </w:r>
          </w:p>
        </w:tc>
      </w:tr>
      <w:tr>
        <w:tc>
          <w:tcPr>
            <w:tcW w:w="3312" w:type="dxa"/>
            <w:shd w:val="clear" w:color="auto" w:fill="E8ECF6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3C4A66"/>
                <w:sz w:val="19"/>
              </w:rPr>
              <w:t>ORG_UNIT prefix</w:t>
            </w:r>
          </w:p>
        </w:tc>
        <w:tc>
          <w:tcPr>
            <w:tcW w:w="6984" w:type="dxa"/>
            <w:shd w:val="clear" w:color="auto" w:fill="FFFFFF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When set, {ORG_UNIT}/ is prepended BEFORE the configured roots.</w:t>
            </w:r>
          </w:p>
        </w:tc>
      </w:tr>
      <w:tr>
        <w:tc>
          <w:tcPr>
            <w:tcW w:w="3312" w:type="dxa"/>
            <w:shd w:val="clear" w:color="auto" w:fill="F2F5F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3C4A66"/>
                <w:sz w:val="19"/>
              </w:rPr>
              <w:t>Clean bad pattern</w:t>
            </w:r>
          </w:p>
        </w:tc>
        <w:tc>
          <w:tcPr>
            <w:tcW w:w="6984" w:type="dxa"/>
            <w:shd w:val="clear" w:color="auto" w:fill="FAFBFE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{bad_records_location}/{process_date}/{table_name}_{process_date}.{ext}</w:t>
            </w:r>
          </w:p>
        </w:tc>
      </w:tr>
      <w:tr>
        <w:tc>
          <w:tcPr>
            <w:tcW w:w="3312" w:type="dxa"/>
            <w:shd w:val="clear" w:color="auto" w:fill="E8ECF6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3C4A66"/>
                <w:sz w:val="19"/>
              </w:rPr>
              <w:t>Aggregated pattern</w:t>
            </w:r>
          </w:p>
        </w:tc>
        <w:tc>
          <w:tcPr>
            <w:tcW w:w="6984" w:type="dxa"/>
            <w:shd w:val="clear" w:color="auto" w:fill="FFFFFF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{report_location}/{process_date}/aggregated_{table_name}_{process_date}.{ext}</w:t>
            </w:r>
          </w:p>
        </w:tc>
      </w:tr>
      <w:tr>
        <w:tc>
          <w:tcPr>
            <w:tcW w:w="3312" w:type="dxa"/>
            <w:shd w:val="clear" w:color="auto" w:fill="F2F5F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3C4A66"/>
                <w:sz w:val="19"/>
              </w:rPr>
              <w:t>Detailed pattern</w:t>
            </w:r>
          </w:p>
        </w:tc>
        <w:tc>
          <w:tcPr>
            <w:tcW w:w="6984" w:type="dxa"/>
            <w:shd w:val="clear" w:color="auto" w:fill="FAFBFE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{report_location}/{process_date}/detailed_{table_name}_{process_date}.{ext}</w:t>
            </w:r>
          </w:p>
        </w:tc>
      </w:tr>
    </w:tbl>
    <w:p>
      <w:pPr>
        <w:spacing w:after="0"/>
      </w:pPr>
    </w:p>
    <w:p>
      <w:pPr>
        <w:spacing w:before="200" w:after="80"/>
        <w:pBdr>
          <w:bottom w:val="single" w:sz="10" w:space="4" w:color="C9D0E0"/>
        </w:pBdr>
      </w:pPr>
      <w:r>
        <w:rPr>
          <w:rFonts w:ascii="Calibri" w:hAnsi="Calibri"/>
          <w:b/>
          <w:color w:val="2E3C74"/>
          <w:sz w:val="26"/>
        </w:rPr>
        <w:t>Acceptance Criteria</w:t>
      </w:r>
    </w:p>
    <w:tbl>
      <w:tblPr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W w:w="10296" w:type="dxa"/>
      </w:tblPr>
      <w:tblGrid>
        <w:gridCol w:w="10296"/>
      </w:tblGrid>
      <w:tr>
        <w:tc>
          <w:tcPr>
            <w:tcW w:w="10296" w:type="dxa"/>
            <w:shd w:val="clear" w:color="auto" w:fill="ECF7EE"/>
            <w:tcBorders>
              <w:left w:val="single" w:sz="24" w:space="0" w:color="2E9E4F"/>
            </w:tcBorders>
            <w:tcMar>
              <w:top w:w="120" w:type="dxa"/>
              <w:bottom w:w="130" w:type="dxa"/>
              <w:start w:w="180" w:type="dxa"/>
              <w:end w:w="160" w:type="dxa"/>
              <w:left w:w="180" w:type="dxa"/>
              <w:right w:w="160" w:type="dxa"/>
            </w:tcMar>
          </w:tcPr>
          <w:p>
            <w:pPr>
              <w:spacing w:after="120"/>
            </w:pPr>
            <w:r>
              <w:rPr>
                <w:b/>
                <w:color w:val="2E9E4F"/>
                <w:sz w:val="21"/>
              </w:rPr>
              <w:t>Definition of Done</w:t>
            </w:r>
          </w:p>
          <w:p>
            <w:pPr>
              <w:spacing w:after="60"/>
              <w:ind w:left="259" w:hanging="259"/>
            </w:pPr>
            <w:r>
              <w:rPr>
                <w:b/>
                <w:color w:val="2E9E4F"/>
                <w:sz w:val="20"/>
              </w:rPr>
              <w:t xml:space="preserve">1.  </w:t>
            </w:r>
            <w:r>
              <w:rPr>
                <w:color w:val="2A2F3A"/>
                <w:sz w:val="20"/>
              </w:rPr>
              <w:t>With no overrides and ORG_UNIT unset, objects land under the three documented default roots directly beneath the bucket.</w:t>
            </w:r>
          </w:p>
          <w:p>
            <w:pPr>
              <w:spacing w:after="60"/>
              <w:ind w:left="259" w:hanging="259"/>
            </w:pPr>
            <w:r>
              <w:rPr>
                <w:b/>
                <w:color w:val="2E9E4F"/>
                <w:sz w:val="20"/>
              </w:rPr>
              <w:t xml:space="preserve">2.  </w:t>
            </w:r>
            <w:r>
              <w:rPr>
                <w:color w:val="2A2F3A"/>
                <w:sz w:val="20"/>
              </w:rPr>
              <w:t>A configured root with surrounding slashes and mixed case is normalised (slashes stripped, lowercased) before keys are built.</w:t>
            </w:r>
          </w:p>
          <w:p>
            <w:pPr>
              <w:spacing w:after="60"/>
              <w:ind w:left="259" w:hanging="259"/>
            </w:pPr>
            <w:r>
              <w:rPr>
                <w:b/>
                <w:color w:val="2E9E4F"/>
                <w:sz w:val="20"/>
              </w:rPr>
              <w:t xml:space="preserve">3.  </w:t>
            </w:r>
            <w:r>
              <w:rPr>
                <w:color w:val="2A2F3A"/>
                <w:sz w:val="20"/>
              </w:rPr>
              <w:t>When ORG_UNIT is set, every object key is prefixed with {ORG_UNIT}/ ahead of the configured root.</w:t>
            </w:r>
          </w:p>
          <w:p>
            <w:pPr>
              <w:spacing w:after="60"/>
              <w:ind w:left="259" w:hanging="259"/>
            </w:pPr>
            <w:r>
              <w:rPr>
                <w:b/>
                <w:color w:val="2E9E4F"/>
                <w:sz w:val="20"/>
              </w:rPr>
              <w:t xml:space="preserve">4.  </w:t>
            </w:r>
            <w:r>
              <w:rPr>
                <w:color w:val="2A2F3A"/>
                <w:sz w:val="20"/>
              </w:rPr>
              <w:t>Object names exactly follow the documented patterns, embedding process_date and table_name with the correct {ext}.</w:t>
            </w:r>
          </w:p>
          <w:p>
            <w:pPr>
              <w:spacing w:after="60"/>
              <w:ind w:left="259" w:hanging="259"/>
            </w:pPr>
            <w:r>
              <w:rPr>
                <w:b/>
                <w:color w:val="2E9E4F"/>
                <w:sz w:val="20"/>
              </w:rPr>
              <w:t xml:space="preserve">5.  </w:t>
            </w:r>
            <w:r>
              <w:rPr>
                <w:color w:val="2A2F3A"/>
                <w:sz w:val="20"/>
              </w:rPr>
              <w:t>Overriding one root does not move objects belonging to the other roots.</w:t>
            </w:r>
          </w:p>
        </w:tc>
      </w:tr>
    </w:tbl>
    <w:p>
      <w:pPr>
        <w:spacing w:after="0"/>
      </w:pPr>
    </w:p>
    <w:p>
      <w:pPr>
        <w:spacing w:before="200" w:after="80"/>
        <w:pBdr>
          <w:bottom w:val="single" w:sz="10" w:space="4" w:color="C9D0E0"/>
        </w:pBdr>
      </w:pPr>
      <w:r>
        <w:rPr>
          <w:rFonts w:ascii="Calibri" w:hAnsi="Calibri"/>
          <w:b/>
          <w:color w:val="2E3C74"/>
          <w:sz w:val="26"/>
        </w:rPr>
        <w:t>Recommended Test Data</w:t>
      </w:r>
    </w:p>
    <w:tbl>
      <w:tblPr>
        <w:jc w:val="center"/>
        <w:tblLook w:firstColumn="1" w:firstRow="1" w:lastColumn="0" w:lastRow="0" w:noHBand="0" w:noVBand="1" w:val="04A0"/>
        <w:tblLayout w:type="fixed"/>
        <w:tblBorders>
          <w:top w:val="single" w:sz="4" w:space="0" w:color="C9D0E0"/>
          <w:left w:val="single" w:sz="4" w:space="0" w:color="C9D0E0"/>
          <w:bottom w:val="single" w:sz="4" w:space="0" w:color="C9D0E0"/>
          <w:right w:val="single" w:sz="4" w:space="0" w:color="C9D0E0"/>
          <w:insideH w:val="single" w:sz="4" w:space="0" w:color="C9D0E0"/>
          <w:insideV w:val="single" w:sz="4" w:space="0" w:color="C9D0E0"/>
        </w:tblBorders>
        <w:tblW w:w="10296" w:type="dxa"/>
      </w:tblPr>
      <w:tblGrid>
        <w:gridCol w:w="3312"/>
        <w:gridCol w:w="6984"/>
      </w:tblGrid>
      <w:tr>
        <w:tc>
          <w:tcPr>
            <w:tcW w:w="3312" w:type="dxa"/>
            <w:shd w:val="clear" w:color="auto" w:fill="E8ECF6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3C4A66"/>
                <w:sz w:val="19"/>
              </w:rPr>
              <w:t>ORG_UNIT (set)</w:t>
            </w:r>
          </w:p>
        </w:tc>
        <w:tc>
          <w:tcPr>
            <w:tcW w:w="6984" w:type="dxa"/>
            <w:shd w:val="clear" w:color="auto" w:fill="FFFFFF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OrgA  -&gt;  prefix 'orga/' after normalisation considerations</w:t>
            </w:r>
          </w:p>
        </w:tc>
      </w:tr>
      <w:tr>
        <w:tc>
          <w:tcPr>
            <w:tcW w:w="3312" w:type="dxa"/>
            <w:shd w:val="clear" w:color="auto" w:fill="F2F5F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3C4A66"/>
                <w:sz w:val="19"/>
              </w:rPr>
              <w:t>Un-normalised root</w:t>
            </w:r>
          </w:p>
        </w:tc>
        <w:tc>
          <w:tcPr>
            <w:tcW w:w="6984" w:type="dxa"/>
            <w:shd w:val="clear" w:color="auto" w:fill="FAFBFE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'/Landing/Acquisition/Bad/'  -&gt;  'landing/acquisition/bad'</w:t>
            </w:r>
          </w:p>
        </w:tc>
      </w:tr>
      <w:tr>
        <w:tc>
          <w:tcPr>
            <w:tcW w:w="3312" w:type="dxa"/>
            <w:shd w:val="clear" w:color="auto" w:fill="E8ECF6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3C4A66"/>
                <w:sz w:val="19"/>
              </w:rPr>
              <w:t>process_date</w:t>
            </w:r>
          </w:p>
        </w:tc>
        <w:tc>
          <w:tcPr>
            <w:tcW w:w="6984" w:type="dxa"/>
            <w:shd w:val="clear" w:color="auto" w:fill="FFFFFF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20260313</w:t>
            </w:r>
          </w:p>
        </w:tc>
      </w:tr>
      <w:tr>
        <w:tc>
          <w:tcPr>
            <w:tcW w:w="3312" w:type="dxa"/>
            <w:shd w:val="clear" w:color="auto" w:fill="F2F5F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3C4A66"/>
                <w:sz w:val="19"/>
              </w:rPr>
              <w:t>table_name</w:t>
            </w:r>
          </w:p>
        </w:tc>
        <w:tc>
          <w:tcPr>
            <w:tcW w:w="6984" w:type="dxa"/>
            <w:shd w:val="clear" w:color="auto" w:fill="FAFBFE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customer</w:t>
            </w:r>
          </w:p>
        </w:tc>
      </w:tr>
      <w:tr>
        <w:tc>
          <w:tcPr>
            <w:tcW w:w="3312" w:type="dxa"/>
            <w:shd w:val="clear" w:color="auto" w:fill="E8ECF6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3C4A66"/>
                <w:sz w:val="19"/>
              </w:rPr>
              <w:t>ext</w:t>
            </w:r>
          </w:p>
        </w:tc>
        <w:tc>
          <w:tcPr>
            <w:tcW w:w="6984" w:type="dxa"/>
            <w:shd w:val="clear" w:color="auto" w:fill="FFFFFF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csv (from file_format)</w:t>
            </w:r>
          </w:p>
        </w:tc>
      </w:tr>
      <w:tr>
        <w:tc>
          <w:tcPr>
            <w:tcW w:w="3312" w:type="dxa"/>
            <w:shd w:val="clear" w:color="auto" w:fill="F2F5F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3C4A66"/>
                <w:sz w:val="19"/>
              </w:rPr>
              <w:t>Expected clean-bad key</w:t>
            </w:r>
          </w:p>
        </w:tc>
        <w:tc>
          <w:tcPr>
            <w:tcW w:w="6984" w:type="dxa"/>
            <w:shd w:val="clear" w:color="auto" w:fill="FAFBFE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landing/acquisition/bad/20260313/customer_20260313.csv</w:t>
            </w:r>
          </w:p>
        </w:tc>
      </w:tr>
      <w:tr>
        <w:tc>
          <w:tcPr>
            <w:tcW w:w="3312" w:type="dxa"/>
            <w:shd w:val="clear" w:color="auto" w:fill="E8ECF6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3C4A66"/>
                <w:sz w:val="19"/>
              </w:rPr>
              <w:t>Expected aggregated key</w:t>
            </w:r>
          </w:p>
        </w:tc>
        <w:tc>
          <w:tcPr>
            <w:tcW w:w="6984" w:type="dxa"/>
            <w:shd w:val="clear" w:color="auto" w:fill="FFFFFF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landing/acquisition/feedback/reporting/20260313/aggregated_customer_20260313.csv</w:t>
            </w:r>
          </w:p>
        </w:tc>
      </w:tr>
    </w:tbl>
    <w:p>
      <w:pPr>
        <w:spacing w:after="0"/>
      </w:pPr>
    </w:p>
    <w:p>
      <w:pPr>
        <w:spacing w:before="200" w:after="80"/>
        <w:pBdr>
          <w:bottom w:val="single" w:sz="10" w:space="4" w:color="C9D0E0"/>
        </w:pBdr>
      </w:pPr>
      <w:r>
        <w:rPr>
          <w:rFonts w:ascii="Calibri" w:hAnsi="Calibri"/>
          <w:b/>
          <w:color w:val="2E3C74"/>
          <w:sz w:val="26"/>
        </w:rPr>
        <w:t>Global Preconditions</w:t>
      </w:r>
    </w:p>
    <w:tbl>
      <w:tblPr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W w:w="10296" w:type="dxa"/>
      </w:tblPr>
      <w:tblGrid>
        <w:gridCol w:w="10296"/>
      </w:tblGrid>
      <w:tr>
        <w:tc>
          <w:tcPr>
            <w:tcW w:w="10296" w:type="dxa"/>
            <w:shd w:val="clear" w:color="auto" w:fill="FDF3E7"/>
            <w:tcBorders>
              <w:left w:val="single" w:sz="24" w:space="0" w:color="D9822B"/>
            </w:tcBorders>
            <w:tcMar>
              <w:top w:w="120" w:type="dxa"/>
              <w:bottom w:w="130" w:type="dxa"/>
              <w:start w:w="180" w:type="dxa"/>
              <w:end w:w="160" w:type="dxa"/>
              <w:left w:w="180" w:type="dxa"/>
              <w:right w:w="160" w:type="dxa"/>
            </w:tcMar>
          </w:tcPr>
          <w:p>
            <w:pPr>
              <w:spacing w:after="120"/>
            </w:pPr>
            <w:r>
              <w:rPr>
                <w:b/>
                <w:color w:val="D9822B"/>
                <w:sz w:val="21"/>
              </w:rPr>
              <w:t>Environment &amp; Setup</w:t>
            </w:r>
          </w:p>
          <w:p>
            <w:pPr>
              <w:spacing w:after="60"/>
              <w:ind w:left="259" w:hanging="259"/>
            </w:pPr>
            <w:r>
              <w:rPr>
                <w:b/>
                <w:color w:val="D9822B"/>
                <w:sz w:val="20"/>
              </w:rPr>
              <w:t xml:space="preserve">•  </w:t>
            </w:r>
            <w:r>
              <w:rPr>
                <w:color w:val="2A2F3A"/>
                <w:sz w:val="20"/>
              </w:rPr>
              <w:t>A populated quarantine table exists for the table/date under test.</w:t>
            </w:r>
          </w:p>
          <w:p>
            <w:pPr>
              <w:spacing w:after="60"/>
              <w:ind w:left="259" w:hanging="259"/>
            </w:pPr>
            <w:r>
              <w:rPr>
                <w:b/>
                <w:color w:val="D9822B"/>
                <w:sz w:val="20"/>
              </w:rPr>
              <w:t xml:space="preserve">•  </w:t>
            </w:r>
            <w:r>
              <w:rPr>
                <w:color w:val="2A2F3A"/>
                <w:sz w:val="20"/>
              </w:rPr>
              <w:t>ORG_UNIT is explicitly set or unset per the individual test case.</w:t>
            </w:r>
          </w:p>
        </w:tc>
      </w:tr>
    </w:tbl>
    <w:p>
      <w:pPr>
        <w:spacing w:after="0"/>
      </w:pPr>
    </w:p>
    <w:p>
      <w:pPr>
        <w:spacing w:before="200" w:after="80"/>
        <w:pBdr>
          <w:bottom w:val="single" w:sz="10" w:space="4" w:color="C9D0E0"/>
        </w:pBdr>
      </w:pPr>
      <w:r>
        <w:rPr>
          <w:rFonts w:ascii="Calibri" w:hAnsi="Calibri"/>
          <w:b/>
          <w:color w:val="1F2A56"/>
          <w:sz w:val="26"/>
        </w:rPr>
        <w:t>Test Cases</w:t>
      </w:r>
    </w:p>
    <w:p>
      <w:pPr>
        <w:spacing w:before="40" w:after="160"/>
      </w:pPr>
      <w:r>
        <w:rPr>
          <w:b/>
          <w:color w:val="3C4A66"/>
          <w:sz w:val="19"/>
        </w:rPr>
        <w:t xml:space="preserve">Coverage:  </w:t>
      </w:r>
      <w:r>
        <w:rPr>
          <w:color w:val="23272F"/>
          <w:sz w:val="19"/>
        </w:rPr>
        <w:t xml:space="preserve">5 test case(s)   </w:t>
      </w:r>
      <w:r>
        <w:rPr>
          <w:b/>
          <w:color w:val="1E7E34"/>
          <w:sz w:val="17"/>
          <w:shd w:val="clear" w:color="auto" w:fill="E6F4EA"/>
        </w:rPr>
        <w:t xml:space="preserve">  Happy Path x3  </w:t>
      </w:r>
      <w:r>
        <w:rPr>
          <w:sz w:val="16"/>
        </w:rPr>
        <w:t xml:space="preserve"> </w:t>
      </w:r>
      <w:r>
        <w:rPr>
          <w:b/>
          <w:color w:val="B26A00"/>
          <w:sz w:val="17"/>
          <w:shd w:val="clear" w:color="auto" w:fill="FFF4E5"/>
        </w:rPr>
        <w:t xml:space="preserve">  Boundary x1  </w:t>
      </w:r>
      <w:r>
        <w:rPr>
          <w:sz w:val="16"/>
        </w:rPr>
        <w:t xml:space="preserve"> </w:t>
      </w:r>
      <w:r>
        <w:rPr>
          <w:b/>
          <w:color w:val="B3261E"/>
          <w:sz w:val="17"/>
          <w:shd w:val="clear" w:color="auto" w:fill="FCE9E9"/>
        </w:rPr>
        <w:t xml:space="preserve">  Negative x1  </w:t>
      </w:r>
      <w:r>
        <w:rPr>
          <w:sz w:val="16"/>
        </w:rPr>
        <w:t xml:space="preserve"> </w:t>
      </w:r>
    </w:p>
    <w:tbl>
      <w:tblPr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W w:w="10296" w:type="dxa"/>
      </w:tblPr>
      <w:tblGrid>
        <w:gridCol w:w="10296"/>
      </w:tblGrid>
      <w:tr>
        <w:tc>
          <w:tcPr>
            <w:tcW w:w="10296" w:type="dxa"/>
            <w:shd w:val="clear" w:color="auto" w:fill="EDF0F7"/>
            <w:tcBorders>
              <w:left w:val="single" w:sz="30" w:space="0" w:color="1F2A56"/>
            </w:tcBorders>
            <w:tcMar>
              <w:top w:w="90" w:type="dxa"/>
              <w:bottom w:w="90" w:type="dxa"/>
              <w:start w:w="160" w:type="dxa"/>
              <w:end w:w="150" w:type="dxa"/>
              <w:left w:w="160" w:type="dxa"/>
              <w:right w:w="150" w:type="dxa"/>
            </w:tcMar>
          </w:tcPr>
          <w:p>
            <w:pPr>
              <w:spacing w:after="40"/>
            </w:pPr>
            <w:r>
              <w:rPr>
                <w:b/>
                <w:color w:val="1F2A56"/>
                <w:sz w:val="22"/>
              </w:rPr>
              <w:t xml:space="preserve">TC-001  </w:t>
            </w:r>
            <w:r>
              <w:rPr>
                <w:b/>
                <w:color w:val="23272F"/>
                <w:sz w:val="22"/>
              </w:rPr>
              <w:t>Happy path — default roots, ORG_UNIT unset</w:t>
            </w:r>
          </w:p>
          <w:p>
            <w:pPr>
              <w:spacing w:before="40" w:after="0"/>
            </w:pPr>
            <w:r>
              <w:rPr>
                <w:b/>
                <w:color w:val="1E7E34"/>
                <w:sz w:val="17"/>
                <w:shd w:val="clear" w:color="auto" w:fill="E6F4EA"/>
              </w:rPr>
              <w:t xml:space="preserve">  HAPPY PATH  </w:t>
            </w:r>
            <w:r>
              <w:rPr>
                <w:sz w:val="17"/>
              </w:rPr>
              <w:t xml:space="preserve">   </w:t>
            </w:r>
            <w:r>
              <w:rPr>
                <w:b/>
                <w:color w:val="C2410C"/>
                <w:sz w:val="17"/>
                <w:shd w:val="clear" w:color="auto" w:fill="FFF1E6"/>
              </w:rPr>
              <w:t xml:space="preserve">  PRIORITY: HIGH  </w:t>
            </w:r>
          </w:p>
          <w:p>
            <w:pPr>
              <w:spacing w:before="80" w:after="0"/>
            </w:pPr>
            <w:r>
              <w:rPr>
                <w:b/>
                <w:color w:val="6B7280"/>
                <w:sz w:val="18"/>
              </w:rPr>
              <w:t xml:space="preserve">Objective:  </w:t>
            </w:r>
            <w:r>
              <w:rPr>
                <w:i/>
                <w:color w:val="3A3F4A"/>
                <w:sz w:val="19"/>
              </w:rPr>
              <w:t>All objects land under the documented default roots with correct names.</w:t>
            </w:r>
          </w:p>
        </w:tc>
      </w:tr>
    </w:tbl>
    <w:p>
      <w:pPr>
        <w:spacing w:before="60" w:after="40"/>
      </w:pPr>
      <w:r>
        <w:rPr>
          <w:b/>
          <w:color w:val="D9822B"/>
          <w:sz w:val="18"/>
        </w:rPr>
        <w:t xml:space="preserve">Preconditions:  </w:t>
      </w:r>
      <w:r>
        <w:rPr>
          <w:color w:val="4A4F5A"/>
          <w:sz w:val="18"/>
        </w:rPr>
        <w:t>• ORG_UNIT is unset / empty.</w:t>
      </w:r>
    </w:p>
    <w:tbl>
      <w:tblPr>
        <w:jc w:val="center"/>
        <w:tblLook w:firstColumn="1" w:firstRow="1" w:lastColumn="0" w:lastRow="0" w:noHBand="0" w:noVBand="1" w:val="04A0"/>
        <w:tblLayout w:type="fixed"/>
        <w:tblBorders>
          <w:top w:val="single" w:sz="4" w:space="0" w:color="C9D0E0"/>
          <w:left w:val="single" w:sz="4" w:space="0" w:color="C9D0E0"/>
          <w:bottom w:val="single" w:sz="4" w:space="0" w:color="C9D0E0"/>
          <w:right w:val="single" w:sz="4" w:space="0" w:color="C9D0E0"/>
          <w:insideH w:val="single" w:sz="4" w:space="0" w:color="C9D0E0"/>
          <w:insideV w:val="single" w:sz="4" w:space="0" w:color="C9D0E0"/>
        </w:tblBorders>
        <w:tblW w:w="10296" w:type="dxa"/>
      </w:tblPr>
      <w:tblGrid>
        <w:gridCol w:w="605"/>
        <w:gridCol w:w="3384"/>
        <w:gridCol w:w="3096"/>
        <w:gridCol w:w="3211"/>
      </w:tblGrid>
      <w:tr>
        <w:trPr>
          <w:tblHeader w:val="true"/>
        </w:trPr>
        <w:tc>
          <w:tcPr>
            <w:tcW w:w="605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3384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Test Step / Action</w:t>
            </w:r>
          </w:p>
        </w:tc>
        <w:tc>
          <w:tcPr>
            <w:tcW w:w="3096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Test Data (format / value)</w:t>
            </w:r>
          </w:p>
        </w:tc>
        <w:tc>
          <w:tcPr>
            <w:tcW w:w="3211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605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1</w:t>
            </w:r>
          </w:p>
        </w:tc>
        <w:tc>
          <w:tcPr>
            <w:tcW w:type="dxa" w:w="3384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Run the export with no path kwargs and no spec overrides.</w:t>
            </w:r>
          </w:p>
        </w:tc>
        <w:tc>
          <w:tcPr>
            <w:tcW w:type="dxa" w:w="3096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process_date=20260313; file_format=csv; table=customer</w:t>
            </w:r>
          </w:p>
        </w:tc>
        <w:tc>
          <w:tcPr>
            <w:tcW w:type="dxa" w:w="3211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Run completes.</w:t>
            </w:r>
          </w:p>
        </w:tc>
      </w:tr>
      <w:tr>
        <w:tc>
          <w:tcPr>
            <w:tcW w:type="dxa" w:w="605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2</w:t>
            </w:r>
          </w:p>
        </w:tc>
        <w:tc>
          <w:tcPr>
            <w:tcW w:type="dxa" w:w="3384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Verify the clean-bad key.</w:t>
            </w:r>
          </w:p>
        </w:tc>
        <w:tc>
          <w:tcPr>
            <w:tcW w:type="dxa" w:w="3096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Expect landing/acquisition/bad/20260313/customer_20260313.csv</w:t>
            </w:r>
          </w:p>
        </w:tc>
        <w:tc>
          <w:tcPr>
            <w:tcW w:type="dxa" w:w="3211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Object exists at exactly that key.</w:t>
            </w:r>
          </w:p>
        </w:tc>
      </w:tr>
      <w:tr>
        <w:tc>
          <w:tcPr>
            <w:tcW w:type="dxa" w:w="605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3</w:t>
            </w:r>
          </w:p>
        </w:tc>
        <w:tc>
          <w:tcPr>
            <w:tcW w:type="dxa" w:w="3384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Verify the aggregated and detailed keys.</w:t>
            </w:r>
          </w:p>
        </w:tc>
        <w:tc>
          <w:tcPr>
            <w:tcW w:type="dxa" w:w="3096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Expect .../feedback/reporting/20260313/aggregated_customer_20260313.csv and detailed_...</w:t>
            </w:r>
          </w:p>
        </w:tc>
        <w:tc>
          <w:tcPr>
            <w:tcW w:type="dxa" w:w="3211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Both objects exist at the documented report paths.</w:t>
            </w:r>
          </w:p>
        </w:tc>
      </w:tr>
      <w:tr>
        <w:tc>
          <w:tcPr>
            <w:tcW w:type="dxa" w:w="605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4</w:t>
            </w:r>
          </w:p>
        </w:tc>
        <w:tc>
          <w:tcPr>
            <w:tcW w:type="dxa" w:w="3384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Verify the feedback flag key.</w:t>
            </w:r>
          </w:p>
        </w:tc>
        <w:tc>
          <w:tcPr>
            <w:tcW w:type="dxa" w:w="3096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Expect landing/acquisition/feedback/20260313/&lt;flag&gt;</w:t>
            </w:r>
          </w:p>
        </w:tc>
        <w:tc>
          <w:tcPr>
            <w:tcW w:type="dxa" w:w="3211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Flag object exists under the feedback root.</w:t>
            </w:r>
          </w:p>
        </w:tc>
      </w:tr>
    </w:tbl>
    <w:p>
      <w:pPr>
        <w:spacing w:after="40"/>
      </w:pPr>
    </w:p>
    <w:tbl>
      <w:tblPr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W w:w="10296" w:type="dxa"/>
      </w:tblPr>
      <w:tblGrid>
        <w:gridCol w:w="10296"/>
      </w:tblGrid>
      <w:tr>
        <w:tc>
          <w:tcPr>
            <w:tcW w:w="10296" w:type="dxa"/>
            <w:shd w:val="clear" w:color="auto" w:fill="EDF0F7"/>
            <w:tcBorders>
              <w:left w:val="single" w:sz="30" w:space="0" w:color="1F2A56"/>
            </w:tcBorders>
            <w:tcMar>
              <w:top w:w="90" w:type="dxa"/>
              <w:bottom w:w="90" w:type="dxa"/>
              <w:start w:w="160" w:type="dxa"/>
              <w:end w:w="150" w:type="dxa"/>
              <w:left w:w="160" w:type="dxa"/>
              <w:right w:w="150" w:type="dxa"/>
            </w:tcMar>
          </w:tcPr>
          <w:p>
            <w:pPr>
              <w:spacing w:after="40"/>
            </w:pPr>
            <w:r>
              <w:rPr>
                <w:b/>
                <w:color w:val="1F2A56"/>
                <w:sz w:val="22"/>
              </w:rPr>
              <w:t xml:space="preserve">TC-002  </w:t>
            </w:r>
            <w:r>
              <w:rPr>
                <w:b/>
                <w:color w:val="23272F"/>
                <w:sz w:val="22"/>
              </w:rPr>
              <w:t>Happy path — ORG_UNIT prefix applied</w:t>
            </w:r>
          </w:p>
          <w:p>
            <w:pPr>
              <w:spacing w:before="40" w:after="0"/>
            </w:pPr>
            <w:r>
              <w:rPr>
                <w:b/>
                <w:color w:val="1E7E34"/>
                <w:sz w:val="17"/>
                <w:shd w:val="clear" w:color="auto" w:fill="E6F4EA"/>
              </w:rPr>
              <w:t xml:space="preserve">  HAPPY PATH  </w:t>
            </w:r>
            <w:r>
              <w:rPr>
                <w:sz w:val="17"/>
              </w:rPr>
              <w:t xml:space="preserve">   </w:t>
            </w:r>
            <w:r>
              <w:rPr>
                <w:b/>
                <w:color w:val="C2410C"/>
                <w:sz w:val="17"/>
                <w:shd w:val="clear" w:color="auto" w:fill="FFF1E6"/>
              </w:rPr>
              <w:t xml:space="preserve">  PRIORITY: HIGH  </w:t>
            </w:r>
          </w:p>
          <w:p>
            <w:pPr>
              <w:spacing w:before="80" w:after="0"/>
            </w:pPr>
            <w:r>
              <w:rPr>
                <w:b/>
                <w:color w:val="6B7280"/>
                <w:sz w:val="18"/>
              </w:rPr>
              <w:t xml:space="preserve">Objective:  </w:t>
            </w:r>
            <w:r>
              <w:rPr>
                <w:i/>
                <w:color w:val="3A3F4A"/>
                <w:sz w:val="19"/>
              </w:rPr>
              <w:t>Setting ORG_UNIT prepends {ORG_UNIT}/ before the configured roots for every object.</w:t>
            </w:r>
          </w:p>
        </w:tc>
      </w:tr>
    </w:tbl>
    <w:p>
      <w:pPr>
        <w:spacing w:before="60" w:after="40"/>
      </w:pPr>
      <w:r>
        <w:rPr>
          <w:b/>
          <w:color w:val="D9822B"/>
          <w:sz w:val="18"/>
        </w:rPr>
        <w:t xml:space="preserve">Preconditions:  </w:t>
      </w:r>
      <w:r>
        <w:rPr>
          <w:color w:val="4A4F5A"/>
          <w:sz w:val="18"/>
        </w:rPr>
        <w:t>• ORG_UNIT=OrgA</w:t>
      </w:r>
    </w:p>
    <w:tbl>
      <w:tblPr>
        <w:jc w:val="center"/>
        <w:tblLook w:firstColumn="1" w:firstRow="1" w:lastColumn="0" w:lastRow="0" w:noHBand="0" w:noVBand="1" w:val="04A0"/>
        <w:tblLayout w:type="fixed"/>
        <w:tblBorders>
          <w:top w:val="single" w:sz="4" w:space="0" w:color="C9D0E0"/>
          <w:left w:val="single" w:sz="4" w:space="0" w:color="C9D0E0"/>
          <w:bottom w:val="single" w:sz="4" w:space="0" w:color="C9D0E0"/>
          <w:right w:val="single" w:sz="4" w:space="0" w:color="C9D0E0"/>
          <w:insideH w:val="single" w:sz="4" w:space="0" w:color="C9D0E0"/>
          <w:insideV w:val="single" w:sz="4" w:space="0" w:color="C9D0E0"/>
        </w:tblBorders>
        <w:tblW w:w="10296" w:type="dxa"/>
      </w:tblPr>
      <w:tblGrid>
        <w:gridCol w:w="605"/>
        <w:gridCol w:w="3384"/>
        <w:gridCol w:w="3096"/>
        <w:gridCol w:w="3211"/>
      </w:tblGrid>
      <w:tr>
        <w:trPr>
          <w:tblHeader w:val="true"/>
        </w:trPr>
        <w:tc>
          <w:tcPr>
            <w:tcW w:w="605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3384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Test Step / Action</w:t>
            </w:r>
          </w:p>
        </w:tc>
        <w:tc>
          <w:tcPr>
            <w:tcW w:w="3096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Test Data (format / value)</w:t>
            </w:r>
          </w:p>
        </w:tc>
        <w:tc>
          <w:tcPr>
            <w:tcW w:w="3211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605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1</w:t>
            </w:r>
          </w:p>
        </w:tc>
        <w:tc>
          <w:tcPr>
            <w:tcW w:type="dxa" w:w="3384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Set ORG_UNIT and run the export with default roots.</w:t>
            </w:r>
          </w:p>
        </w:tc>
        <w:tc>
          <w:tcPr>
            <w:tcW w:type="dxa" w:w="3096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ORG_UNIT=OrgA; process_date=20260313; table=customer</w:t>
            </w:r>
          </w:p>
        </w:tc>
        <w:tc>
          <w:tcPr>
            <w:tcW w:type="dxa" w:w="3211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Run completes.</w:t>
            </w:r>
          </w:p>
        </w:tc>
      </w:tr>
      <w:tr>
        <w:tc>
          <w:tcPr>
            <w:tcW w:type="dxa" w:w="605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2</w:t>
            </w:r>
          </w:p>
        </w:tc>
        <w:tc>
          <w:tcPr>
            <w:tcW w:type="dxa" w:w="3384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Verify keys are prefixed.</w:t>
            </w:r>
          </w:p>
        </w:tc>
        <w:tc>
          <w:tcPr>
            <w:tcW w:type="dxa" w:w="3096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Expect &lt;orgunit-prefix&gt;/landing/acquisition/bad/20260313/customer_20260313.csv</w:t>
            </w:r>
          </w:p>
        </w:tc>
        <w:tc>
          <w:tcPr>
            <w:tcW w:type="dxa" w:w="3211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Every object key begins with the ORG_UNIT segment ahead of the configured root.</w:t>
            </w:r>
          </w:p>
        </w:tc>
      </w:tr>
      <w:tr>
        <w:tc>
          <w:tcPr>
            <w:tcW w:type="dxa" w:w="605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3</w:t>
            </w:r>
          </w:p>
        </w:tc>
        <w:tc>
          <w:tcPr>
            <w:tcW w:type="dxa" w:w="3384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Confirm prefix is applied consistently to all three roots + flags.</w:t>
            </w:r>
          </w:p>
        </w:tc>
        <w:tc>
          <w:tcPr>
            <w:tcW w:type="dxa" w:w="3096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Inspect bad, report and feedback keys</w:t>
            </w:r>
          </w:p>
        </w:tc>
        <w:tc>
          <w:tcPr>
            <w:tcW w:type="dxa" w:w="3211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All carry the same ORG_UNIT prefix.</w:t>
            </w:r>
          </w:p>
        </w:tc>
      </w:tr>
    </w:tbl>
    <w:p>
      <w:pPr>
        <w:spacing w:after="40"/>
      </w:pPr>
    </w:p>
    <w:tbl>
      <w:tblPr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W w:w="10296" w:type="dxa"/>
      </w:tblPr>
      <w:tblGrid>
        <w:gridCol w:w="10296"/>
      </w:tblGrid>
      <w:tr>
        <w:tc>
          <w:tcPr>
            <w:tcW w:w="10296" w:type="dxa"/>
            <w:shd w:val="clear" w:color="auto" w:fill="EDF0F7"/>
            <w:tcBorders>
              <w:left w:val="single" w:sz="30" w:space="0" w:color="1F2A56"/>
            </w:tcBorders>
            <w:tcMar>
              <w:top w:w="90" w:type="dxa"/>
              <w:bottom w:w="90" w:type="dxa"/>
              <w:start w:w="160" w:type="dxa"/>
              <w:end w:w="150" w:type="dxa"/>
              <w:left w:w="160" w:type="dxa"/>
              <w:right w:w="150" w:type="dxa"/>
            </w:tcMar>
          </w:tcPr>
          <w:p>
            <w:pPr>
              <w:spacing w:after="40"/>
            </w:pPr>
            <w:r>
              <w:rPr>
                <w:b/>
                <w:color w:val="1F2A56"/>
                <w:sz w:val="22"/>
              </w:rPr>
              <w:t xml:space="preserve">TC-003  </w:t>
            </w:r>
            <w:r>
              <w:rPr>
                <w:b/>
                <w:color w:val="23272F"/>
                <w:sz w:val="22"/>
              </w:rPr>
              <w:t>Boundary/Normalisation — un-normalised configured roots</w:t>
            </w:r>
          </w:p>
          <w:p>
            <w:pPr>
              <w:spacing w:before="40" w:after="0"/>
            </w:pPr>
            <w:r>
              <w:rPr>
                <w:b/>
                <w:color w:val="B26A00"/>
                <w:sz w:val="17"/>
                <w:shd w:val="clear" w:color="auto" w:fill="FFF4E5"/>
              </w:rPr>
              <w:t xml:space="preserve">  BOUNDARY  </w:t>
            </w:r>
            <w:r>
              <w:rPr>
                <w:sz w:val="17"/>
              </w:rPr>
              <w:t xml:space="preserve">   </w:t>
            </w:r>
            <w:r>
              <w:rPr>
                <w:b/>
                <w:color w:val="C2410C"/>
                <w:sz w:val="17"/>
                <w:shd w:val="clear" w:color="auto" w:fill="FFF1E6"/>
              </w:rPr>
              <w:t xml:space="preserve">  PRIORITY: HIGH  </w:t>
            </w:r>
          </w:p>
          <w:p>
            <w:pPr>
              <w:spacing w:before="80" w:after="0"/>
            </w:pPr>
            <w:r>
              <w:rPr>
                <w:b/>
                <w:color w:val="6B7280"/>
                <w:sz w:val="18"/>
              </w:rPr>
              <w:t xml:space="preserve">Objective:  </w:t>
            </w:r>
            <w:r>
              <w:rPr>
                <w:i/>
                <w:color w:val="3A3F4A"/>
                <w:sz w:val="19"/>
              </w:rPr>
              <w:t>Roots with surrounding slashes and uppercase are normalised before keys are built.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Borders>
          <w:top w:val="single" w:sz="4" w:space="0" w:color="C9D0E0"/>
          <w:left w:val="single" w:sz="4" w:space="0" w:color="C9D0E0"/>
          <w:bottom w:val="single" w:sz="4" w:space="0" w:color="C9D0E0"/>
          <w:right w:val="single" w:sz="4" w:space="0" w:color="C9D0E0"/>
          <w:insideH w:val="single" w:sz="4" w:space="0" w:color="C9D0E0"/>
          <w:insideV w:val="single" w:sz="4" w:space="0" w:color="C9D0E0"/>
        </w:tblBorders>
        <w:tblW w:w="10296" w:type="dxa"/>
      </w:tblPr>
      <w:tblGrid>
        <w:gridCol w:w="605"/>
        <w:gridCol w:w="3384"/>
        <w:gridCol w:w="3096"/>
        <w:gridCol w:w="3211"/>
      </w:tblGrid>
      <w:tr>
        <w:trPr>
          <w:tblHeader w:val="true"/>
        </w:trPr>
        <w:tc>
          <w:tcPr>
            <w:tcW w:w="605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3384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Test Step / Action</w:t>
            </w:r>
          </w:p>
        </w:tc>
        <w:tc>
          <w:tcPr>
            <w:tcW w:w="3096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Test Data (format / value)</w:t>
            </w:r>
          </w:p>
        </w:tc>
        <w:tc>
          <w:tcPr>
            <w:tcW w:w="3211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605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1</w:t>
            </w:r>
          </w:p>
        </w:tc>
        <w:tc>
          <w:tcPr>
            <w:tcW w:type="dxa" w:w="3384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Override roots with messy values.</w:t>
            </w:r>
          </w:p>
        </w:tc>
        <w:tc>
          <w:tcPr>
            <w:tcW w:type="dxa" w:w="3096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bad_records_location='/Landing/Acquisition/Bad/'</w:t>
            </w:r>
          </w:p>
        </w:tc>
        <w:tc>
          <w:tcPr>
            <w:tcW w:type="dxa" w:w="3211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Accepted by config.</w:t>
            </w:r>
          </w:p>
        </w:tc>
      </w:tr>
      <w:tr>
        <w:tc>
          <w:tcPr>
            <w:tcW w:type="dxa" w:w="605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2</w:t>
            </w:r>
          </w:p>
        </w:tc>
        <w:tc>
          <w:tcPr>
            <w:tcW w:type="dxa" w:w="3384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Run the export.</w:t>
            </w:r>
          </w:p>
        </w:tc>
        <w:tc>
          <w:tcPr>
            <w:tcW w:type="dxa" w:w="3096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process_date=20260313; table=customer</w:t>
            </w:r>
          </w:p>
        </w:tc>
        <w:tc>
          <w:tcPr>
            <w:tcW w:type="dxa" w:w="3211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Run completes.</w:t>
            </w:r>
          </w:p>
        </w:tc>
      </w:tr>
      <w:tr>
        <w:tc>
          <w:tcPr>
            <w:tcW w:type="dxa" w:w="605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3</w:t>
            </w:r>
          </w:p>
        </w:tc>
        <w:tc>
          <w:tcPr>
            <w:tcW w:type="dxa" w:w="3384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Verify the resulting key is normalised.</w:t>
            </w:r>
          </w:p>
        </w:tc>
        <w:tc>
          <w:tcPr>
            <w:tcW w:type="dxa" w:w="3096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Expect landing/acquisition/bad/20260313/customer_20260313.csv</w:t>
            </w:r>
          </w:p>
        </w:tc>
        <w:tc>
          <w:tcPr>
            <w:tcW w:type="dxa" w:w="3211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Leading/trailing slashes stripped and value lowercased; no doubled '//' or mixed case in the key.</w:t>
            </w:r>
          </w:p>
        </w:tc>
      </w:tr>
    </w:tbl>
    <w:p>
      <w:pPr>
        <w:spacing w:after="40"/>
      </w:pPr>
    </w:p>
    <w:tbl>
      <w:tblPr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W w:w="10296" w:type="dxa"/>
      </w:tblPr>
      <w:tblGrid>
        <w:gridCol w:w="10296"/>
      </w:tblGrid>
      <w:tr>
        <w:tc>
          <w:tcPr>
            <w:tcW w:w="10296" w:type="dxa"/>
            <w:shd w:val="clear" w:color="auto" w:fill="EDF0F7"/>
            <w:tcBorders>
              <w:left w:val="single" w:sz="30" w:space="0" w:color="1F2A56"/>
            </w:tcBorders>
            <w:tcMar>
              <w:top w:w="90" w:type="dxa"/>
              <w:bottom w:w="90" w:type="dxa"/>
              <w:start w:w="160" w:type="dxa"/>
              <w:end w:w="150" w:type="dxa"/>
              <w:left w:w="160" w:type="dxa"/>
              <w:right w:w="150" w:type="dxa"/>
            </w:tcMar>
          </w:tcPr>
          <w:p>
            <w:pPr>
              <w:spacing w:after="40"/>
            </w:pPr>
            <w:r>
              <w:rPr>
                <w:b/>
                <w:color w:val="1F2A56"/>
                <w:sz w:val="22"/>
              </w:rPr>
              <w:t xml:space="preserve">TC-004  </w:t>
            </w:r>
            <w:r>
              <w:rPr>
                <w:b/>
                <w:color w:val="23272F"/>
                <w:sz w:val="22"/>
              </w:rPr>
              <w:t>Happy path — selective root override isolation</w:t>
            </w:r>
          </w:p>
          <w:p>
            <w:pPr>
              <w:spacing w:before="40" w:after="0"/>
            </w:pPr>
            <w:r>
              <w:rPr>
                <w:b/>
                <w:color w:val="1E7E34"/>
                <w:sz w:val="17"/>
                <w:shd w:val="clear" w:color="auto" w:fill="E6F4EA"/>
              </w:rPr>
              <w:t xml:space="preserve">  HAPPY PATH  </w:t>
            </w:r>
            <w:r>
              <w:rPr>
                <w:sz w:val="17"/>
              </w:rPr>
              <w:t xml:space="preserve">   </w:t>
            </w:r>
            <w:r>
              <w:rPr>
                <w:b/>
                <w:color w:val="8D6E00"/>
                <w:sz w:val="17"/>
                <w:shd w:val="clear" w:color="auto" w:fill="FFF8E1"/>
              </w:rPr>
              <w:t xml:space="preserve">  PRIORITY: MEDIUM  </w:t>
            </w:r>
          </w:p>
          <w:p>
            <w:pPr>
              <w:spacing w:before="80" w:after="0"/>
            </w:pPr>
            <w:r>
              <w:rPr>
                <w:b/>
                <w:color w:val="6B7280"/>
                <w:sz w:val="18"/>
              </w:rPr>
              <w:t xml:space="preserve">Objective:  </w:t>
            </w:r>
            <w:r>
              <w:rPr>
                <w:i/>
                <w:color w:val="3A3F4A"/>
                <w:sz w:val="19"/>
              </w:rPr>
              <w:t>Overriding one root does not relocate objects for the other roots.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Borders>
          <w:top w:val="single" w:sz="4" w:space="0" w:color="C9D0E0"/>
          <w:left w:val="single" w:sz="4" w:space="0" w:color="C9D0E0"/>
          <w:bottom w:val="single" w:sz="4" w:space="0" w:color="C9D0E0"/>
          <w:right w:val="single" w:sz="4" w:space="0" w:color="C9D0E0"/>
          <w:insideH w:val="single" w:sz="4" w:space="0" w:color="C9D0E0"/>
          <w:insideV w:val="single" w:sz="4" w:space="0" w:color="C9D0E0"/>
        </w:tblBorders>
        <w:tblW w:w="10296" w:type="dxa"/>
      </w:tblPr>
      <w:tblGrid>
        <w:gridCol w:w="605"/>
        <w:gridCol w:w="3384"/>
        <w:gridCol w:w="3096"/>
        <w:gridCol w:w="3211"/>
      </w:tblGrid>
      <w:tr>
        <w:trPr>
          <w:tblHeader w:val="true"/>
        </w:trPr>
        <w:tc>
          <w:tcPr>
            <w:tcW w:w="605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3384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Test Step / Action</w:t>
            </w:r>
          </w:p>
        </w:tc>
        <w:tc>
          <w:tcPr>
            <w:tcW w:w="3096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Test Data (format / value)</w:t>
            </w:r>
          </w:p>
        </w:tc>
        <w:tc>
          <w:tcPr>
            <w:tcW w:w="3211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605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1</w:t>
            </w:r>
          </w:p>
        </w:tc>
        <w:tc>
          <w:tcPr>
            <w:tcW w:type="dxa" w:w="3384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Override only the report root.</w:t>
            </w:r>
          </w:p>
        </w:tc>
        <w:tc>
          <w:tcPr>
            <w:tcW w:type="dxa" w:w="3096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report_location='landing/acquisition/custom_reporting'</w:t>
            </w:r>
          </w:p>
        </w:tc>
        <w:tc>
          <w:tcPr>
            <w:tcW w:type="dxa" w:w="3211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Config accepted.</w:t>
            </w:r>
          </w:p>
        </w:tc>
      </w:tr>
      <w:tr>
        <w:tc>
          <w:tcPr>
            <w:tcW w:type="dxa" w:w="605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2</w:t>
            </w:r>
          </w:p>
        </w:tc>
        <w:tc>
          <w:tcPr>
            <w:tcW w:type="dxa" w:w="3384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Run the export.</w:t>
            </w:r>
          </w:p>
        </w:tc>
        <w:tc>
          <w:tcPr>
            <w:tcW w:type="dxa" w:w="3096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process_date=20260313; table=customer</w:t>
            </w:r>
          </w:p>
        </w:tc>
        <w:tc>
          <w:tcPr>
            <w:tcW w:type="dxa" w:w="3211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Run completes.</w:t>
            </w:r>
          </w:p>
        </w:tc>
      </w:tr>
      <w:tr>
        <w:tc>
          <w:tcPr>
            <w:tcW w:type="dxa" w:w="605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3</w:t>
            </w:r>
          </w:p>
        </w:tc>
        <w:tc>
          <w:tcPr>
            <w:tcW w:type="dxa" w:w="3384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Verify report objects moved but bad/feedback did not.</w:t>
            </w:r>
          </w:p>
        </w:tc>
        <w:tc>
          <w:tcPr>
            <w:tcW w:type="dxa" w:w="3096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Inspect all three roots</w:t>
            </w:r>
          </w:p>
        </w:tc>
        <w:tc>
          <w:tcPr>
            <w:tcW w:type="dxa" w:w="3211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aggregated/detailed under custom_reporting; clean-bad still under landing/acquisition/bad; flag still under landing/acquisition/feedback.</w:t>
            </w:r>
          </w:p>
        </w:tc>
      </w:tr>
    </w:tbl>
    <w:p>
      <w:pPr>
        <w:spacing w:after="40"/>
      </w:pPr>
    </w:p>
    <w:tbl>
      <w:tblPr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W w:w="10296" w:type="dxa"/>
      </w:tblPr>
      <w:tblGrid>
        <w:gridCol w:w="10296"/>
      </w:tblGrid>
      <w:tr>
        <w:tc>
          <w:tcPr>
            <w:tcW w:w="10296" w:type="dxa"/>
            <w:shd w:val="clear" w:color="auto" w:fill="EDF0F7"/>
            <w:tcBorders>
              <w:left w:val="single" w:sz="30" w:space="0" w:color="1F2A56"/>
            </w:tcBorders>
            <w:tcMar>
              <w:top w:w="90" w:type="dxa"/>
              <w:bottom w:w="90" w:type="dxa"/>
              <w:start w:w="160" w:type="dxa"/>
              <w:end w:w="150" w:type="dxa"/>
              <w:left w:w="160" w:type="dxa"/>
              <w:right w:w="150" w:type="dxa"/>
            </w:tcMar>
          </w:tcPr>
          <w:p>
            <w:pPr>
              <w:spacing w:after="40"/>
            </w:pPr>
            <w:r>
              <w:rPr>
                <w:b/>
                <w:color w:val="1F2A56"/>
                <w:sz w:val="22"/>
              </w:rPr>
              <w:t xml:space="preserve">TC-005  </w:t>
            </w:r>
            <w:r>
              <w:rPr>
                <w:b/>
                <w:color w:val="23272F"/>
                <w:sz w:val="22"/>
              </w:rPr>
              <w:t>Negative — overlapping/empty root values</w:t>
            </w:r>
          </w:p>
          <w:p>
            <w:pPr>
              <w:spacing w:before="40" w:after="0"/>
            </w:pPr>
            <w:r>
              <w:rPr>
                <w:b/>
                <w:color w:val="B3261E"/>
                <w:sz w:val="17"/>
                <w:shd w:val="clear" w:color="auto" w:fill="FCE9E9"/>
              </w:rPr>
              <w:t xml:space="preserve">  NEGATIVE  </w:t>
            </w:r>
            <w:r>
              <w:rPr>
                <w:sz w:val="17"/>
              </w:rPr>
              <w:t xml:space="preserve">   </w:t>
            </w:r>
            <w:r>
              <w:rPr>
                <w:b/>
                <w:color w:val="2E7D32"/>
                <w:sz w:val="17"/>
                <w:shd w:val="clear" w:color="auto" w:fill="E8F5E9"/>
              </w:rPr>
              <w:t xml:space="preserve">  PRIORITY: LOW  </w:t>
            </w:r>
          </w:p>
          <w:p>
            <w:pPr>
              <w:spacing w:before="80" w:after="0"/>
            </w:pPr>
            <w:r>
              <w:rPr>
                <w:b/>
                <w:color w:val="6B7280"/>
                <w:sz w:val="18"/>
              </w:rPr>
              <w:t xml:space="preserve">Objective:  </w:t>
            </w:r>
            <w:r>
              <w:rPr>
                <w:i/>
                <w:color w:val="3A3F4A"/>
                <w:sz w:val="19"/>
              </w:rPr>
              <w:t>Empty or degenerate root overrides are handled predictably (no keys with leading slash or empty segment).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Borders>
          <w:top w:val="single" w:sz="4" w:space="0" w:color="C9D0E0"/>
          <w:left w:val="single" w:sz="4" w:space="0" w:color="C9D0E0"/>
          <w:bottom w:val="single" w:sz="4" w:space="0" w:color="C9D0E0"/>
          <w:right w:val="single" w:sz="4" w:space="0" w:color="C9D0E0"/>
          <w:insideH w:val="single" w:sz="4" w:space="0" w:color="C9D0E0"/>
          <w:insideV w:val="single" w:sz="4" w:space="0" w:color="C9D0E0"/>
        </w:tblBorders>
        <w:tblW w:w="10296" w:type="dxa"/>
      </w:tblPr>
      <w:tblGrid>
        <w:gridCol w:w="605"/>
        <w:gridCol w:w="3384"/>
        <w:gridCol w:w="3096"/>
        <w:gridCol w:w="3211"/>
      </w:tblGrid>
      <w:tr>
        <w:trPr>
          <w:tblHeader w:val="true"/>
        </w:trPr>
        <w:tc>
          <w:tcPr>
            <w:tcW w:w="605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3384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Test Step / Action</w:t>
            </w:r>
          </w:p>
        </w:tc>
        <w:tc>
          <w:tcPr>
            <w:tcW w:w="3096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Test Data (format / value)</w:t>
            </w:r>
          </w:p>
        </w:tc>
        <w:tc>
          <w:tcPr>
            <w:tcW w:w="3211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605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1</w:t>
            </w:r>
          </w:p>
        </w:tc>
        <w:tc>
          <w:tcPr>
            <w:tcW w:type="dxa" w:w="3384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Override a root with an empty string.</w:t>
            </w:r>
          </w:p>
        </w:tc>
        <w:tc>
          <w:tcPr>
            <w:tcW w:type="dxa" w:w="3096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bad_records_location=''</w:t>
            </w:r>
          </w:p>
        </w:tc>
        <w:tc>
          <w:tcPr>
            <w:tcW w:type="dxa" w:w="3211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Config accepted or rejected — behaviour is documented and deterministic.</w:t>
            </w:r>
          </w:p>
        </w:tc>
      </w:tr>
      <w:tr>
        <w:tc>
          <w:tcPr>
            <w:tcW w:type="dxa" w:w="605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2</w:t>
            </w:r>
          </w:p>
        </w:tc>
        <w:tc>
          <w:tcPr>
            <w:tcW w:type="dxa" w:w="3384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Run the export and inspect keys.</w:t>
            </w:r>
          </w:p>
        </w:tc>
        <w:tc>
          <w:tcPr>
            <w:tcW w:type="dxa" w:w="3096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process_date=20260313; table=customer</w:t>
            </w:r>
          </w:p>
        </w:tc>
        <w:tc>
          <w:tcPr>
            <w:tcW w:type="dxa" w:w="3211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No object key is produced with a leading '/' or an empty path segment (e.g. never '//20260313/...').</w:t>
            </w:r>
          </w:p>
        </w:tc>
      </w:tr>
    </w:tbl>
    <w:p>
      <w:pPr>
        <w:spacing w:after="40"/>
      </w:pPr>
    </w:p>
    <w:p>
      <w:pPr>
        <w:spacing w:before="200"/>
        <w:pBdr>
          <w:top w:val="single" w:sz="6" w:space="4" w:color="C9D0E0"/>
        </w:pBdr>
      </w:pPr>
      <w:r>
        <w:rPr>
          <w:i/>
          <w:color w:val="6B7280"/>
          <w:sz w:val="16"/>
        </w:rPr>
        <w:t>Generated for the DXV Feedback (Quarantine Export) integration test suite — 2026-06-11.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008" w:right="936" w:bottom="100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4" w:color="C9D0E0"/>
      </w:pBdr>
    </w:pPr>
    <w:r/>
    <w:r>
      <w:rPr>
        <w:color w:val="6B7280"/>
        <w:sz w:val="16"/>
      </w:rPr>
      <w:t xml:space="preserve">DXV-FRE-003  •  Resolve, normalise and prefix output object paths correctly   </w:t>
    </w:r>
    <w:r>
      <w:rPr>
        <w:color w:val="6B7280"/>
        <w:sz w:val="16"/>
      </w:rPr>
      <w:t xml:space="preserve">        Page </w:t>
    </w:r>
    <w:r>
      <w:fldChar w:fldCharType="begin"/>
    </w:r>
    <w:r>
      <w:instrText xml:space="preserve">PAGE</w:instrText>
    </w:r>
    <w:r>
      <w:fldChar w:fldCharType="end"/>
    </w:r>
    <w:r>
      <w:rPr>
        <w:color w:val="6B7280"/>
        <w:sz w:val="16"/>
      </w:rPr>
      <w:t xml:space="preserve"> of </w:t>
    </w:r>
    <w:r>
      <w:fldChar w:fldCharType="begin"/>
    </w:r>
    <w:r>
      <w:instrText xml:space="preserve">NUMPAGES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9AA3B2"/>
        <w:sz w:val="16"/>
      </w:rPr>
      <w:t>DXV — Data Exchange Vault   |   Feedback (Quarantine Export) Test Suite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3272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