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DXV-FRE-007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Align headerless export shape with RFFilespec ingest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RFFilespec / Headerless Compatibility   |   DXV Feedback (Quarantine Export)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W w:w="10296" w:type="dxa"/>
      </w:tblPr>
      <w:tblGrid>
        <w:gridCol w:w="1944"/>
        <w:gridCol w:w="4320"/>
        <w:gridCol w:w="1944"/>
        <w:gridCol w:w="2088"/>
      </w:tblGrid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DXV-FRE-007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8D6E00"/>
                <w:sz w:val="17"/>
                <w:shd w:val="clear" w:color="auto" w:fill="FFF8E1"/>
              </w:rPr>
              <w:t xml:space="preserve">  Medium  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RFFilespec / Headerless Compatibility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3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rffilespec, headerless, integration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AML data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headerless bad-row and report files when ingest uses RFFilespec/XML-driven, headerless column ordering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the resubmit and report files match the exact shape the ingest expects, avoiding a header line that RFFilespec ingest would not tolerate.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When the contract sets input.use_rffilespec to true, ingest uses headerless, RFFilespec/XML-driven column ordering. Failed-record export, however, still defaults include_header to true regardless of use_rffilespec.</w:t>
      </w:r>
    </w:p>
    <w:p>
      <w:pPr>
        <w:spacing w:after="120"/>
        <w:jc w:val="both"/>
      </w:pPr>
      <w:r>
        <w:rPr>
          <w:sz w:val="21"/>
        </w:rPr>
        <w:t>Therefore, to produce headerless bad rows and reports that match the RFFilespec ingest shape, the team must explicitly set include_header to false — either in the contract JSON or by passing include_header=False to run_pipeline.</w:t>
      </w:r>
    </w:p>
    <w:p>
      <w:pPr>
        <w:spacing w:after="120"/>
        <w:jc w:val="both"/>
      </w:pPr>
      <w:r>
        <w:rPr>
          <w:sz w:val="21"/>
        </w:rPr>
        <w:t>Export path roots remain global for this stage (bad_records_location, feedback_location, report_location). There is no separate per-table export path layout introduced by RFFilespec; only the header behaviour needs aligning.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input.use_rffilespec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When true, ingest is headerless with XML-driven column order.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Export default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include_header still defaults to true even when use_rffilespec is true.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Required action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Set include_header=false (contract) or include_header=False (kwarg) for headerless export.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Path roots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Remain global (bad/feedback/report); no per-table export path layout.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With use_rffilespec=true and no header override, export still emits a header row (documented default).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With use_rffilespec=true and include_header=false (contract or kwarg), bad rows and reports are headerless.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Headerless output column order is consistent with the RFFilespec/XML-driven ingest order.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Export path roots remain the global bad/feedback/report roots regardless of use_rffilespec.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input.use_rffilespec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true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include_header (kwarg)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False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include_header (contract)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false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table_name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customer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20260313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contract configured with input.use_rffilespec=true and a corresponding RFFilespec/XML column order.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populated quarantine table for the table/date under test.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4 test case(s)  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  <w:r>
        <w:rPr>
          <w:b/>
          <w:color w:val="1E7E34"/>
          <w:sz w:val="17"/>
          <w:shd w:val="clear" w:color="auto" w:fill="E6F4EA"/>
        </w:rPr>
        <w:t xml:space="preserve">  Happy Path x3  </w:t>
      </w:r>
      <w:r>
        <w:rPr>
          <w:sz w:val="16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Negative/Default — rffilespec true but header not overridden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Confirm export still emits a header by default even with use_rffilespec=true (documents the gotcha).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Configure contract with use_rffilespec=true and no header override.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input.use_rffilespec=true; include_header unset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valid.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clean-bad file's first line.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Open customer_20260313 export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 header row IS present (export default true) — i.e. it does NOT auto-match headerless ingest.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headerless via kwarg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include_header=False kwarg produces headerless bad rows and reports.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use_rffilespec=true and include_header=False kwarg.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run_pipeline(..., include_header=False, process_date="20260313")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bad, aggregated and detailed files.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Open all three exports for customer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None of the files contain a header row; the first line is data.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column order matches RFFilespec/XML order.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Compare to the ingest column order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Headerless columns are positioned to match the RFFilespec-driven ingest shape.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Happy path — headerless via contract field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include_header=false in the contract JSON also yields headerless output.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include_header=false in the contract; no kwarg.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contract: include_header=false; use_rffilespec=true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valid.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output header behaviour.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Open exports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Files are headerless, matching the contract setting.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Happy path — global roots unaffected by rffilespec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2E7D32"/>
                <w:sz w:val="17"/>
                <w:shd w:val="clear" w:color="auto" w:fill="E8F5E9"/>
              </w:rPr>
              <w:t xml:space="preserve">  PRIORITY: LOW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Export path roots remain the global bad/feedback/report roots under RFFilespec.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 headerless RFFilespec export.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use_rffilespec=true; include_header=False; process_date=20260313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object keys.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keys for the date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Objects are under the same global bad/feedback/report roots; no per-table export path layout appears.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DXV-FRE-007  •  Align headerless export shape with RFFilespec ingest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