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2369" w14:textId="77777777" w:rsidR="00931960" w:rsidRPr="00586A36" w:rsidRDefault="00DF602E">
      <w:pPr>
        <w:spacing w:after="264"/>
        <w:rPr>
          <w:rFonts w:ascii="Arial" w:hAnsi="Arial" w:cs="Arial"/>
        </w:rPr>
      </w:pPr>
      <w:r w:rsidRPr="00586A36">
        <w:rPr>
          <w:rFonts w:ascii="Arial" w:hAnsi="Arial" w:cs="Arial"/>
          <w:sz w:val="36"/>
          <w:szCs w:val="36"/>
        </w:rPr>
        <w:t>References</w:t>
      </w:r>
    </w:p>
    <w:p w14:paraId="07CF3C12" w14:textId="3EF07407" w:rsidR="00840D54" w:rsidRPr="00586A36" w:rsidRDefault="00840D54" w:rsidP="00840D54">
      <w:pPr>
        <w:spacing w:after="336" w:line="36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[</w:t>
      </w:r>
      <w:r w:rsidR="00DF602E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] </w:t>
      </w:r>
      <w:r w:rsidRPr="00586A36">
        <w:rPr>
          <w:rFonts w:ascii="Arial" w:hAnsi="Arial" w:cs="Arial"/>
          <w:sz w:val="24"/>
          <w:szCs w:val="24"/>
        </w:rPr>
        <w:t>Research Staff, C. (2019). Financial Crime Risk Management Systems: AML and Watchlist Monitoring: Market Update and Vendor Landscape 2019 - Chartis Research. Retrieved 22 February 2022, from https://www.chartis-research.com/financial-crime/anti-money-laundering-aml/financial-crime-risk-management-systems-aml-and-watchlist-monitoring-2019-10741</w:t>
      </w:r>
    </w:p>
    <w:p w14:paraId="1C1C6887" w14:textId="7B36E938" w:rsidR="00840D54" w:rsidRPr="00586A36" w:rsidRDefault="00840D54" w:rsidP="00840D54">
      <w:pPr>
        <w:spacing w:after="336" w:line="36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[</w:t>
      </w:r>
      <w:r w:rsidR="00DF602E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] </w:t>
      </w:r>
      <w:r w:rsidRPr="00586A36">
        <w:rPr>
          <w:rFonts w:ascii="Arial" w:hAnsi="Arial" w:cs="Arial"/>
          <w:sz w:val="24"/>
          <w:szCs w:val="24"/>
        </w:rPr>
        <w:t>Rogan, A. (2018). Micheál Mac Donncha, Dublin lord mayor banned by Israel, slips in after name mix-up at border. Retrieved 26 February 2022, from https://www.thetimes.co.uk/article/miche-l-mac-donncha-banned-by-israel-slips-in-after-name-mix-up-at-border-rwlpkk5lp</w:t>
      </w:r>
    </w:p>
    <w:p w14:paraId="7D165743" w14:textId="3D799643" w:rsidR="00840D54" w:rsidRPr="00586A36" w:rsidRDefault="00840D54" w:rsidP="00840D54">
      <w:pPr>
        <w:spacing w:after="336" w:line="36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[</w:t>
      </w:r>
      <w:r w:rsidR="00DF602E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] </w:t>
      </w:r>
      <w:r w:rsidRPr="00586A36">
        <w:rPr>
          <w:rFonts w:ascii="Arial" w:hAnsi="Arial" w:cs="Arial"/>
          <w:sz w:val="24"/>
          <w:szCs w:val="24"/>
        </w:rPr>
        <w:t>Frasher, M. (2021). Data protection and the EU's anti-money laundering regulation. Retrieved 23 February 2022, from https://iapp.org/news/a/data-protection-and-the-eus-anti-money-laundering-regulation/</w:t>
      </w:r>
    </w:p>
    <w:p w14:paraId="26504DE2" w14:textId="4AA7EDED" w:rsidR="00931960" w:rsidRPr="00586A36" w:rsidRDefault="00586A36">
      <w:pPr>
        <w:spacing w:after="336" w:line="36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[</w:t>
      </w:r>
      <w:r w:rsidR="00DF602E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] </w:t>
      </w:r>
      <w:r w:rsidR="00DF602E" w:rsidRPr="00586A36">
        <w:rPr>
          <w:rFonts w:ascii="Arial" w:hAnsi="Arial" w:cs="Arial"/>
          <w:sz w:val="24"/>
          <w:szCs w:val="24"/>
        </w:rPr>
        <w:t>Armitage, H., &amp; Blood, C. (2021). What should data ethics mean to Financial Service providers. Retrieved 23 February 2022, from https://www.baesystems.com/en-financialservices/insights/blog/what-should-data-ethics-mean-to-financial-service-pro</w:t>
      </w:r>
      <w:r w:rsidR="00DF602E" w:rsidRPr="00586A36">
        <w:rPr>
          <w:rFonts w:ascii="Arial" w:hAnsi="Arial" w:cs="Arial"/>
          <w:sz w:val="24"/>
          <w:szCs w:val="24"/>
        </w:rPr>
        <w:t>viders</w:t>
      </w:r>
    </w:p>
    <w:p w14:paraId="3B08016C" w14:textId="1417EA3A" w:rsidR="00931960" w:rsidRPr="00586A36" w:rsidRDefault="00586A36">
      <w:pPr>
        <w:spacing w:after="336" w:line="36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[</w:t>
      </w:r>
      <w:r w:rsidR="00DF602E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] </w:t>
      </w:r>
      <w:r w:rsidR="00DF602E" w:rsidRPr="00586A36">
        <w:rPr>
          <w:rFonts w:ascii="Arial" w:hAnsi="Arial" w:cs="Arial"/>
          <w:sz w:val="24"/>
          <w:szCs w:val="24"/>
        </w:rPr>
        <w:t>Managing AML Challenges Under GDPR. (2021). Ret</w:t>
      </w:r>
      <w:r w:rsidR="00DF602E" w:rsidRPr="00586A36">
        <w:rPr>
          <w:rFonts w:ascii="Arial" w:hAnsi="Arial" w:cs="Arial"/>
          <w:sz w:val="24"/>
          <w:szCs w:val="24"/>
        </w:rPr>
        <w:t>rieved 23 February 2022, from https://complyadvantage.com/insights/anti-money-laundering/gdpr-aml/</w:t>
      </w:r>
    </w:p>
    <w:p w14:paraId="7095D711" w14:textId="2205E905" w:rsidR="00931960" w:rsidRPr="00586A36" w:rsidRDefault="00586A36">
      <w:pPr>
        <w:spacing w:after="336" w:line="36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[</w:t>
      </w:r>
      <w:r w:rsidR="00DF602E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] </w:t>
      </w:r>
      <w:r w:rsidR="00DF602E" w:rsidRPr="00586A36">
        <w:rPr>
          <w:rFonts w:ascii="Arial" w:hAnsi="Arial" w:cs="Arial"/>
          <w:sz w:val="24"/>
          <w:szCs w:val="24"/>
        </w:rPr>
        <w:t>Transform your Sanctions and PEP Screening processes. (202</w:t>
      </w:r>
      <w:r w:rsidR="00DF602E" w:rsidRPr="00586A36">
        <w:rPr>
          <w:rFonts w:ascii="Arial" w:hAnsi="Arial" w:cs="Arial"/>
          <w:sz w:val="24"/>
          <w:szCs w:val="24"/>
        </w:rPr>
        <w:t>1). Retrieved 26 February 2022, from https://www.baesystems.com/en-financialservices/solutions/banking-compliance/sanctions-and-pep-screening</w:t>
      </w:r>
    </w:p>
    <w:p w14:paraId="3F689EE9" w14:textId="58D8455D" w:rsidR="00931960" w:rsidRPr="00586A36" w:rsidRDefault="00586A36">
      <w:pPr>
        <w:spacing w:after="336" w:line="36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[</w:t>
      </w:r>
      <w:r w:rsidR="00DF602E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] </w:t>
      </w:r>
      <w:r w:rsidR="00DF602E" w:rsidRPr="00586A36">
        <w:rPr>
          <w:rFonts w:ascii="Arial" w:hAnsi="Arial" w:cs="Arial"/>
          <w:sz w:val="24"/>
          <w:szCs w:val="24"/>
        </w:rPr>
        <w:t>Transform your transaction filtering processes. (2021). Retrieved 26 February 2022, from https://www.baesystems.co</w:t>
      </w:r>
      <w:r w:rsidR="00DF602E" w:rsidRPr="00586A36">
        <w:rPr>
          <w:rFonts w:ascii="Arial" w:hAnsi="Arial" w:cs="Arial"/>
          <w:sz w:val="24"/>
          <w:szCs w:val="24"/>
        </w:rPr>
        <w:t>m/en-financialservices/solutions/banking-compliance/transaction-filtering</w:t>
      </w:r>
    </w:p>
    <w:p w14:paraId="2BA534AD" w14:textId="7851FED0" w:rsidR="00931960" w:rsidRPr="00586A36" w:rsidRDefault="00931960">
      <w:pPr>
        <w:spacing w:after="336" w:line="360" w:lineRule="auto"/>
        <w:rPr>
          <w:rFonts w:ascii="Arial" w:hAnsi="Arial" w:cs="Arial"/>
        </w:rPr>
      </w:pPr>
    </w:p>
    <w:sectPr w:rsidR="00931960" w:rsidRPr="00586A36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586A36"/>
    <w:rsid w:val="005F41DB"/>
    <w:rsid w:val="00840D54"/>
    <w:rsid w:val="00931960"/>
    <w:rsid w:val="00A906D8"/>
    <w:rsid w:val="00AB5A74"/>
    <w:rsid w:val="00DF602E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CB55D"/>
  <w15:docId w15:val="{51BB61EA-F8B8-477A-A192-1D342B8E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Ciaran Finnegan</cp:lastModifiedBy>
  <cp:revision>5</cp:revision>
  <dcterms:created xsi:type="dcterms:W3CDTF">2022-02-26T15:50:00Z</dcterms:created>
  <dcterms:modified xsi:type="dcterms:W3CDTF">2022-02-26T15:55:00Z</dcterms:modified>
</cp:coreProperties>
</file>