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c9e1092b9d463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'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/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/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1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á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p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 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c8b4c60664c4efe" /><Relationship Type="http://schemas.openxmlformats.org/officeDocument/2006/relationships/numbering" Target="/word/numbering.xml" Id="R0e89cb7876ea45f6" /><Relationship Type="http://schemas.openxmlformats.org/officeDocument/2006/relationships/settings" Target="/word/settings.xml" Id="R0f7f9cd53c70463b" /></Relationships>
</file>